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26A1" w:rsidRPr="004A0CF3" w:rsidRDefault="003326A1" w:rsidP="00633AC2">
      <w:pPr>
        <w:rPr>
          <w:rFonts w:ascii="Arial" w:hAnsi="Arial" w:cs="Arial"/>
          <w:b/>
          <w:color w:val="000000" w:themeColor="text1"/>
          <w:sz w:val="28"/>
          <w:szCs w:val="28"/>
        </w:rPr>
      </w:pPr>
    </w:p>
    <w:p w:rsidR="003326A1" w:rsidRPr="004A0CF3" w:rsidRDefault="003326A1" w:rsidP="00633AC2">
      <w:pPr>
        <w:rPr>
          <w:rFonts w:ascii="Arial" w:hAnsi="Arial" w:cs="Arial"/>
          <w:b/>
          <w:color w:val="000000" w:themeColor="text1"/>
          <w:sz w:val="28"/>
          <w:szCs w:val="28"/>
        </w:rPr>
      </w:pPr>
    </w:p>
    <w:p w:rsidR="003823E5" w:rsidRPr="004A0CF3" w:rsidRDefault="003823E5" w:rsidP="00633AC2">
      <w:pPr>
        <w:rPr>
          <w:rFonts w:ascii="Arial" w:hAnsi="Arial" w:cs="Arial"/>
          <w:b/>
          <w:color w:val="000000" w:themeColor="text1"/>
          <w:sz w:val="28"/>
          <w:szCs w:val="28"/>
        </w:rPr>
      </w:pPr>
    </w:p>
    <w:p w:rsidR="003823E5" w:rsidRPr="004A0CF3" w:rsidRDefault="003823E5" w:rsidP="00633AC2">
      <w:pPr>
        <w:rPr>
          <w:rFonts w:ascii="Arial" w:hAnsi="Arial" w:cs="Arial"/>
          <w:b/>
          <w:color w:val="000000" w:themeColor="text1"/>
          <w:sz w:val="28"/>
          <w:szCs w:val="28"/>
        </w:rPr>
      </w:pPr>
    </w:p>
    <w:p w:rsidR="003823E5" w:rsidRPr="004A0CF3" w:rsidRDefault="003823E5" w:rsidP="00633AC2">
      <w:pPr>
        <w:rPr>
          <w:rFonts w:ascii="Arial" w:hAnsi="Arial" w:cs="Arial"/>
          <w:b/>
          <w:color w:val="000000" w:themeColor="text1"/>
          <w:sz w:val="28"/>
          <w:szCs w:val="28"/>
        </w:rPr>
      </w:pPr>
    </w:p>
    <w:p w:rsidR="003823E5" w:rsidRPr="004A0CF3" w:rsidRDefault="003823E5" w:rsidP="00633AC2">
      <w:pPr>
        <w:rPr>
          <w:rFonts w:ascii="Arial" w:hAnsi="Arial" w:cs="Arial"/>
          <w:b/>
          <w:color w:val="000000" w:themeColor="text1"/>
          <w:sz w:val="28"/>
          <w:szCs w:val="28"/>
        </w:rPr>
      </w:pPr>
    </w:p>
    <w:p w:rsidR="003823E5" w:rsidRPr="004A0CF3" w:rsidRDefault="003823E5" w:rsidP="00633AC2">
      <w:pPr>
        <w:rPr>
          <w:rFonts w:ascii="Arial" w:hAnsi="Arial" w:cs="Arial"/>
          <w:b/>
          <w:color w:val="000000" w:themeColor="text1"/>
          <w:sz w:val="28"/>
          <w:szCs w:val="28"/>
        </w:rPr>
      </w:pPr>
    </w:p>
    <w:p w:rsidR="003326A1" w:rsidRPr="004A0CF3" w:rsidRDefault="003326A1" w:rsidP="00633AC2">
      <w:pPr>
        <w:rPr>
          <w:rFonts w:ascii="Arial" w:hAnsi="Arial" w:cs="Arial"/>
          <w:b/>
          <w:color w:val="000000" w:themeColor="text1"/>
          <w:sz w:val="28"/>
          <w:szCs w:val="28"/>
        </w:rPr>
      </w:pPr>
    </w:p>
    <w:p w:rsidR="002018E6" w:rsidRPr="004A0CF3" w:rsidRDefault="002018E6" w:rsidP="004F1019">
      <w:pPr>
        <w:jc w:val="center"/>
        <w:rPr>
          <w:rFonts w:ascii="Arial" w:hAnsi="Arial" w:cs="Arial"/>
          <w:b/>
          <w:color w:val="000000" w:themeColor="text1"/>
          <w:sz w:val="24"/>
        </w:rPr>
      </w:pPr>
      <w:r w:rsidRPr="004A0CF3">
        <w:rPr>
          <w:rFonts w:ascii="Arial" w:hAnsi="Arial" w:cs="Arial"/>
          <w:b/>
          <w:color w:val="000000" w:themeColor="text1"/>
          <w:sz w:val="24"/>
        </w:rPr>
        <w:t xml:space="preserve">Supplementary </w:t>
      </w:r>
      <w:r w:rsidR="00755AAB">
        <w:rPr>
          <w:rFonts w:ascii="Arial" w:hAnsi="Arial" w:cs="Arial"/>
          <w:b/>
          <w:color w:val="000000" w:themeColor="text1"/>
          <w:sz w:val="24"/>
        </w:rPr>
        <w:t>Material</w:t>
      </w:r>
      <w:r w:rsidR="00F159B3" w:rsidRPr="004A0CF3">
        <w:rPr>
          <w:rFonts w:ascii="Arial" w:hAnsi="Arial" w:cs="Arial"/>
          <w:b/>
          <w:color w:val="000000" w:themeColor="text1"/>
          <w:sz w:val="24"/>
        </w:rPr>
        <w:t xml:space="preserve"> for</w:t>
      </w:r>
    </w:p>
    <w:p w:rsidR="002018E6" w:rsidRDefault="00A3687B" w:rsidP="000A2101">
      <w:pPr>
        <w:jc w:val="center"/>
        <w:rPr>
          <w:rFonts w:ascii="Arial" w:hAnsi="Arial" w:cs="Arial"/>
          <w:b/>
          <w:color w:val="000000" w:themeColor="text1"/>
          <w:sz w:val="24"/>
        </w:rPr>
      </w:pPr>
      <w:r w:rsidRPr="00A3687B">
        <w:rPr>
          <w:rFonts w:ascii="Arial" w:hAnsi="Arial" w:cs="Arial"/>
          <w:b/>
          <w:color w:val="000000" w:themeColor="text1"/>
          <w:sz w:val="24"/>
        </w:rPr>
        <w:t>A global atla</w:t>
      </w:r>
      <w:r w:rsidR="003D3DD7">
        <w:rPr>
          <w:rFonts w:ascii="Arial" w:hAnsi="Arial" w:cs="Arial"/>
          <w:b/>
          <w:color w:val="000000" w:themeColor="text1"/>
          <w:sz w:val="24"/>
        </w:rPr>
        <w:t>s of genetic associations of 220</w:t>
      </w:r>
      <w:r w:rsidRPr="00A3687B">
        <w:rPr>
          <w:rFonts w:ascii="Arial" w:hAnsi="Arial" w:cs="Arial"/>
          <w:b/>
          <w:color w:val="000000" w:themeColor="text1"/>
          <w:sz w:val="24"/>
        </w:rPr>
        <w:t xml:space="preserve"> deep phenotypes.</w:t>
      </w:r>
    </w:p>
    <w:p w:rsidR="003A4681" w:rsidRPr="00B32C5E" w:rsidRDefault="003A4681" w:rsidP="000A2101">
      <w:pPr>
        <w:jc w:val="center"/>
        <w:rPr>
          <w:rFonts w:ascii="Arial" w:hAnsi="Arial" w:cs="Arial"/>
          <w:b/>
          <w:color w:val="000000" w:themeColor="text1"/>
          <w:sz w:val="24"/>
        </w:rPr>
      </w:pPr>
    </w:p>
    <w:p w:rsidR="003A4681" w:rsidRPr="00B32C5E" w:rsidRDefault="003A4681" w:rsidP="000A2101">
      <w:pPr>
        <w:jc w:val="center"/>
        <w:rPr>
          <w:rFonts w:ascii="Arial" w:hAnsi="Arial" w:cs="Arial"/>
          <w:b/>
          <w:color w:val="000000" w:themeColor="text1"/>
          <w:sz w:val="24"/>
        </w:rPr>
      </w:pPr>
      <w:r w:rsidRPr="00B32C5E">
        <w:rPr>
          <w:rFonts w:ascii="Arial" w:hAnsi="Arial" w:cs="Arial" w:hint="eastAsia"/>
          <w:b/>
          <w:color w:val="000000" w:themeColor="text1"/>
          <w:sz w:val="24"/>
        </w:rPr>
        <w:t>S</w:t>
      </w:r>
      <w:r w:rsidRPr="00B32C5E">
        <w:rPr>
          <w:rFonts w:ascii="Arial" w:hAnsi="Arial" w:cs="Arial"/>
          <w:b/>
          <w:color w:val="000000" w:themeColor="text1"/>
          <w:sz w:val="24"/>
        </w:rPr>
        <w:t>akaue</w:t>
      </w:r>
      <w:r w:rsidR="00D402EC">
        <w:rPr>
          <w:rFonts w:ascii="Arial" w:hAnsi="Arial" w:cs="Arial"/>
          <w:b/>
          <w:color w:val="000000" w:themeColor="text1"/>
          <w:sz w:val="24"/>
        </w:rPr>
        <w:t xml:space="preserve"> and Kanai</w:t>
      </w:r>
      <w:r w:rsidRPr="00B32C5E">
        <w:rPr>
          <w:rFonts w:ascii="Arial" w:hAnsi="Arial" w:cs="Arial"/>
          <w:b/>
          <w:color w:val="000000" w:themeColor="text1"/>
          <w:sz w:val="24"/>
        </w:rPr>
        <w:t xml:space="preserve"> et al.</w:t>
      </w:r>
    </w:p>
    <w:p w:rsidR="00835B0B" w:rsidRPr="00B32C5E" w:rsidRDefault="00835B0B" w:rsidP="00633AC2">
      <w:pPr>
        <w:widowControl/>
        <w:rPr>
          <w:rFonts w:ascii="Arial" w:hAnsi="Arial" w:cs="Arial"/>
          <w:b/>
          <w:color w:val="000000" w:themeColor="text1"/>
          <w:sz w:val="24"/>
        </w:rPr>
      </w:pPr>
      <w:r w:rsidRPr="00B32C5E">
        <w:rPr>
          <w:rFonts w:ascii="Arial" w:hAnsi="Arial" w:cs="Arial"/>
          <w:b/>
          <w:color w:val="000000" w:themeColor="text1"/>
          <w:sz w:val="24"/>
        </w:rPr>
        <w:br w:type="page"/>
      </w:r>
    </w:p>
    <w:p w:rsidR="00835B0B" w:rsidRPr="004A0CF3" w:rsidRDefault="00835B0B" w:rsidP="00633AC2">
      <w:pPr>
        <w:rPr>
          <w:rFonts w:ascii="Arial" w:hAnsi="Arial" w:cs="Arial"/>
          <w:b/>
          <w:color w:val="000000" w:themeColor="text1"/>
          <w:sz w:val="28"/>
          <w:szCs w:val="28"/>
        </w:rPr>
      </w:pPr>
      <w:r w:rsidRPr="004A0CF3">
        <w:rPr>
          <w:rFonts w:ascii="Arial" w:hAnsi="Arial" w:cs="Arial"/>
          <w:b/>
          <w:color w:val="000000" w:themeColor="text1"/>
          <w:sz w:val="28"/>
          <w:szCs w:val="28"/>
        </w:rPr>
        <w:lastRenderedPageBreak/>
        <w:t>Table of Contents:</w:t>
      </w:r>
    </w:p>
    <w:p w:rsidR="00835B0B" w:rsidRPr="004A0CF3" w:rsidRDefault="00835B0B" w:rsidP="00633AC2">
      <w:pPr>
        <w:rPr>
          <w:rFonts w:ascii="Arial" w:hAnsi="Arial" w:cs="Arial"/>
          <w:color w:val="000000" w:themeColor="text1"/>
        </w:rPr>
      </w:pPr>
    </w:p>
    <w:p w:rsidR="00835B0B" w:rsidRPr="004A0CF3" w:rsidRDefault="00835B0B" w:rsidP="00633AC2">
      <w:pPr>
        <w:ind w:left="720"/>
        <w:rPr>
          <w:rFonts w:ascii="Arial" w:hAnsi="Arial" w:cs="Arial"/>
          <w:color w:val="000000" w:themeColor="text1"/>
        </w:rPr>
      </w:pPr>
    </w:p>
    <w:p w:rsidR="00835B0B" w:rsidRPr="002538E7" w:rsidRDefault="00835B0B" w:rsidP="00633AC2">
      <w:pPr>
        <w:ind w:left="720"/>
        <w:rPr>
          <w:rFonts w:ascii="Arial" w:hAnsi="Arial" w:cs="Arial"/>
          <w:b/>
          <w:color w:val="000000" w:themeColor="text1"/>
        </w:rPr>
      </w:pPr>
      <w:r w:rsidRPr="002538E7">
        <w:rPr>
          <w:rFonts w:ascii="Arial" w:hAnsi="Arial" w:cs="Arial"/>
          <w:color w:val="000000" w:themeColor="text1"/>
        </w:rPr>
        <w:t>Page 3</w:t>
      </w:r>
      <w:r w:rsidRPr="002538E7">
        <w:rPr>
          <w:rFonts w:ascii="Arial" w:hAnsi="Arial" w:cs="Arial"/>
          <w:color w:val="000000" w:themeColor="text1"/>
        </w:rPr>
        <w:tab/>
      </w:r>
      <w:r w:rsidR="002C5DBB">
        <w:rPr>
          <w:rFonts w:ascii="Arial" w:hAnsi="Arial" w:cs="Arial"/>
          <w:b/>
          <w:color w:val="000000" w:themeColor="text1"/>
        </w:rPr>
        <w:t>Extended Data Figure</w:t>
      </w:r>
      <w:r w:rsidRPr="002538E7">
        <w:rPr>
          <w:rFonts w:ascii="Arial" w:hAnsi="Arial" w:cs="Arial"/>
          <w:b/>
          <w:color w:val="000000" w:themeColor="text1"/>
        </w:rPr>
        <w:t xml:space="preserve"> 1</w:t>
      </w:r>
    </w:p>
    <w:p w:rsidR="00835B0B" w:rsidRPr="002538E7" w:rsidRDefault="00835B0B" w:rsidP="00633AC2">
      <w:pPr>
        <w:ind w:left="720"/>
        <w:rPr>
          <w:rFonts w:ascii="Arial" w:hAnsi="Arial" w:cs="Arial"/>
          <w:color w:val="000000" w:themeColor="text1"/>
        </w:rPr>
      </w:pPr>
      <w:r w:rsidRPr="002538E7">
        <w:rPr>
          <w:rFonts w:ascii="Arial" w:hAnsi="Arial" w:cs="Arial"/>
          <w:color w:val="000000" w:themeColor="text1"/>
        </w:rPr>
        <w:t>Page 4</w:t>
      </w:r>
      <w:r w:rsidRPr="002538E7">
        <w:rPr>
          <w:rFonts w:ascii="Arial" w:hAnsi="Arial" w:cs="Arial"/>
          <w:color w:val="000000" w:themeColor="text1"/>
        </w:rPr>
        <w:tab/>
      </w:r>
      <w:r w:rsidR="002C5DBB">
        <w:rPr>
          <w:rFonts w:ascii="Arial" w:hAnsi="Arial" w:cs="Arial"/>
          <w:b/>
          <w:color w:val="000000" w:themeColor="text1"/>
        </w:rPr>
        <w:t>Extended Data Figure</w:t>
      </w:r>
      <w:r w:rsidRPr="002538E7">
        <w:rPr>
          <w:rFonts w:ascii="Arial" w:hAnsi="Arial" w:cs="Arial"/>
          <w:b/>
          <w:color w:val="000000" w:themeColor="text1"/>
        </w:rPr>
        <w:t xml:space="preserve"> 2</w:t>
      </w:r>
    </w:p>
    <w:p w:rsidR="00835B0B" w:rsidRPr="002538E7" w:rsidRDefault="00835B0B" w:rsidP="00633AC2">
      <w:pPr>
        <w:ind w:left="720"/>
        <w:rPr>
          <w:rFonts w:ascii="Arial" w:hAnsi="Arial" w:cs="Arial"/>
          <w:color w:val="000000" w:themeColor="text1"/>
        </w:rPr>
      </w:pPr>
      <w:r w:rsidRPr="002538E7">
        <w:rPr>
          <w:rFonts w:ascii="Arial" w:hAnsi="Arial" w:cs="Arial"/>
          <w:color w:val="000000" w:themeColor="text1"/>
        </w:rPr>
        <w:t>Page 5</w:t>
      </w:r>
      <w:r w:rsidRPr="002538E7">
        <w:rPr>
          <w:rFonts w:ascii="Arial" w:hAnsi="Arial" w:cs="Arial"/>
          <w:color w:val="000000" w:themeColor="text1"/>
        </w:rPr>
        <w:tab/>
      </w:r>
      <w:r w:rsidR="002C5DBB">
        <w:rPr>
          <w:rFonts w:ascii="Arial" w:hAnsi="Arial" w:cs="Arial"/>
          <w:b/>
          <w:color w:val="000000" w:themeColor="text1"/>
        </w:rPr>
        <w:t>Extended Data Figure</w:t>
      </w:r>
      <w:r w:rsidRPr="002538E7">
        <w:rPr>
          <w:rFonts w:ascii="Arial" w:hAnsi="Arial" w:cs="Arial"/>
          <w:b/>
          <w:color w:val="000000" w:themeColor="text1"/>
        </w:rPr>
        <w:t xml:space="preserve"> 3</w:t>
      </w:r>
    </w:p>
    <w:p w:rsidR="00835B0B" w:rsidRPr="002538E7" w:rsidRDefault="00835B0B" w:rsidP="00633AC2">
      <w:pPr>
        <w:ind w:left="720"/>
        <w:rPr>
          <w:rFonts w:ascii="Arial" w:hAnsi="Arial" w:cs="Arial"/>
          <w:color w:val="000000" w:themeColor="text1"/>
        </w:rPr>
      </w:pPr>
      <w:r w:rsidRPr="002538E7">
        <w:rPr>
          <w:rFonts w:ascii="Arial" w:hAnsi="Arial" w:cs="Arial"/>
          <w:color w:val="000000" w:themeColor="text1"/>
        </w:rPr>
        <w:t>Page 6</w:t>
      </w:r>
      <w:r w:rsidRPr="002538E7">
        <w:rPr>
          <w:rFonts w:ascii="Arial" w:hAnsi="Arial" w:cs="Arial"/>
          <w:color w:val="000000" w:themeColor="text1"/>
        </w:rPr>
        <w:tab/>
      </w:r>
      <w:r w:rsidR="002C5DBB">
        <w:rPr>
          <w:rFonts w:ascii="Arial" w:hAnsi="Arial" w:cs="Arial"/>
          <w:b/>
          <w:color w:val="000000" w:themeColor="text1"/>
        </w:rPr>
        <w:t>Extended Data Figure</w:t>
      </w:r>
      <w:r w:rsidRPr="002538E7">
        <w:rPr>
          <w:rFonts w:ascii="Arial" w:hAnsi="Arial" w:cs="Arial"/>
          <w:b/>
          <w:color w:val="000000" w:themeColor="text1"/>
        </w:rPr>
        <w:t xml:space="preserve"> 4</w:t>
      </w:r>
    </w:p>
    <w:p w:rsidR="00835B0B" w:rsidRPr="002538E7" w:rsidRDefault="00835B0B" w:rsidP="00633AC2">
      <w:pPr>
        <w:ind w:left="720"/>
        <w:rPr>
          <w:rFonts w:ascii="Arial" w:hAnsi="Arial" w:cs="Arial"/>
          <w:color w:val="000000" w:themeColor="text1"/>
        </w:rPr>
      </w:pPr>
      <w:r w:rsidRPr="002538E7">
        <w:rPr>
          <w:rFonts w:ascii="Arial" w:hAnsi="Arial" w:cs="Arial"/>
          <w:color w:val="000000" w:themeColor="text1"/>
        </w:rPr>
        <w:t>Page 7</w:t>
      </w:r>
      <w:r w:rsidRPr="002538E7">
        <w:rPr>
          <w:rFonts w:ascii="Arial" w:hAnsi="Arial" w:cs="Arial"/>
          <w:color w:val="000000" w:themeColor="text1"/>
        </w:rPr>
        <w:tab/>
      </w:r>
      <w:r w:rsidR="002C5DBB">
        <w:rPr>
          <w:rFonts w:ascii="Arial" w:hAnsi="Arial" w:cs="Arial"/>
          <w:b/>
          <w:color w:val="000000" w:themeColor="text1"/>
        </w:rPr>
        <w:t>Extended Data Figure</w:t>
      </w:r>
      <w:r w:rsidRPr="002538E7">
        <w:rPr>
          <w:rFonts w:ascii="Arial" w:hAnsi="Arial" w:cs="Arial"/>
          <w:b/>
          <w:color w:val="000000" w:themeColor="text1"/>
        </w:rPr>
        <w:t xml:space="preserve"> 5</w:t>
      </w:r>
    </w:p>
    <w:p w:rsidR="00835B0B" w:rsidRPr="002538E7" w:rsidRDefault="00835B0B" w:rsidP="00633AC2">
      <w:pPr>
        <w:ind w:left="720"/>
        <w:rPr>
          <w:rFonts w:ascii="Arial" w:hAnsi="Arial" w:cs="Arial"/>
          <w:color w:val="000000" w:themeColor="text1"/>
        </w:rPr>
      </w:pPr>
      <w:r w:rsidRPr="002538E7">
        <w:rPr>
          <w:rFonts w:ascii="Arial" w:hAnsi="Arial" w:cs="Arial"/>
          <w:color w:val="000000" w:themeColor="text1"/>
        </w:rPr>
        <w:t>Page 8</w:t>
      </w:r>
      <w:r w:rsidRPr="002538E7">
        <w:rPr>
          <w:rFonts w:ascii="Arial" w:hAnsi="Arial" w:cs="Arial"/>
          <w:color w:val="000000" w:themeColor="text1"/>
        </w:rPr>
        <w:tab/>
      </w:r>
      <w:r w:rsidR="002C5DBB">
        <w:rPr>
          <w:rFonts w:ascii="Arial" w:hAnsi="Arial" w:cs="Arial"/>
          <w:b/>
          <w:color w:val="000000" w:themeColor="text1"/>
        </w:rPr>
        <w:t>Extended Data Figure</w:t>
      </w:r>
      <w:r w:rsidRPr="002538E7">
        <w:rPr>
          <w:rFonts w:ascii="Arial" w:hAnsi="Arial" w:cs="Arial"/>
          <w:b/>
          <w:color w:val="000000" w:themeColor="text1"/>
        </w:rPr>
        <w:t xml:space="preserve"> 6</w:t>
      </w:r>
    </w:p>
    <w:p w:rsidR="00835B0B" w:rsidRPr="002538E7" w:rsidRDefault="00835B0B" w:rsidP="00633AC2">
      <w:pPr>
        <w:ind w:left="720"/>
        <w:rPr>
          <w:rFonts w:ascii="Arial" w:hAnsi="Arial" w:cs="Arial"/>
          <w:color w:val="000000" w:themeColor="text1"/>
        </w:rPr>
      </w:pPr>
      <w:r w:rsidRPr="002538E7">
        <w:rPr>
          <w:rFonts w:ascii="Arial" w:hAnsi="Arial" w:cs="Arial"/>
          <w:color w:val="000000" w:themeColor="text1"/>
        </w:rPr>
        <w:t>Page 9</w:t>
      </w:r>
      <w:r w:rsidRPr="002538E7">
        <w:rPr>
          <w:rFonts w:ascii="Arial" w:hAnsi="Arial" w:cs="Arial"/>
          <w:color w:val="000000" w:themeColor="text1"/>
        </w:rPr>
        <w:tab/>
      </w:r>
      <w:r w:rsidR="002C5DBB">
        <w:rPr>
          <w:rFonts w:ascii="Arial" w:hAnsi="Arial" w:cs="Arial"/>
          <w:b/>
          <w:color w:val="000000" w:themeColor="text1"/>
        </w:rPr>
        <w:t>Extended Data Figure</w:t>
      </w:r>
      <w:r w:rsidRPr="002538E7">
        <w:rPr>
          <w:rFonts w:ascii="Arial" w:hAnsi="Arial" w:cs="Arial"/>
          <w:b/>
          <w:color w:val="000000" w:themeColor="text1"/>
        </w:rPr>
        <w:t xml:space="preserve"> 7</w:t>
      </w:r>
    </w:p>
    <w:p w:rsidR="00814377" w:rsidRDefault="00814377" w:rsidP="00633AC2">
      <w:pPr>
        <w:ind w:left="720"/>
        <w:rPr>
          <w:rFonts w:ascii="Arial" w:hAnsi="Arial" w:cs="Arial"/>
          <w:b/>
          <w:color w:val="000000" w:themeColor="text1"/>
        </w:rPr>
      </w:pPr>
      <w:r w:rsidRPr="002538E7">
        <w:rPr>
          <w:rFonts w:ascii="Arial" w:hAnsi="Arial" w:cs="Arial"/>
          <w:color w:val="000000" w:themeColor="text1"/>
        </w:rPr>
        <w:t>Page 10</w:t>
      </w:r>
      <w:r w:rsidRPr="002538E7">
        <w:rPr>
          <w:rFonts w:ascii="Arial" w:hAnsi="Arial" w:cs="Arial"/>
          <w:color w:val="000000" w:themeColor="text1"/>
        </w:rPr>
        <w:tab/>
      </w:r>
      <w:r w:rsidR="002C5DBB">
        <w:rPr>
          <w:rFonts w:ascii="Arial" w:hAnsi="Arial" w:cs="Arial"/>
          <w:b/>
          <w:color w:val="000000" w:themeColor="text1"/>
        </w:rPr>
        <w:t>Extended Data Figure</w:t>
      </w:r>
      <w:r w:rsidRPr="002538E7">
        <w:rPr>
          <w:rFonts w:ascii="Arial" w:hAnsi="Arial" w:cs="Arial"/>
          <w:b/>
          <w:color w:val="000000" w:themeColor="text1"/>
        </w:rPr>
        <w:t xml:space="preserve"> 8</w:t>
      </w:r>
    </w:p>
    <w:p w:rsidR="00E13663" w:rsidRDefault="00E13663" w:rsidP="00E13663">
      <w:pPr>
        <w:ind w:left="720"/>
        <w:rPr>
          <w:rFonts w:ascii="Arial" w:hAnsi="Arial" w:cs="Arial"/>
          <w:b/>
          <w:color w:val="000000" w:themeColor="text1"/>
        </w:rPr>
      </w:pPr>
      <w:r w:rsidRPr="002538E7">
        <w:rPr>
          <w:rFonts w:ascii="Arial" w:hAnsi="Arial" w:cs="Arial"/>
          <w:color w:val="000000" w:themeColor="text1"/>
        </w:rPr>
        <w:t>Page 1</w:t>
      </w:r>
      <w:r w:rsidR="00942199">
        <w:rPr>
          <w:rFonts w:ascii="Arial" w:hAnsi="Arial" w:cs="Arial"/>
          <w:color w:val="000000" w:themeColor="text1"/>
        </w:rPr>
        <w:t>1</w:t>
      </w:r>
      <w:r w:rsidRPr="002538E7">
        <w:rPr>
          <w:rFonts w:ascii="Arial" w:hAnsi="Arial" w:cs="Arial"/>
          <w:color w:val="000000" w:themeColor="text1"/>
        </w:rPr>
        <w:tab/>
      </w:r>
      <w:r>
        <w:rPr>
          <w:rFonts w:ascii="Arial" w:hAnsi="Arial" w:cs="Arial"/>
          <w:b/>
          <w:color w:val="000000" w:themeColor="text1"/>
        </w:rPr>
        <w:t>Extended Data Figure</w:t>
      </w:r>
      <w:r w:rsidRPr="002538E7">
        <w:rPr>
          <w:rFonts w:ascii="Arial" w:hAnsi="Arial" w:cs="Arial"/>
          <w:b/>
          <w:color w:val="000000" w:themeColor="text1"/>
        </w:rPr>
        <w:t xml:space="preserve"> </w:t>
      </w:r>
      <w:r w:rsidR="006C2869">
        <w:rPr>
          <w:rFonts w:ascii="Arial" w:hAnsi="Arial" w:cs="Arial"/>
          <w:b/>
          <w:color w:val="000000" w:themeColor="text1"/>
        </w:rPr>
        <w:t>9</w:t>
      </w:r>
    </w:p>
    <w:p w:rsidR="00E13663" w:rsidRDefault="00E13663" w:rsidP="00E13663">
      <w:pPr>
        <w:ind w:left="720"/>
        <w:rPr>
          <w:rFonts w:ascii="Arial" w:hAnsi="Arial" w:cs="Arial"/>
          <w:b/>
          <w:color w:val="000000" w:themeColor="text1"/>
        </w:rPr>
      </w:pPr>
      <w:r w:rsidRPr="002538E7">
        <w:rPr>
          <w:rFonts w:ascii="Arial" w:hAnsi="Arial" w:cs="Arial"/>
          <w:color w:val="000000" w:themeColor="text1"/>
        </w:rPr>
        <w:t>Page 1</w:t>
      </w:r>
      <w:r w:rsidR="00942199">
        <w:rPr>
          <w:rFonts w:ascii="Arial" w:hAnsi="Arial" w:cs="Arial"/>
          <w:color w:val="000000" w:themeColor="text1"/>
        </w:rPr>
        <w:t>2</w:t>
      </w:r>
      <w:r w:rsidRPr="002538E7">
        <w:rPr>
          <w:rFonts w:ascii="Arial" w:hAnsi="Arial" w:cs="Arial"/>
          <w:color w:val="000000" w:themeColor="text1"/>
        </w:rPr>
        <w:tab/>
      </w:r>
      <w:r>
        <w:rPr>
          <w:rFonts w:ascii="Arial" w:hAnsi="Arial" w:cs="Arial"/>
          <w:b/>
          <w:color w:val="000000" w:themeColor="text1"/>
        </w:rPr>
        <w:t>Extended Data Figure</w:t>
      </w:r>
      <w:r w:rsidRPr="002538E7">
        <w:rPr>
          <w:rFonts w:ascii="Arial" w:hAnsi="Arial" w:cs="Arial"/>
          <w:b/>
          <w:color w:val="000000" w:themeColor="text1"/>
        </w:rPr>
        <w:t xml:space="preserve"> </w:t>
      </w:r>
      <w:r w:rsidR="006C2869">
        <w:rPr>
          <w:rFonts w:ascii="Arial" w:hAnsi="Arial" w:cs="Arial"/>
          <w:b/>
          <w:color w:val="000000" w:themeColor="text1"/>
        </w:rPr>
        <w:t>10</w:t>
      </w:r>
    </w:p>
    <w:p w:rsidR="00E13663" w:rsidRDefault="00E13663" w:rsidP="00E13663">
      <w:pPr>
        <w:ind w:left="720"/>
        <w:rPr>
          <w:rFonts w:ascii="Arial" w:hAnsi="Arial" w:cs="Arial"/>
          <w:b/>
          <w:color w:val="000000" w:themeColor="text1"/>
        </w:rPr>
      </w:pPr>
      <w:r w:rsidRPr="002538E7">
        <w:rPr>
          <w:rFonts w:ascii="Arial" w:hAnsi="Arial" w:cs="Arial"/>
          <w:color w:val="000000" w:themeColor="text1"/>
        </w:rPr>
        <w:t>Page 1</w:t>
      </w:r>
      <w:r w:rsidR="00942199">
        <w:rPr>
          <w:rFonts w:ascii="Arial" w:hAnsi="Arial" w:cs="Arial"/>
          <w:color w:val="000000" w:themeColor="text1"/>
        </w:rPr>
        <w:t>3</w:t>
      </w:r>
      <w:r w:rsidRPr="002538E7">
        <w:rPr>
          <w:rFonts w:ascii="Arial" w:hAnsi="Arial" w:cs="Arial"/>
          <w:color w:val="000000" w:themeColor="text1"/>
        </w:rPr>
        <w:tab/>
      </w:r>
      <w:r>
        <w:rPr>
          <w:rFonts w:ascii="Arial" w:hAnsi="Arial" w:cs="Arial"/>
          <w:b/>
          <w:color w:val="000000" w:themeColor="text1"/>
        </w:rPr>
        <w:t>Extended Data Figure</w:t>
      </w:r>
      <w:r w:rsidRPr="002538E7">
        <w:rPr>
          <w:rFonts w:ascii="Arial" w:hAnsi="Arial" w:cs="Arial"/>
          <w:b/>
          <w:color w:val="000000" w:themeColor="text1"/>
        </w:rPr>
        <w:t xml:space="preserve"> </w:t>
      </w:r>
      <w:r w:rsidR="006C2869">
        <w:rPr>
          <w:rFonts w:ascii="Arial" w:hAnsi="Arial" w:cs="Arial"/>
          <w:b/>
          <w:color w:val="000000" w:themeColor="text1"/>
        </w:rPr>
        <w:t>11</w:t>
      </w:r>
    </w:p>
    <w:p w:rsidR="00E13663" w:rsidRDefault="00E13663" w:rsidP="00E13663">
      <w:pPr>
        <w:ind w:left="720"/>
        <w:rPr>
          <w:rFonts w:ascii="Arial" w:hAnsi="Arial" w:cs="Arial"/>
          <w:b/>
          <w:color w:val="000000" w:themeColor="text1"/>
        </w:rPr>
      </w:pPr>
      <w:r w:rsidRPr="002538E7">
        <w:rPr>
          <w:rFonts w:ascii="Arial" w:hAnsi="Arial" w:cs="Arial"/>
          <w:color w:val="000000" w:themeColor="text1"/>
        </w:rPr>
        <w:t>Page 1</w:t>
      </w:r>
      <w:r w:rsidR="00942199">
        <w:rPr>
          <w:rFonts w:ascii="Arial" w:hAnsi="Arial" w:cs="Arial"/>
          <w:color w:val="000000" w:themeColor="text1"/>
        </w:rPr>
        <w:t>4</w:t>
      </w:r>
      <w:r w:rsidRPr="002538E7">
        <w:rPr>
          <w:rFonts w:ascii="Arial" w:hAnsi="Arial" w:cs="Arial"/>
          <w:color w:val="000000" w:themeColor="text1"/>
        </w:rPr>
        <w:tab/>
      </w:r>
      <w:r>
        <w:rPr>
          <w:rFonts w:ascii="Arial" w:hAnsi="Arial" w:cs="Arial"/>
          <w:b/>
          <w:color w:val="000000" w:themeColor="text1"/>
        </w:rPr>
        <w:t>Extended Data Figure</w:t>
      </w:r>
      <w:r w:rsidRPr="002538E7">
        <w:rPr>
          <w:rFonts w:ascii="Arial" w:hAnsi="Arial" w:cs="Arial"/>
          <w:b/>
          <w:color w:val="000000" w:themeColor="text1"/>
        </w:rPr>
        <w:t xml:space="preserve"> </w:t>
      </w:r>
      <w:r w:rsidR="006C2869">
        <w:rPr>
          <w:rFonts w:ascii="Arial" w:hAnsi="Arial" w:cs="Arial"/>
          <w:b/>
          <w:color w:val="000000" w:themeColor="text1"/>
        </w:rPr>
        <w:t>12</w:t>
      </w:r>
    </w:p>
    <w:p w:rsidR="00E13663" w:rsidRDefault="00E13663" w:rsidP="00E13663">
      <w:pPr>
        <w:ind w:left="720"/>
        <w:rPr>
          <w:rFonts w:ascii="Arial" w:hAnsi="Arial" w:cs="Arial"/>
          <w:b/>
          <w:color w:val="000000" w:themeColor="text1"/>
        </w:rPr>
      </w:pPr>
      <w:r w:rsidRPr="002538E7">
        <w:rPr>
          <w:rFonts w:ascii="Arial" w:hAnsi="Arial" w:cs="Arial"/>
          <w:color w:val="000000" w:themeColor="text1"/>
        </w:rPr>
        <w:t>Page 1</w:t>
      </w:r>
      <w:r w:rsidR="00942199">
        <w:rPr>
          <w:rFonts w:ascii="Arial" w:hAnsi="Arial" w:cs="Arial"/>
          <w:color w:val="000000" w:themeColor="text1"/>
        </w:rPr>
        <w:t>5</w:t>
      </w:r>
      <w:r w:rsidRPr="002538E7">
        <w:rPr>
          <w:rFonts w:ascii="Arial" w:hAnsi="Arial" w:cs="Arial"/>
          <w:color w:val="000000" w:themeColor="text1"/>
        </w:rPr>
        <w:tab/>
      </w:r>
      <w:r>
        <w:rPr>
          <w:rFonts w:ascii="Arial" w:hAnsi="Arial" w:cs="Arial"/>
          <w:b/>
          <w:color w:val="000000" w:themeColor="text1"/>
        </w:rPr>
        <w:t>Extended Data Figure</w:t>
      </w:r>
      <w:r w:rsidRPr="002538E7">
        <w:rPr>
          <w:rFonts w:ascii="Arial" w:hAnsi="Arial" w:cs="Arial"/>
          <w:b/>
          <w:color w:val="000000" w:themeColor="text1"/>
        </w:rPr>
        <w:t xml:space="preserve"> </w:t>
      </w:r>
      <w:r w:rsidR="006C2869">
        <w:rPr>
          <w:rFonts w:ascii="Arial" w:hAnsi="Arial" w:cs="Arial"/>
          <w:b/>
          <w:color w:val="000000" w:themeColor="text1"/>
        </w:rPr>
        <w:t>13</w:t>
      </w:r>
    </w:p>
    <w:p w:rsidR="00511E03" w:rsidRDefault="00511E03" w:rsidP="00511E03">
      <w:pPr>
        <w:ind w:left="720"/>
        <w:rPr>
          <w:rFonts w:ascii="Arial" w:hAnsi="Arial" w:cs="Arial"/>
          <w:b/>
          <w:color w:val="000000" w:themeColor="text1"/>
        </w:rPr>
      </w:pPr>
      <w:r w:rsidRPr="002538E7">
        <w:rPr>
          <w:rFonts w:ascii="Arial" w:hAnsi="Arial" w:cs="Arial"/>
          <w:color w:val="000000" w:themeColor="text1"/>
        </w:rPr>
        <w:t>Page 1</w:t>
      </w:r>
      <w:r w:rsidR="00AE5BC5">
        <w:rPr>
          <w:rFonts w:ascii="Arial" w:hAnsi="Arial" w:cs="Arial"/>
          <w:color w:val="000000" w:themeColor="text1"/>
        </w:rPr>
        <w:t>6</w:t>
      </w:r>
      <w:r w:rsidRPr="002538E7">
        <w:rPr>
          <w:rFonts w:ascii="Arial" w:hAnsi="Arial" w:cs="Arial"/>
          <w:color w:val="000000" w:themeColor="text1"/>
        </w:rPr>
        <w:tab/>
      </w:r>
      <w:r>
        <w:rPr>
          <w:rFonts w:ascii="Arial" w:hAnsi="Arial" w:cs="Arial"/>
          <w:b/>
          <w:color w:val="000000" w:themeColor="text1"/>
        </w:rPr>
        <w:t>Extended Data Figure</w:t>
      </w:r>
      <w:r w:rsidRPr="002538E7">
        <w:rPr>
          <w:rFonts w:ascii="Arial" w:hAnsi="Arial" w:cs="Arial"/>
          <w:b/>
          <w:color w:val="000000" w:themeColor="text1"/>
        </w:rPr>
        <w:t xml:space="preserve"> </w:t>
      </w:r>
      <w:r>
        <w:rPr>
          <w:rFonts w:ascii="Arial" w:hAnsi="Arial" w:cs="Arial"/>
          <w:b/>
          <w:color w:val="000000" w:themeColor="text1"/>
        </w:rPr>
        <w:t>14</w:t>
      </w:r>
    </w:p>
    <w:p w:rsidR="005710A8" w:rsidRDefault="005710A8" w:rsidP="005710A8">
      <w:pPr>
        <w:ind w:left="720"/>
        <w:rPr>
          <w:rFonts w:ascii="Arial" w:hAnsi="Arial" w:cs="Arial"/>
          <w:b/>
          <w:color w:val="000000" w:themeColor="text1"/>
        </w:rPr>
      </w:pPr>
      <w:r w:rsidRPr="002538E7">
        <w:rPr>
          <w:rFonts w:ascii="Arial" w:hAnsi="Arial" w:cs="Arial"/>
          <w:color w:val="000000" w:themeColor="text1"/>
        </w:rPr>
        <w:t>Page 1</w:t>
      </w:r>
      <w:r>
        <w:rPr>
          <w:rFonts w:ascii="Arial" w:hAnsi="Arial" w:cs="Arial"/>
          <w:color w:val="000000" w:themeColor="text1"/>
        </w:rPr>
        <w:t>7</w:t>
      </w:r>
      <w:r w:rsidRPr="002538E7">
        <w:rPr>
          <w:rFonts w:ascii="Arial" w:hAnsi="Arial" w:cs="Arial"/>
          <w:color w:val="000000" w:themeColor="text1"/>
        </w:rPr>
        <w:tab/>
      </w:r>
      <w:r>
        <w:rPr>
          <w:rFonts w:ascii="Arial" w:hAnsi="Arial" w:cs="Arial"/>
          <w:b/>
          <w:color w:val="000000" w:themeColor="text1"/>
        </w:rPr>
        <w:t>Extended Data Figure</w:t>
      </w:r>
      <w:r w:rsidRPr="002538E7">
        <w:rPr>
          <w:rFonts w:ascii="Arial" w:hAnsi="Arial" w:cs="Arial"/>
          <w:b/>
          <w:color w:val="000000" w:themeColor="text1"/>
        </w:rPr>
        <w:t xml:space="preserve"> </w:t>
      </w:r>
      <w:r>
        <w:rPr>
          <w:rFonts w:ascii="Arial" w:hAnsi="Arial" w:cs="Arial"/>
          <w:b/>
          <w:color w:val="000000" w:themeColor="text1"/>
        </w:rPr>
        <w:t>15</w:t>
      </w:r>
    </w:p>
    <w:p w:rsidR="00B43959" w:rsidRPr="004A0CF3" w:rsidRDefault="00B43959" w:rsidP="00633AC2">
      <w:pPr>
        <w:ind w:left="720"/>
        <w:rPr>
          <w:rFonts w:ascii="Arial" w:hAnsi="Arial" w:cs="Arial"/>
          <w:color w:val="000000" w:themeColor="text1"/>
        </w:rPr>
      </w:pPr>
      <w:r w:rsidRPr="007636AA">
        <w:rPr>
          <w:rFonts w:ascii="Arial" w:hAnsi="Arial" w:cs="Arial"/>
          <w:color w:val="000000" w:themeColor="text1"/>
        </w:rPr>
        <w:t>Page 1</w:t>
      </w:r>
      <w:r w:rsidR="005710A8">
        <w:rPr>
          <w:rFonts w:ascii="Arial" w:hAnsi="Arial" w:cs="Arial"/>
          <w:color w:val="000000" w:themeColor="text1"/>
        </w:rPr>
        <w:t>8</w:t>
      </w:r>
      <w:r w:rsidRPr="007636AA">
        <w:rPr>
          <w:rFonts w:ascii="Arial" w:hAnsi="Arial" w:cs="Arial"/>
          <w:b/>
          <w:color w:val="000000" w:themeColor="text1"/>
        </w:rPr>
        <w:tab/>
        <w:t>Supplementary Notes</w:t>
      </w:r>
    </w:p>
    <w:p w:rsidR="00835B0B" w:rsidRPr="001C0AAD" w:rsidRDefault="00835B0B" w:rsidP="00633AC2">
      <w:pPr>
        <w:ind w:left="720"/>
        <w:rPr>
          <w:rFonts w:ascii="Arial" w:hAnsi="Arial" w:cs="Arial"/>
          <w:color w:val="000000" w:themeColor="text1"/>
        </w:rPr>
      </w:pPr>
    </w:p>
    <w:p w:rsidR="00835B0B" w:rsidRPr="004A0CF3" w:rsidRDefault="00835B0B" w:rsidP="00633AC2">
      <w:pPr>
        <w:ind w:left="720"/>
        <w:rPr>
          <w:rFonts w:ascii="Arial" w:hAnsi="Arial" w:cs="Arial"/>
          <w:color w:val="000000" w:themeColor="text1"/>
        </w:rPr>
      </w:pPr>
      <w:r w:rsidRPr="004A0CF3">
        <w:rPr>
          <w:rFonts w:ascii="Arial" w:hAnsi="Arial" w:cs="Arial"/>
          <w:b/>
          <w:color w:val="000000" w:themeColor="text1"/>
        </w:rPr>
        <w:t xml:space="preserve">Supplementary </w:t>
      </w:r>
      <w:r w:rsidR="002D5B88">
        <w:rPr>
          <w:rFonts w:ascii="Arial" w:hAnsi="Arial" w:cs="Arial"/>
          <w:b/>
          <w:color w:val="000000" w:themeColor="text1"/>
        </w:rPr>
        <w:t>Table</w:t>
      </w:r>
      <w:r w:rsidR="002244CD">
        <w:rPr>
          <w:rFonts w:ascii="Arial" w:hAnsi="Arial" w:cs="Arial"/>
          <w:b/>
          <w:color w:val="000000" w:themeColor="text1"/>
        </w:rPr>
        <w:t>s</w:t>
      </w:r>
      <w:r w:rsidRPr="004A0CF3">
        <w:rPr>
          <w:rFonts w:ascii="Arial" w:hAnsi="Arial" w:cs="Arial"/>
          <w:color w:val="000000" w:themeColor="text1"/>
        </w:rPr>
        <w:t xml:space="preserve"> </w:t>
      </w:r>
      <w:r w:rsidR="001F1B56">
        <w:rPr>
          <w:rFonts w:ascii="Arial" w:hAnsi="Arial" w:cs="Arial"/>
          <w:color w:val="000000" w:themeColor="text1"/>
        </w:rPr>
        <w:t>are</w:t>
      </w:r>
      <w:r w:rsidRPr="004A0CF3">
        <w:rPr>
          <w:rFonts w:ascii="Arial" w:hAnsi="Arial" w:cs="Arial"/>
          <w:color w:val="000000" w:themeColor="text1"/>
        </w:rPr>
        <w:t xml:space="preserve"> provided by </w:t>
      </w:r>
      <w:r w:rsidR="002D7F55">
        <w:rPr>
          <w:rFonts w:ascii="Arial" w:hAnsi="Arial" w:cs="Arial"/>
          <w:color w:val="000000" w:themeColor="text1"/>
        </w:rPr>
        <w:t>a</w:t>
      </w:r>
      <w:r w:rsidRPr="004A0CF3">
        <w:rPr>
          <w:rFonts w:ascii="Arial" w:hAnsi="Arial" w:cs="Arial"/>
          <w:color w:val="000000" w:themeColor="text1"/>
        </w:rPr>
        <w:t xml:space="preserve"> separate excel file.</w:t>
      </w:r>
    </w:p>
    <w:p w:rsidR="00C129E7" w:rsidRPr="004A0CF3" w:rsidRDefault="004F6D39" w:rsidP="00633AC2">
      <w:pPr>
        <w:widowControl/>
        <w:rPr>
          <w:rFonts w:ascii="Arial" w:hAnsi="Arial" w:cs="Arial"/>
          <w:color w:val="000000" w:themeColor="text1"/>
          <w:sz w:val="24"/>
        </w:rPr>
      </w:pPr>
      <w:r w:rsidRPr="004A0CF3">
        <w:rPr>
          <w:rFonts w:ascii="Arial" w:hAnsi="Arial" w:cs="Arial"/>
          <w:color w:val="000000" w:themeColor="text1"/>
          <w:sz w:val="24"/>
        </w:rPr>
        <w:br w:type="page"/>
      </w:r>
    </w:p>
    <w:p w:rsidR="00FD564A" w:rsidRDefault="00FD564A" w:rsidP="009B6CBF">
      <w:pPr>
        <w:spacing w:line="360" w:lineRule="auto"/>
        <w:ind w:left="105" w:hangingChars="50" w:hanging="105"/>
        <w:rPr>
          <w:rFonts w:ascii="Arial" w:hAnsi="Arial" w:cs="Arial"/>
          <w:b/>
          <w:color w:val="000000" w:themeColor="text1"/>
          <w:szCs w:val="21"/>
        </w:rPr>
      </w:pPr>
      <w:r>
        <w:rPr>
          <w:rFonts w:ascii="Arial" w:hAnsi="Arial" w:cs="Arial"/>
          <w:b/>
          <w:color w:val="000000" w:themeColor="text1"/>
          <w:szCs w:val="21"/>
        </w:rPr>
        <w:lastRenderedPageBreak/>
        <w:t>Extended Data Figure</w:t>
      </w:r>
      <w:r w:rsidRPr="000E0822">
        <w:rPr>
          <w:rFonts w:ascii="Arial" w:hAnsi="Arial" w:cs="Arial"/>
          <w:b/>
          <w:color w:val="000000" w:themeColor="text1"/>
          <w:szCs w:val="21"/>
        </w:rPr>
        <w:t xml:space="preserve"> 1. </w:t>
      </w:r>
    </w:p>
    <w:p w:rsidR="00FD564A" w:rsidRDefault="00647758">
      <w:pPr>
        <w:widowControl/>
        <w:jc w:val="left"/>
        <w:rPr>
          <w:rFonts w:ascii="Arial" w:hAnsi="Arial" w:cs="Arial"/>
          <w:b/>
          <w:color w:val="000000" w:themeColor="text1"/>
          <w:szCs w:val="21"/>
        </w:rPr>
      </w:pPr>
      <w:r>
        <w:rPr>
          <w:rFonts w:ascii="Arial" w:hAnsi="Arial" w:cs="Arial" w:hint="eastAsia"/>
          <w:b/>
          <w:noProof/>
          <w:color w:val="000000" w:themeColor="text1"/>
          <w:szCs w:val="21"/>
        </w:rPr>
        <w:drawing>
          <wp:inline distT="0" distB="0" distL="0" distR="0">
            <wp:extent cx="6184900" cy="359727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verFig_v1.png"/>
                    <pic:cNvPicPr/>
                  </pic:nvPicPr>
                  <pic:blipFill>
                    <a:blip r:embed="rId7">
                      <a:extLst>
                        <a:ext uri="{28A0092B-C50C-407E-A947-70E740481C1C}">
                          <a14:useLocalDpi xmlns:a14="http://schemas.microsoft.com/office/drawing/2010/main" val="0"/>
                        </a:ext>
                      </a:extLst>
                    </a:blip>
                    <a:stretch>
                      <a:fillRect/>
                    </a:stretch>
                  </pic:blipFill>
                  <pic:spPr>
                    <a:xfrm>
                      <a:off x="0" y="0"/>
                      <a:ext cx="6184900" cy="3597275"/>
                    </a:xfrm>
                    <a:prstGeom prst="rect">
                      <a:avLst/>
                    </a:prstGeom>
                  </pic:spPr>
                </pic:pic>
              </a:graphicData>
            </a:graphic>
          </wp:inline>
        </w:drawing>
      </w:r>
    </w:p>
    <w:p w:rsidR="00FD564A" w:rsidRDefault="00FD564A" w:rsidP="00FD564A">
      <w:pPr>
        <w:spacing w:line="360" w:lineRule="auto"/>
        <w:ind w:left="105" w:hangingChars="50" w:hanging="105"/>
        <w:rPr>
          <w:rFonts w:ascii="Arial" w:hAnsi="Arial" w:cs="Arial"/>
          <w:b/>
          <w:color w:val="000000" w:themeColor="text1"/>
          <w:szCs w:val="21"/>
        </w:rPr>
      </w:pPr>
      <w:r w:rsidRPr="00774937">
        <w:rPr>
          <w:rFonts w:ascii="Arial" w:hAnsi="Arial" w:cs="Arial"/>
          <w:b/>
          <w:color w:val="000000" w:themeColor="text1"/>
          <w:szCs w:val="21"/>
        </w:rPr>
        <w:t>Extended Data Figure 1 | Overview of this study.</w:t>
      </w:r>
    </w:p>
    <w:p w:rsidR="00FD564A" w:rsidRPr="00AB45F4" w:rsidRDefault="00AB45F4" w:rsidP="00AB45F4">
      <w:pPr>
        <w:rPr>
          <w:rFonts w:ascii="Arial" w:hAnsi="Arial" w:cs="Arial"/>
          <w:color w:val="000000" w:themeColor="text1"/>
          <w:szCs w:val="21"/>
        </w:rPr>
      </w:pPr>
      <w:r w:rsidRPr="00AB45F4">
        <w:rPr>
          <w:rFonts w:ascii="Arial" w:hAnsi="Arial" w:cs="Arial"/>
          <w:color w:val="000000" w:themeColor="text1"/>
          <w:szCs w:val="21"/>
        </w:rPr>
        <w:t>We performed 220 deep-phenotype GWAS</w:t>
      </w:r>
      <w:r w:rsidR="00FE0EEE">
        <w:rPr>
          <w:rFonts w:ascii="Arial" w:hAnsi="Arial" w:cs="Arial"/>
          <w:color w:val="000000" w:themeColor="text1"/>
          <w:szCs w:val="21"/>
        </w:rPr>
        <w:t>s</w:t>
      </w:r>
      <w:r w:rsidRPr="00AB45F4">
        <w:rPr>
          <w:rFonts w:ascii="Arial" w:hAnsi="Arial" w:cs="Arial"/>
          <w:color w:val="000000" w:themeColor="text1"/>
          <w:szCs w:val="21"/>
        </w:rPr>
        <w:t xml:space="preserve"> in BioBank Japan, including 108 novel GWASs ever conducted in East Asian population. We performed trans-biobank meta-analys</w:t>
      </w:r>
      <w:r w:rsidR="004B4994">
        <w:rPr>
          <w:rFonts w:ascii="Arial" w:hAnsi="Arial" w:cs="Arial"/>
          <w:color w:val="000000" w:themeColor="text1"/>
          <w:szCs w:val="21"/>
        </w:rPr>
        <w:t>e</w:t>
      </w:r>
      <w:r w:rsidRPr="00AB45F4">
        <w:rPr>
          <w:rFonts w:ascii="Arial" w:hAnsi="Arial" w:cs="Arial"/>
          <w:color w:val="000000" w:themeColor="text1"/>
          <w:szCs w:val="21"/>
        </w:rPr>
        <w:t>s with UK Biobank and FinnGen (</w:t>
      </w:r>
      <w:proofErr w:type="spellStart"/>
      <w:r w:rsidRPr="00CE7E24">
        <w:rPr>
          <w:rFonts w:ascii="Arial" w:hAnsi="Arial" w:cs="Arial"/>
          <w:i/>
          <w:color w:val="000000" w:themeColor="text1"/>
          <w:szCs w:val="21"/>
        </w:rPr>
        <w:t>n</w:t>
      </w:r>
      <w:r w:rsidRPr="00CE7E24">
        <w:rPr>
          <w:rFonts w:ascii="Arial" w:hAnsi="Arial" w:cs="Arial"/>
          <w:color w:val="000000" w:themeColor="text1"/>
          <w:szCs w:val="21"/>
          <w:vertAlign w:val="subscript"/>
        </w:rPr>
        <w:t>total</w:t>
      </w:r>
      <w:proofErr w:type="spellEnd"/>
      <w:r w:rsidRPr="00AB45F4">
        <w:rPr>
          <w:rFonts w:ascii="Arial" w:hAnsi="Arial" w:cs="Arial"/>
          <w:color w:val="000000" w:themeColor="text1"/>
          <w:szCs w:val="21"/>
        </w:rPr>
        <w:t xml:space="preserve"> = 628,000), resulting in discovery of 4,168 novel loci. All summary statistics will be openly shared through web database. As downstream analyses, we performed (</w:t>
      </w:r>
      <w:proofErr w:type="spellStart"/>
      <w:r w:rsidRPr="00AB45F4">
        <w:rPr>
          <w:rFonts w:ascii="Arial" w:hAnsi="Arial" w:cs="Arial"/>
          <w:color w:val="000000" w:themeColor="text1"/>
          <w:szCs w:val="21"/>
        </w:rPr>
        <w:t>i</w:t>
      </w:r>
      <w:proofErr w:type="spellEnd"/>
      <w:r w:rsidRPr="00AB45F4">
        <w:rPr>
          <w:rFonts w:ascii="Arial" w:hAnsi="Arial" w:cs="Arial"/>
          <w:color w:val="000000" w:themeColor="text1"/>
          <w:szCs w:val="21"/>
        </w:rPr>
        <w:t>) trans-ethnic comparison of pleiotropy and genetic correlation, (ii) comprehensive HLA fine-mapping, and (iii) statistical decomposition of a matrix of summary statistics to gain insights into biology underlying current disease classifications, by incorporating functional genomics, metabolomics, and biomarker data.</w:t>
      </w:r>
    </w:p>
    <w:p w:rsidR="00FD564A" w:rsidRDefault="00FD564A">
      <w:pPr>
        <w:widowControl/>
        <w:jc w:val="left"/>
        <w:rPr>
          <w:rFonts w:ascii="Arial" w:hAnsi="Arial" w:cs="Arial"/>
          <w:b/>
          <w:color w:val="000000" w:themeColor="text1"/>
          <w:szCs w:val="21"/>
        </w:rPr>
      </w:pPr>
      <w:r>
        <w:rPr>
          <w:rFonts w:ascii="Arial" w:hAnsi="Arial" w:cs="Arial"/>
          <w:b/>
          <w:color w:val="000000" w:themeColor="text1"/>
          <w:szCs w:val="21"/>
        </w:rPr>
        <w:br w:type="page"/>
      </w:r>
    </w:p>
    <w:p w:rsidR="00FF38F6" w:rsidRDefault="002C5DBB" w:rsidP="00633AC2">
      <w:pPr>
        <w:spacing w:line="360" w:lineRule="auto"/>
        <w:ind w:left="105" w:hangingChars="50" w:hanging="105"/>
        <w:rPr>
          <w:rFonts w:ascii="Arial" w:hAnsi="Arial" w:cs="Arial"/>
          <w:b/>
          <w:color w:val="000000" w:themeColor="text1"/>
          <w:szCs w:val="21"/>
        </w:rPr>
      </w:pPr>
      <w:r>
        <w:rPr>
          <w:rFonts w:ascii="Arial" w:hAnsi="Arial" w:cs="Arial"/>
          <w:b/>
          <w:color w:val="000000" w:themeColor="text1"/>
          <w:szCs w:val="21"/>
        </w:rPr>
        <w:lastRenderedPageBreak/>
        <w:t>Extended Data Figure</w:t>
      </w:r>
      <w:r w:rsidR="00821C27" w:rsidRPr="000E0822">
        <w:rPr>
          <w:rFonts w:ascii="Arial" w:hAnsi="Arial" w:cs="Arial"/>
          <w:b/>
          <w:color w:val="000000" w:themeColor="text1"/>
          <w:szCs w:val="21"/>
        </w:rPr>
        <w:t xml:space="preserve"> </w:t>
      </w:r>
      <w:r w:rsidR="00AF6D30">
        <w:rPr>
          <w:rFonts w:ascii="Arial" w:hAnsi="Arial" w:cs="Arial"/>
          <w:b/>
          <w:color w:val="000000" w:themeColor="text1"/>
          <w:szCs w:val="21"/>
        </w:rPr>
        <w:t>2</w:t>
      </w:r>
      <w:r w:rsidR="00821C27" w:rsidRPr="000E0822">
        <w:rPr>
          <w:rFonts w:ascii="Arial" w:hAnsi="Arial" w:cs="Arial"/>
          <w:b/>
          <w:color w:val="000000" w:themeColor="text1"/>
          <w:szCs w:val="21"/>
        </w:rPr>
        <w:t xml:space="preserve">. </w:t>
      </w:r>
    </w:p>
    <w:p w:rsidR="00FF38F6" w:rsidRDefault="005B2E1C" w:rsidP="00633AC2">
      <w:pPr>
        <w:spacing w:line="360" w:lineRule="auto"/>
        <w:ind w:left="105" w:hangingChars="50" w:hanging="105"/>
        <w:rPr>
          <w:rFonts w:ascii="Arial" w:hAnsi="Arial" w:cs="Arial"/>
          <w:b/>
          <w:color w:val="000000" w:themeColor="text1"/>
          <w:szCs w:val="21"/>
        </w:rPr>
      </w:pPr>
      <w:r w:rsidRPr="005B2E1C">
        <w:rPr>
          <w:rFonts w:ascii="Arial" w:hAnsi="Arial" w:cs="Arial"/>
          <w:b/>
          <w:noProof/>
          <w:color w:val="000000" w:themeColor="text1"/>
          <w:szCs w:val="21"/>
        </w:rPr>
        <w:drawing>
          <wp:inline distT="0" distB="0" distL="0" distR="0" wp14:anchorId="706D9220" wp14:editId="0DF72802">
            <wp:extent cx="6184900" cy="429704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84900" cy="4297045"/>
                    </a:xfrm>
                    <a:prstGeom prst="rect">
                      <a:avLst/>
                    </a:prstGeom>
                  </pic:spPr>
                </pic:pic>
              </a:graphicData>
            </a:graphic>
          </wp:inline>
        </w:drawing>
      </w:r>
    </w:p>
    <w:p w:rsidR="00FF38F6" w:rsidRDefault="00FF38F6" w:rsidP="00633AC2">
      <w:pPr>
        <w:spacing w:line="360" w:lineRule="auto"/>
        <w:ind w:left="105" w:hangingChars="50" w:hanging="105"/>
        <w:rPr>
          <w:rFonts w:ascii="Arial" w:hAnsi="Arial" w:cs="Arial"/>
          <w:b/>
          <w:szCs w:val="21"/>
        </w:rPr>
      </w:pPr>
      <w:r>
        <w:rPr>
          <w:rFonts w:ascii="Arial" w:hAnsi="Arial" w:cs="Arial" w:hint="eastAsia"/>
          <w:b/>
          <w:szCs w:val="21"/>
        </w:rPr>
        <w:t>Extended Data Figure</w:t>
      </w:r>
      <w:r w:rsidRPr="000E0822">
        <w:rPr>
          <w:rFonts w:ascii="Arial" w:hAnsi="Arial" w:cs="Arial"/>
          <w:b/>
          <w:szCs w:val="21"/>
        </w:rPr>
        <w:t xml:space="preserve"> </w:t>
      </w:r>
      <w:r w:rsidR="00D82E56">
        <w:rPr>
          <w:rFonts w:ascii="Arial" w:hAnsi="Arial" w:cs="Arial"/>
          <w:b/>
          <w:szCs w:val="21"/>
        </w:rPr>
        <w:t>2</w:t>
      </w:r>
      <w:r w:rsidRPr="000E0822">
        <w:rPr>
          <w:rFonts w:ascii="Arial" w:hAnsi="Arial" w:cs="Arial"/>
          <w:b/>
          <w:szCs w:val="21"/>
        </w:rPr>
        <w:t xml:space="preserve"> | </w:t>
      </w:r>
      <w:r>
        <w:rPr>
          <w:rFonts w:ascii="Arial" w:hAnsi="Arial" w:cs="Arial"/>
          <w:b/>
          <w:szCs w:val="21"/>
        </w:rPr>
        <w:t xml:space="preserve">Locus plot for </w:t>
      </w:r>
      <w:r w:rsidR="00FF515C">
        <w:rPr>
          <w:rFonts w:ascii="Arial" w:hAnsi="Arial" w:cs="Arial"/>
          <w:b/>
          <w:szCs w:val="21"/>
        </w:rPr>
        <w:t>Pulmonary Tuberculosis (PTB) in BBJ.</w:t>
      </w:r>
    </w:p>
    <w:p w:rsidR="005357F1" w:rsidRPr="005357F1" w:rsidRDefault="005B2E1C" w:rsidP="000A3EF6">
      <w:pPr>
        <w:rPr>
          <w:rFonts w:ascii="Arial" w:hAnsi="Arial" w:cs="Arial"/>
          <w:color w:val="000000" w:themeColor="text1"/>
          <w:szCs w:val="21"/>
        </w:rPr>
      </w:pPr>
      <w:r>
        <w:rPr>
          <w:rFonts w:ascii="Arial" w:hAnsi="Arial" w:cs="Arial"/>
          <w:color w:val="000000" w:themeColor="text1"/>
          <w:szCs w:val="21"/>
        </w:rPr>
        <w:t>Regional association plots are shown</w:t>
      </w:r>
      <w:r w:rsidR="00F85D24">
        <w:rPr>
          <w:rFonts w:ascii="Arial" w:hAnsi="Arial" w:cs="Arial"/>
          <w:color w:val="000000" w:themeColor="text1"/>
          <w:szCs w:val="21"/>
        </w:rPr>
        <w:t>.</w:t>
      </w:r>
      <w:r>
        <w:rPr>
          <w:rFonts w:ascii="Arial" w:hAnsi="Arial" w:cs="Arial"/>
          <w:color w:val="000000" w:themeColor="text1"/>
          <w:szCs w:val="21"/>
        </w:rPr>
        <w:t xml:space="preserve"> </w:t>
      </w:r>
      <w:r>
        <w:rPr>
          <w:rFonts w:ascii="Arial" w:hAnsi="Arial" w:cs="Arial" w:hint="eastAsia"/>
          <w:color w:val="000000" w:themeColor="text1"/>
          <w:szCs w:val="21"/>
        </w:rPr>
        <w:t>T</w:t>
      </w:r>
      <w:r>
        <w:rPr>
          <w:rFonts w:ascii="Arial" w:hAnsi="Arial" w:cs="Arial"/>
          <w:color w:val="000000" w:themeColor="text1"/>
          <w:szCs w:val="21"/>
        </w:rPr>
        <w:t xml:space="preserve">he lead variant </w:t>
      </w:r>
      <w:r w:rsidR="00230CA2">
        <w:rPr>
          <w:rFonts w:ascii="Arial" w:hAnsi="Arial" w:cs="Arial"/>
          <w:color w:val="000000" w:themeColor="text1"/>
          <w:szCs w:val="21"/>
        </w:rPr>
        <w:t>(</w:t>
      </w:r>
      <w:r w:rsidR="00230CA2" w:rsidRPr="00DE2AAF">
        <w:rPr>
          <w:rFonts w:ascii="Arial" w:hAnsi="Arial" w:cs="Arial"/>
          <w:color w:val="000000" w:themeColor="text1"/>
        </w:rPr>
        <w:t>rs140780894</w:t>
      </w:r>
      <w:r w:rsidR="00230CA2">
        <w:rPr>
          <w:rFonts w:ascii="Arial" w:hAnsi="Arial" w:cs="Arial"/>
          <w:color w:val="000000" w:themeColor="text1"/>
          <w:szCs w:val="21"/>
        </w:rPr>
        <w:t xml:space="preserve">) </w:t>
      </w:r>
      <w:r>
        <w:rPr>
          <w:rFonts w:ascii="Arial" w:hAnsi="Arial" w:cs="Arial"/>
          <w:color w:val="000000" w:themeColor="text1"/>
          <w:szCs w:val="21"/>
        </w:rPr>
        <w:t>is colored in pink, and c</w:t>
      </w:r>
      <w:r w:rsidRPr="005B2E1C">
        <w:rPr>
          <w:rFonts w:ascii="Arial" w:hAnsi="Arial" w:cs="Arial"/>
          <w:color w:val="000000" w:themeColor="text1"/>
          <w:szCs w:val="21"/>
        </w:rPr>
        <w:t>olors of</w:t>
      </w:r>
      <w:r>
        <w:rPr>
          <w:rFonts w:ascii="Arial" w:hAnsi="Arial" w:cs="Arial"/>
          <w:color w:val="000000" w:themeColor="text1"/>
          <w:szCs w:val="21"/>
        </w:rPr>
        <w:t xml:space="preserve"> other</w:t>
      </w:r>
      <w:r w:rsidRPr="005B2E1C">
        <w:rPr>
          <w:rFonts w:ascii="Arial" w:hAnsi="Arial" w:cs="Arial"/>
          <w:color w:val="000000" w:themeColor="text1"/>
          <w:szCs w:val="21"/>
        </w:rPr>
        <w:t xml:space="preserve"> </w:t>
      </w:r>
      <w:r>
        <w:rPr>
          <w:rFonts w:ascii="Arial" w:hAnsi="Arial" w:cs="Arial"/>
          <w:color w:val="000000" w:themeColor="text1"/>
          <w:szCs w:val="21"/>
        </w:rPr>
        <w:t>dot</w:t>
      </w:r>
      <w:r w:rsidRPr="005B2E1C">
        <w:rPr>
          <w:rFonts w:ascii="Arial" w:hAnsi="Arial" w:cs="Arial"/>
          <w:color w:val="000000" w:themeColor="text1"/>
          <w:szCs w:val="21"/>
        </w:rPr>
        <w:t>s indicate</w:t>
      </w:r>
      <w:r>
        <w:rPr>
          <w:rFonts w:ascii="Arial" w:hAnsi="Arial" w:cs="Arial"/>
          <w:color w:val="000000" w:themeColor="text1"/>
          <w:szCs w:val="21"/>
        </w:rPr>
        <w:t xml:space="preserve"> </w:t>
      </w:r>
      <w:r w:rsidRPr="005B2E1C">
        <w:rPr>
          <w:rFonts w:ascii="Arial" w:hAnsi="Arial" w:cs="Arial"/>
          <w:color w:val="000000" w:themeColor="text1"/>
          <w:szCs w:val="21"/>
        </w:rPr>
        <w:t xml:space="preserve">linkage disequilibrium measure </w:t>
      </w:r>
      <w:r w:rsidRPr="006E5AB5">
        <w:rPr>
          <w:rFonts w:ascii="Arial" w:hAnsi="Arial" w:cs="Arial"/>
          <w:i/>
          <w:color w:val="000000" w:themeColor="text1"/>
          <w:szCs w:val="21"/>
        </w:rPr>
        <w:t>r</w:t>
      </w:r>
      <w:r w:rsidRPr="006E5AB5">
        <w:rPr>
          <w:rFonts w:ascii="Arial" w:hAnsi="Arial" w:cs="Arial"/>
          <w:color w:val="000000" w:themeColor="text1"/>
          <w:szCs w:val="21"/>
          <w:vertAlign w:val="superscript"/>
        </w:rPr>
        <w:t>2</w:t>
      </w:r>
      <w:r w:rsidRPr="005B2E1C">
        <w:rPr>
          <w:rFonts w:ascii="Arial" w:hAnsi="Arial" w:cs="Arial"/>
          <w:color w:val="000000" w:themeColor="text1"/>
          <w:szCs w:val="21"/>
        </w:rPr>
        <w:t xml:space="preserve"> with</w:t>
      </w:r>
      <w:r w:rsidR="006E5AB5">
        <w:rPr>
          <w:rFonts w:ascii="Arial" w:hAnsi="Arial" w:cs="Arial"/>
          <w:color w:val="000000" w:themeColor="text1"/>
          <w:szCs w:val="21"/>
        </w:rPr>
        <w:t xml:space="preserve"> the</w:t>
      </w:r>
      <w:r w:rsidRPr="005B2E1C">
        <w:rPr>
          <w:rFonts w:ascii="Arial" w:hAnsi="Arial" w:cs="Arial"/>
          <w:color w:val="000000" w:themeColor="text1"/>
          <w:szCs w:val="21"/>
        </w:rPr>
        <w:t xml:space="preserve"> lead </w:t>
      </w:r>
      <w:r w:rsidR="006E5AB5">
        <w:rPr>
          <w:rFonts w:ascii="Arial" w:hAnsi="Arial" w:cs="Arial"/>
          <w:color w:val="000000" w:themeColor="text1"/>
          <w:szCs w:val="21"/>
        </w:rPr>
        <w:t>variant</w:t>
      </w:r>
      <w:r w:rsidRPr="005B2E1C">
        <w:rPr>
          <w:rFonts w:ascii="Arial" w:hAnsi="Arial" w:cs="Arial"/>
          <w:color w:val="000000" w:themeColor="text1"/>
          <w:szCs w:val="21"/>
        </w:rPr>
        <w:t>.</w:t>
      </w:r>
      <w:r>
        <w:rPr>
          <w:rFonts w:ascii="Arial" w:hAnsi="Arial" w:cs="Arial"/>
          <w:color w:val="000000" w:themeColor="text1"/>
          <w:szCs w:val="21"/>
        </w:rPr>
        <w:t xml:space="preserve"> </w:t>
      </w:r>
    </w:p>
    <w:p w:rsidR="00FF38F6" w:rsidRDefault="00FF38F6" w:rsidP="00633AC2">
      <w:pPr>
        <w:widowControl/>
        <w:rPr>
          <w:rFonts w:ascii="Arial" w:hAnsi="Arial" w:cs="Arial"/>
          <w:b/>
          <w:color w:val="000000" w:themeColor="text1"/>
          <w:szCs w:val="21"/>
        </w:rPr>
      </w:pPr>
      <w:r>
        <w:rPr>
          <w:rFonts w:ascii="Arial" w:hAnsi="Arial" w:cs="Arial"/>
          <w:b/>
          <w:color w:val="000000" w:themeColor="text1"/>
          <w:szCs w:val="21"/>
        </w:rPr>
        <w:br w:type="page"/>
      </w:r>
    </w:p>
    <w:p w:rsidR="000033F6" w:rsidRDefault="000033F6" w:rsidP="00633AC2">
      <w:pPr>
        <w:spacing w:line="360" w:lineRule="auto"/>
        <w:ind w:left="105" w:hangingChars="50" w:hanging="105"/>
        <w:rPr>
          <w:rFonts w:ascii="Arial" w:hAnsi="Arial" w:cs="Arial"/>
          <w:b/>
          <w:color w:val="000000" w:themeColor="text1"/>
          <w:szCs w:val="21"/>
        </w:rPr>
      </w:pPr>
      <w:r>
        <w:rPr>
          <w:rFonts w:ascii="Arial" w:hAnsi="Arial" w:cs="Arial"/>
          <w:b/>
          <w:color w:val="000000" w:themeColor="text1"/>
          <w:szCs w:val="21"/>
        </w:rPr>
        <w:lastRenderedPageBreak/>
        <w:t>Extended Data Figure</w:t>
      </w:r>
      <w:r w:rsidRPr="000E0822">
        <w:rPr>
          <w:rFonts w:ascii="Arial" w:hAnsi="Arial" w:cs="Arial"/>
          <w:b/>
          <w:color w:val="000000" w:themeColor="text1"/>
          <w:szCs w:val="21"/>
        </w:rPr>
        <w:t xml:space="preserve"> </w:t>
      </w:r>
      <w:r w:rsidR="00D82E56">
        <w:rPr>
          <w:rFonts w:ascii="Arial" w:hAnsi="Arial" w:cs="Arial"/>
          <w:b/>
          <w:color w:val="000000" w:themeColor="text1"/>
          <w:szCs w:val="21"/>
        </w:rPr>
        <w:t>3</w:t>
      </w:r>
      <w:r w:rsidRPr="000E0822">
        <w:rPr>
          <w:rFonts w:ascii="Arial" w:hAnsi="Arial" w:cs="Arial"/>
          <w:b/>
          <w:color w:val="000000" w:themeColor="text1"/>
          <w:szCs w:val="21"/>
        </w:rPr>
        <w:t xml:space="preserve">. </w:t>
      </w:r>
    </w:p>
    <w:p w:rsidR="000033F6" w:rsidRDefault="004347F3" w:rsidP="00633AC2">
      <w:pPr>
        <w:widowControl/>
        <w:rPr>
          <w:rFonts w:ascii="Arial" w:hAnsi="Arial" w:cs="Arial"/>
          <w:b/>
          <w:color w:val="000000" w:themeColor="text1"/>
          <w:szCs w:val="21"/>
        </w:rPr>
      </w:pPr>
      <w:r w:rsidRPr="004347F3">
        <w:rPr>
          <w:rFonts w:ascii="Arial" w:hAnsi="Arial" w:cs="Arial"/>
          <w:b/>
          <w:noProof/>
          <w:color w:val="000000" w:themeColor="text1"/>
          <w:szCs w:val="21"/>
        </w:rPr>
        <w:drawing>
          <wp:inline distT="0" distB="0" distL="0" distR="0" wp14:anchorId="215E1B08" wp14:editId="0CB63160">
            <wp:extent cx="6184900" cy="437197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84900" cy="4371975"/>
                    </a:xfrm>
                    <a:prstGeom prst="rect">
                      <a:avLst/>
                    </a:prstGeom>
                  </pic:spPr>
                </pic:pic>
              </a:graphicData>
            </a:graphic>
          </wp:inline>
        </w:drawing>
      </w:r>
    </w:p>
    <w:p w:rsidR="004347F3" w:rsidRDefault="004347F3" w:rsidP="00633AC2">
      <w:pPr>
        <w:spacing w:line="360" w:lineRule="auto"/>
        <w:ind w:left="105" w:hangingChars="50" w:hanging="105"/>
        <w:rPr>
          <w:rFonts w:ascii="Arial" w:hAnsi="Arial" w:cs="Arial"/>
          <w:b/>
          <w:szCs w:val="21"/>
        </w:rPr>
      </w:pPr>
      <w:r>
        <w:rPr>
          <w:rFonts w:ascii="Arial" w:hAnsi="Arial" w:cs="Arial" w:hint="eastAsia"/>
          <w:b/>
          <w:szCs w:val="21"/>
        </w:rPr>
        <w:t>Extended Data Figure</w:t>
      </w:r>
      <w:r w:rsidRPr="000E0822">
        <w:rPr>
          <w:rFonts w:ascii="Arial" w:hAnsi="Arial" w:cs="Arial"/>
          <w:b/>
          <w:szCs w:val="21"/>
        </w:rPr>
        <w:t xml:space="preserve"> </w:t>
      </w:r>
      <w:r w:rsidR="00D82E56">
        <w:rPr>
          <w:rFonts w:ascii="Arial" w:hAnsi="Arial" w:cs="Arial"/>
          <w:b/>
          <w:szCs w:val="21"/>
        </w:rPr>
        <w:t>3</w:t>
      </w:r>
      <w:r w:rsidRPr="000E0822">
        <w:rPr>
          <w:rFonts w:ascii="Arial" w:hAnsi="Arial" w:cs="Arial"/>
          <w:b/>
          <w:szCs w:val="21"/>
        </w:rPr>
        <w:t xml:space="preserve"> | </w:t>
      </w:r>
      <w:r>
        <w:rPr>
          <w:rFonts w:ascii="Arial" w:hAnsi="Arial" w:cs="Arial"/>
          <w:b/>
          <w:szCs w:val="21"/>
        </w:rPr>
        <w:t xml:space="preserve">Locus plot for </w:t>
      </w:r>
      <w:r w:rsidR="00DC5272">
        <w:rPr>
          <w:rFonts w:ascii="Arial" w:hAnsi="Arial" w:cs="Arial"/>
          <w:b/>
          <w:szCs w:val="21"/>
        </w:rPr>
        <w:t>dysentery</w:t>
      </w:r>
      <w:r>
        <w:rPr>
          <w:rFonts w:ascii="Arial" w:hAnsi="Arial" w:cs="Arial"/>
          <w:b/>
          <w:szCs w:val="21"/>
        </w:rPr>
        <w:t xml:space="preserve"> in BBJ.</w:t>
      </w:r>
    </w:p>
    <w:p w:rsidR="004347F3" w:rsidRPr="005357F1" w:rsidRDefault="004347F3" w:rsidP="00633AC2">
      <w:pPr>
        <w:rPr>
          <w:rFonts w:ascii="Arial" w:hAnsi="Arial" w:cs="Arial"/>
          <w:color w:val="000000" w:themeColor="text1"/>
          <w:szCs w:val="21"/>
        </w:rPr>
      </w:pPr>
      <w:r>
        <w:rPr>
          <w:rFonts w:ascii="Arial" w:hAnsi="Arial" w:cs="Arial"/>
          <w:color w:val="000000" w:themeColor="text1"/>
          <w:szCs w:val="21"/>
        </w:rPr>
        <w:t>Regional association plots are shown</w:t>
      </w:r>
      <w:r w:rsidR="00441896">
        <w:rPr>
          <w:rFonts w:ascii="Arial" w:hAnsi="Arial" w:cs="Arial"/>
          <w:color w:val="000000" w:themeColor="text1"/>
          <w:szCs w:val="21"/>
        </w:rPr>
        <w:t>.</w:t>
      </w:r>
      <w:r>
        <w:rPr>
          <w:rFonts w:ascii="Arial" w:hAnsi="Arial" w:cs="Arial"/>
          <w:color w:val="000000" w:themeColor="text1"/>
          <w:szCs w:val="21"/>
        </w:rPr>
        <w:t xml:space="preserve"> </w:t>
      </w:r>
      <w:r>
        <w:rPr>
          <w:rFonts w:ascii="Arial" w:hAnsi="Arial" w:cs="Arial" w:hint="eastAsia"/>
          <w:color w:val="000000" w:themeColor="text1"/>
          <w:szCs w:val="21"/>
        </w:rPr>
        <w:t>T</w:t>
      </w:r>
      <w:r>
        <w:rPr>
          <w:rFonts w:ascii="Arial" w:hAnsi="Arial" w:cs="Arial"/>
          <w:color w:val="000000" w:themeColor="text1"/>
          <w:szCs w:val="21"/>
        </w:rPr>
        <w:t>he lead variant (</w:t>
      </w:r>
      <w:r w:rsidR="007A145A" w:rsidRPr="00DE2AAF">
        <w:rPr>
          <w:rFonts w:ascii="Arial" w:hAnsi="Arial" w:cs="Arial"/>
          <w:color w:val="000000" w:themeColor="text1"/>
        </w:rPr>
        <w:t>rs190894416</w:t>
      </w:r>
      <w:r>
        <w:rPr>
          <w:rFonts w:ascii="Arial" w:hAnsi="Arial" w:cs="Arial"/>
          <w:color w:val="000000" w:themeColor="text1"/>
          <w:szCs w:val="21"/>
        </w:rPr>
        <w:t>) is colored in pink, and c</w:t>
      </w:r>
      <w:r w:rsidRPr="005B2E1C">
        <w:rPr>
          <w:rFonts w:ascii="Arial" w:hAnsi="Arial" w:cs="Arial"/>
          <w:color w:val="000000" w:themeColor="text1"/>
          <w:szCs w:val="21"/>
        </w:rPr>
        <w:t>olors of</w:t>
      </w:r>
      <w:r>
        <w:rPr>
          <w:rFonts w:ascii="Arial" w:hAnsi="Arial" w:cs="Arial"/>
          <w:color w:val="000000" w:themeColor="text1"/>
          <w:szCs w:val="21"/>
        </w:rPr>
        <w:t xml:space="preserve"> other</w:t>
      </w:r>
      <w:r w:rsidRPr="005B2E1C">
        <w:rPr>
          <w:rFonts w:ascii="Arial" w:hAnsi="Arial" w:cs="Arial"/>
          <w:color w:val="000000" w:themeColor="text1"/>
          <w:szCs w:val="21"/>
        </w:rPr>
        <w:t xml:space="preserve"> </w:t>
      </w:r>
      <w:r>
        <w:rPr>
          <w:rFonts w:ascii="Arial" w:hAnsi="Arial" w:cs="Arial"/>
          <w:color w:val="000000" w:themeColor="text1"/>
          <w:szCs w:val="21"/>
        </w:rPr>
        <w:t>dot</w:t>
      </w:r>
      <w:r w:rsidRPr="005B2E1C">
        <w:rPr>
          <w:rFonts w:ascii="Arial" w:hAnsi="Arial" w:cs="Arial"/>
          <w:color w:val="000000" w:themeColor="text1"/>
          <w:szCs w:val="21"/>
        </w:rPr>
        <w:t>s indicate</w:t>
      </w:r>
      <w:r>
        <w:rPr>
          <w:rFonts w:ascii="Arial" w:hAnsi="Arial" w:cs="Arial"/>
          <w:color w:val="000000" w:themeColor="text1"/>
          <w:szCs w:val="21"/>
        </w:rPr>
        <w:t xml:space="preserve"> </w:t>
      </w:r>
      <w:r w:rsidRPr="005B2E1C">
        <w:rPr>
          <w:rFonts w:ascii="Arial" w:hAnsi="Arial" w:cs="Arial"/>
          <w:color w:val="000000" w:themeColor="text1"/>
          <w:szCs w:val="21"/>
        </w:rPr>
        <w:t xml:space="preserve">linkage disequilibrium measure </w:t>
      </w:r>
      <w:r w:rsidRPr="006E5AB5">
        <w:rPr>
          <w:rFonts w:ascii="Arial" w:hAnsi="Arial" w:cs="Arial"/>
          <w:i/>
          <w:color w:val="000000" w:themeColor="text1"/>
          <w:szCs w:val="21"/>
        </w:rPr>
        <w:t>r</w:t>
      </w:r>
      <w:r w:rsidRPr="006E5AB5">
        <w:rPr>
          <w:rFonts w:ascii="Arial" w:hAnsi="Arial" w:cs="Arial"/>
          <w:color w:val="000000" w:themeColor="text1"/>
          <w:szCs w:val="21"/>
          <w:vertAlign w:val="superscript"/>
        </w:rPr>
        <w:t>2</w:t>
      </w:r>
      <w:r w:rsidRPr="005B2E1C">
        <w:rPr>
          <w:rFonts w:ascii="Arial" w:hAnsi="Arial" w:cs="Arial"/>
          <w:color w:val="000000" w:themeColor="text1"/>
          <w:szCs w:val="21"/>
        </w:rPr>
        <w:t xml:space="preserve"> with</w:t>
      </w:r>
      <w:r>
        <w:rPr>
          <w:rFonts w:ascii="Arial" w:hAnsi="Arial" w:cs="Arial"/>
          <w:color w:val="000000" w:themeColor="text1"/>
          <w:szCs w:val="21"/>
        </w:rPr>
        <w:t xml:space="preserve"> the</w:t>
      </w:r>
      <w:r w:rsidRPr="005B2E1C">
        <w:rPr>
          <w:rFonts w:ascii="Arial" w:hAnsi="Arial" w:cs="Arial"/>
          <w:color w:val="000000" w:themeColor="text1"/>
          <w:szCs w:val="21"/>
        </w:rPr>
        <w:t xml:space="preserve"> lead </w:t>
      </w:r>
      <w:r>
        <w:rPr>
          <w:rFonts w:ascii="Arial" w:hAnsi="Arial" w:cs="Arial"/>
          <w:color w:val="000000" w:themeColor="text1"/>
          <w:szCs w:val="21"/>
        </w:rPr>
        <w:t>variant</w:t>
      </w:r>
      <w:r w:rsidRPr="005B2E1C">
        <w:rPr>
          <w:rFonts w:ascii="Arial" w:hAnsi="Arial" w:cs="Arial"/>
          <w:color w:val="000000" w:themeColor="text1"/>
          <w:szCs w:val="21"/>
        </w:rPr>
        <w:t>.</w:t>
      </w:r>
      <w:r>
        <w:rPr>
          <w:rFonts w:ascii="Arial" w:hAnsi="Arial" w:cs="Arial"/>
          <w:color w:val="000000" w:themeColor="text1"/>
          <w:szCs w:val="21"/>
        </w:rPr>
        <w:t xml:space="preserve"> </w:t>
      </w:r>
    </w:p>
    <w:p w:rsidR="004347F3" w:rsidRPr="004347F3" w:rsidRDefault="004347F3" w:rsidP="00633AC2">
      <w:pPr>
        <w:widowControl/>
        <w:rPr>
          <w:rFonts w:ascii="Arial" w:hAnsi="Arial" w:cs="Arial"/>
          <w:b/>
          <w:color w:val="000000" w:themeColor="text1"/>
          <w:szCs w:val="21"/>
        </w:rPr>
      </w:pPr>
    </w:p>
    <w:p w:rsidR="000033F6" w:rsidRDefault="000033F6" w:rsidP="00633AC2">
      <w:pPr>
        <w:widowControl/>
        <w:rPr>
          <w:rFonts w:ascii="Arial" w:hAnsi="Arial" w:cs="Arial"/>
          <w:b/>
          <w:color w:val="000000" w:themeColor="text1"/>
          <w:szCs w:val="21"/>
        </w:rPr>
      </w:pPr>
      <w:r>
        <w:rPr>
          <w:rFonts w:ascii="Arial" w:hAnsi="Arial" w:cs="Arial"/>
          <w:b/>
          <w:color w:val="000000" w:themeColor="text1"/>
          <w:szCs w:val="21"/>
        </w:rPr>
        <w:br w:type="page"/>
      </w:r>
    </w:p>
    <w:p w:rsidR="00126FCB" w:rsidRDefault="00126FCB" w:rsidP="00633AC2">
      <w:pPr>
        <w:spacing w:line="360" w:lineRule="auto"/>
        <w:ind w:left="105" w:hangingChars="50" w:hanging="105"/>
        <w:rPr>
          <w:rFonts w:ascii="Arial" w:hAnsi="Arial" w:cs="Arial"/>
          <w:b/>
          <w:color w:val="000000" w:themeColor="text1"/>
          <w:szCs w:val="21"/>
        </w:rPr>
      </w:pPr>
      <w:r>
        <w:rPr>
          <w:rFonts w:ascii="Arial" w:hAnsi="Arial" w:cs="Arial"/>
          <w:b/>
          <w:color w:val="000000" w:themeColor="text1"/>
          <w:szCs w:val="21"/>
        </w:rPr>
        <w:lastRenderedPageBreak/>
        <w:t>Extended Data Figure</w:t>
      </w:r>
      <w:r w:rsidRPr="000E0822">
        <w:rPr>
          <w:rFonts w:ascii="Arial" w:hAnsi="Arial" w:cs="Arial"/>
          <w:b/>
          <w:color w:val="000000" w:themeColor="text1"/>
          <w:szCs w:val="21"/>
        </w:rPr>
        <w:t xml:space="preserve"> </w:t>
      </w:r>
      <w:r w:rsidR="00D82E56">
        <w:rPr>
          <w:rFonts w:ascii="Arial" w:hAnsi="Arial" w:cs="Arial"/>
          <w:b/>
          <w:color w:val="000000" w:themeColor="text1"/>
          <w:szCs w:val="21"/>
        </w:rPr>
        <w:t>4</w:t>
      </w:r>
      <w:r w:rsidRPr="000E0822">
        <w:rPr>
          <w:rFonts w:ascii="Arial" w:hAnsi="Arial" w:cs="Arial"/>
          <w:b/>
          <w:color w:val="000000" w:themeColor="text1"/>
          <w:szCs w:val="21"/>
        </w:rPr>
        <w:t>.</w:t>
      </w:r>
    </w:p>
    <w:p w:rsidR="00126FCB" w:rsidRDefault="001C3BCA" w:rsidP="00633AC2">
      <w:pPr>
        <w:spacing w:line="360" w:lineRule="auto"/>
        <w:rPr>
          <w:rFonts w:ascii="Arial" w:hAnsi="Arial" w:cs="Arial"/>
          <w:b/>
          <w:color w:val="000000" w:themeColor="text1"/>
          <w:szCs w:val="21"/>
        </w:rPr>
      </w:pPr>
      <w:r w:rsidRPr="001C3BCA">
        <w:rPr>
          <w:rFonts w:ascii="Arial" w:hAnsi="Arial" w:cs="Arial"/>
          <w:b/>
          <w:noProof/>
          <w:color w:val="000000" w:themeColor="text1"/>
          <w:szCs w:val="21"/>
        </w:rPr>
        <w:drawing>
          <wp:inline distT="0" distB="0" distL="0" distR="0" wp14:anchorId="346C7C8C" wp14:editId="0CB96A0C">
            <wp:extent cx="6184900" cy="4265930"/>
            <wp:effectExtent l="0" t="0" r="0" b="127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84900" cy="4265930"/>
                    </a:xfrm>
                    <a:prstGeom prst="rect">
                      <a:avLst/>
                    </a:prstGeom>
                  </pic:spPr>
                </pic:pic>
              </a:graphicData>
            </a:graphic>
          </wp:inline>
        </w:drawing>
      </w:r>
    </w:p>
    <w:p w:rsidR="00126FCB" w:rsidRDefault="00126FCB" w:rsidP="00633AC2">
      <w:pPr>
        <w:spacing w:line="360" w:lineRule="auto"/>
        <w:ind w:left="105" w:hangingChars="50" w:hanging="105"/>
        <w:rPr>
          <w:rFonts w:ascii="Arial" w:hAnsi="Arial" w:cs="Arial"/>
          <w:b/>
          <w:szCs w:val="21"/>
        </w:rPr>
      </w:pPr>
      <w:r>
        <w:rPr>
          <w:rFonts w:ascii="Arial" w:hAnsi="Arial" w:cs="Arial" w:hint="eastAsia"/>
          <w:b/>
          <w:szCs w:val="21"/>
        </w:rPr>
        <w:t>Extended Data Figure</w:t>
      </w:r>
      <w:r w:rsidRPr="000E0822">
        <w:rPr>
          <w:rFonts w:ascii="Arial" w:hAnsi="Arial" w:cs="Arial"/>
          <w:b/>
          <w:szCs w:val="21"/>
        </w:rPr>
        <w:t xml:space="preserve"> </w:t>
      </w:r>
      <w:r w:rsidR="00D82E56">
        <w:rPr>
          <w:rFonts w:ascii="Arial" w:hAnsi="Arial" w:cs="Arial"/>
          <w:b/>
          <w:szCs w:val="21"/>
        </w:rPr>
        <w:t>4</w:t>
      </w:r>
      <w:r w:rsidRPr="000E0822">
        <w:rPr>
          <w:rFonts w:ascii="Arial" w:hAnsi="Arial" w:cs="Arial"/>
          <w:b/>
          <w:szCs w:val="21"/>
        </w:rPr>
        <w:t xml:space="preserve"> | </w:t>
      </w:r>
      <w:r>
        <w:rPr>
          <w:rFonts w:ascii="Arial" w:hAnsi="Arial" w:cs="Arial"/>
          <w:b/>
          <w:szCs w:val="21"/>
        </w:rPr>
        <w:t xml:space="preserve">Locus plot for </w:t>
      </w:r>
      <w:r w:rsidR="000440A5">
        <w:rPr>
          <w:rFonts w:ascii="Arial" w:hAnsi="Arial" w:cs="Arial"/>
          <w:b/>
          <w:szCs w:val="21"/>
        </w:rPr>
        <w:t>cholelithiasis</w:t>
      </w:r>
      <w:r>
        <w:rPr>
          <w:rFonts w:ascii="Arial" w:hAnsi="Arial" w:cs="Arial"/>
          <w:b/>
          <w:szCs w:val="21"/>
        </w:rPr>
        <w:t xml:space="preserve"> in BBJ.</w:t>
      </w:r>
    </w:p>
    <w:p w:rsidR="00126FCB" w:rsidRPr="008D280A" w:rsidRDefault="00126FCB" w:rsidP="00633AC2">
      <w:pPr>
        <w:rPr>
          <w:rFonts w:ascii="Arial" w:hAnsi="Arial" w:cs="Arial"/>
          <w:color w:val="000000" w:themeColor="text1"/>
          <w:szCs w:val="21"/>
        </w:rPr>
      </w:pPr>
      <w:r>
        <w:rPr>
          <w:rFonts w:ascii="Arial" w:hAnsi="Arial" w:cs="Arial"/>
          <w:color w:val="000000" w:themeColor="text1"/>
          <w:szCs w:val="21"/>
        </w:rPr>
        <w:t xml:space="preserve">Regional association plots are shown. </w:t>
      </w:r>
      <w:r>
        <w:rPr>
          <w:rFonts w:ascii="Arial" w:hAnsi="Arial" w:cs="Arial" w:hint="eastAsia"/>
          <w:color w:val="000000" w:themeColor="text1"/>
          <w:szCs w:val="21"/>
        </w:rPr>
        <w:t>T</w:t>
      </w:r>
      <w:r>
        <w:rPr>
          <w:rFonts w:ascii="Arial" w:hAnsi="Arial" w:cs="Arial"/>
          <w:color w:val="000000" w:themeColor="text1"/>
          <w:szCs w:val="21"/>
        </w:rPr>
        <w:t>he lead variant (</w:t>
      </w:r>
      <w:r w:rsidR="00CC3A9A">
        <w:rPr>
          <w:rFonts w:ascii="Arial" w:hAnsi="Arial" w:cs="Arial"/>
          <w:color w:val="000000" w:themeColor="text1"/>
          <w:szCs w:val="21"/>
        </w:rPr>
        <w:t>r</w:t>
      </w:r>
      <w:r w:rsidR="0070640D" w:rsidRPr="00DE2AAF">
        <w:rPr>
          <w:rFonts w:ascii="Arial" w:hAnsi="Arial" w:cs="Arial"/>
          <w:color w:val="000000" w:themeColor="text1"/>
        </w:rPr>
        <w:t>s715</w:t>
      </w:r>
      <w:r>
        <w:rPr>
          <w:rFonts w:ascii="Arial" w:hAnsi="Arial" w:cs="Arial"/>
          <w:color w:val="000000" w:themeColor="text1"/>
          <w:szCs w:val="21"/>
        </w:rPr>
        <w:t>) is colored in pink, and c</w:t>
      </w:r>
      <w:r w:rsidRPr="005B2E1C">
        <w:rPr>
          <w:rFonts w:ascii="Arial" w:hAnsi="Arial" w:cs="Arial"/>
          <w:color w:val="000000" w:themeColor="text1"/>
          <w:szCs w:val="21"/>
        </w:rPr>
        <w:t>olors of</w:t>
      </w:r>
      <w:r>
        <w:rPr>
          <w:rFonts w:ascii="Arial" w:hAnsi="Arial" w:cs="Arial"/>
          <w:color w:val="000000" w:themeColor="text1"/>
          <w:szCs w:val="21"/>
        </w:rPr>
        <w:t xml:space="preserve"> other</w:t>
      </w:r>
      <w:r w:rsidRPr="005B2E1C">
        <w:rPr>
          <w:rFonts w:ascii="Arial" w:hAnsi="Arial" w:cs="Arial"/>
          <w:color w:val="000000" w:themeColor="text1"/>
          <w:szCs w:val="21"/>
        </w:rPr>
        <w:t xml:space="preserve"> </w:t>
      </w:r>
      <w:r>
        <w:rPr>
          <w:rFonts w:ascii="Arial" w:hAnsi="Arial" w:cs="Arial"/>
          <w:color w:val="000000" w:themeColor="text1"/>
          <w:szCs w:val="21"/>
        </w:rPr>
        <w:t>dot</w:t>
      </w:r>
      <w:r w:rsidRPr="005B2E1C">
        <w:rPr>
          <w:rFonts w:ascii="Arial" w:hAnsi="Arial" w:cs="Arial"/>
          <w:color w:val="000000" w:themeColor="text1"/>
          <w:szCs w:val="21"/>
        </w:rPr>
        <w:t>s indicate</w:t>
      </w:r>
      <w:r>
        <w:rPr>
          <w:rFonts w:ascii="Arial" w:hAnsi="Arial" w:cs="Arial"/>
          <w:color w:val="000000" w:themeColor="text1"/>
          <w:szCs w:val="21"/>
        </w:rPr>
        <w:t xml:space="preserve"> </w:t>
      </w:r>
      <w:r w:rsidRPr="005B2E1C">
        <w:rPr>
          <w:rFonts w:ascii="Arial" w:hAnsi="Arial" w:cs="Arial"/>
          <w:color w:val="000000" w:themeColor="text1"/>
          <w:szCs w:val="21"/>
        </w:rPr>
        <w:t xml:space="preserve">linkage disequilibrium measure </w:t>
      </w:r>
      <w:r w:rsidRPr="006E5AB5">
        <w:rPr>
          <w:rFonts w:ascii="Arial" w:hAnsi="Arial" w:cs="Arial"/>
          <w:i/>
          <w:color w:val="000000" w:themeColor="text1"/>
          <w:szCs w:val="21"/>
        </w:rPr>
        <w:t>r</w:t>
      </w:r>
      <w:r w:rsidRPr="006E5AB5">
        <w:rPr>
          <w:rFonts w:ascii="Arial" w:hAnsi="Arial" w:cs="Arial"/>
          <w:color w:val="000000" w:themeColor="text1"/>
          <w:szCs w:val="21"/>
          <w:vertAlign w:val="superscript"/>
        </w:rPr>
        <w:t>2</w:t>
      </w:r>
      <w:r w:rsidRPr="005B2E1C">
        <w:rPr>
          <w:rFonts w:ascii="Arial" w:hAnsi="Arial" w:cs="Arial"/>
          <w:color w:val="000000" w:themeColor="text1"/>
          <w:szCs w:val="21"/>
        </w:rPr>
        <w:t xml:space="preserve"> with</w:t>
      </w:r>
      <w:r>
        <w:rPr>
          <w:rFonts w:ascii="Arial" w:hAnsi="Arial" w:cs="Arial"/>
          <w:color w:val="000000" w:themeColor="text1"/>
          <w:szCs w:val="21"/>
        </w:rPr>
        <w:t xml:space="preserve"> the</w:t>
      </w:r>
      <w:r w:rsidRPr="005B2E1C">
        <w:rPr>
          <w:rFonts w:ascii="Arial" w:hAnsi="Arial" w:cs="Arial"/>
          <w:color w:val="000000" w:themeColor="text1"/>
          <w:szCs w:val="21"/>
        </w:rPr>
        <w:t xml:space="preserve"> lead </w:t>
      </w:r>
      <w:r>
        <w:rPr>
          <w:rFonts w:ascii="Arial" w:hAnsi="Arial" w:cs="Arial"/>
          <w:color w:val="000000" w:themeColor="text1"/>
          <w:szCs w:val="21"/>
        </w:rPr>
        <w:t>variant</w:t>
      </w:r>
      <w:r w:rsidRPr="005B2E1C">
        <w:rPr>
          <w:rFonts w:ascii="Arial" w:hAnsi="Arial" w:cs="Arial"/>
          <w:color w:val="000000" w:themeColor="text1"/>
          <w:szCs w:val="21"/>
        </w:rPr>
        <w:t>.</w:t>
      </w:r>
      <w:r>
        <w:rPr>
          <w:rFonts w:ascii="Arial" w:hAnsi="Arial" w:cs="Arial"/>
          <w:color w:val="000000" w:themeColor="text1"/>
          <w:szCs w:val="21"/>
        </w:rPr>
        <w:t xml:space="preserve"> </w:t>
      </w:r>
    </w:p>
    <w:p w:rsidR="008D280A" w:rsidRDefault="008D280A" w:rsidP="00633AC2">
      <w:pPr>
        <w:widowControl/>
        <w:rPr>
          <w:rFonts w:ascii="Arial" w:hAnsi="Arial" w:cs="Arial"/>
          <w:b/>
          <w:color w:val="000000" w:themeColor="text1"/>
          <w:szCs w:val="21"/>
        </w:rPr>
      </w:pPr>
      <w:r>
        <w:rPr>
          <w:rFonts w:ascii="Arial" w:hAnsi="Arial" w:cs="Arial"/>
          <w:b/>
          <w:color w:val="000000" w:themeColor="text1"/>
          <w:szCs w:val="21"/>
        </w:rPr>
        <w:br w:type="page"/>
      </w:r>
    </w:p>
    <w:p w:rsidR="008D280A" w:rsidRDefault="008D280A" w:rsidP="00633AC2">
      <w:pPr>
        <w:spacing w:line="360" w:lineRule="auto"/>
        <w:ind w:left="105" w:hangingChars="50" w:hanging="105"/>
        <w:rPr>
          <w:rFonts w:ascii="Arial" w:hAnsi="Arial" w:cs="Arial"/>
          <w:b/>
          <w:color w:val="000000" w:themeColor="text1"/>
          <w:szCs w:val="21"/>
        </w:rPr>
      </w:pPr>
      <w:r>
        <w:rPr>
          <w:rFonts w:ascii="Arial" w:hAnsi="Arial" w:cs="Arial"/>
          <w:b/>
          <w:color w:val="000000" w:themeColor="text1"/>
          <w:szCs w:val="21"/>
        </w:rPr>
        <w:lastRenderedPageBreak/>
        <w:t>Extended Data Figure</w:t>
      </w:r>
      <w:r w:rsidRPr="000E0822">
        <w:rPr>
          <w:rFonts w:ascii="Arial" w:hAnsi="Arial" w:cs="Arial"/>
          <w:b/>
          <w:color w:val="000000" w:themeColor="text1"/>
          <w:szCs w:val="21"/>
        </w:rPr>
        <w:t xml:space="preserve"> </w:t>
      </w:r>
      <w:r w:rsidR="00AD2768">
        <w:rPr>
          <w:rFonts w:ascii="Arial" w:hAnsi="Arial" w:cs="Arial"/>
          <w:b/>
          <w:color w:val="000000" w:themeColor="text1"/>
          <w:szCs w:val="21"/>
        </w:rPr>
        <w:t>5</w:t>
      </w:r>
      <w:r w:rsidRPr="000E0822">
        <w:rPr>
          <w:rFonts w:ascii="Arial" w:hAnsi="Arial" w:cs="Arial"/>
          <w:b/>
          <w:color w:val="000000" w:themeColor="text1"/>
          <w:szCs w:val="21"/>
        </w:rPr>
        <w:t>.</w:t>
      </w:r>
    </w:p>
    <w:p w:rsidR="009710A7" w:rsidRDefault="004B6A41" w:rsidP="00633AC2">
      <w:pPr>
        <w:spacing w:line="360" w:lineRule="auto"/>
        <w:ind w:left="105" w:hangingChars="50" w:hanging="105"/>
        <w:rPr>
          <w:rFonts w:ascii="Arial" w:hAnsi="Arial" w:cs="Arial"/>
          <w:b/>
          <w:color w:val="000000" w:themeColor="text1"/>
          <w:szCs w:val="21"/>
        </w:rPr>
      </w:pPr>
      <w:r>
        <w:rPr>
          <w:rFonts w:ascii="Arial" w:hAnsi="Arial" w:cs="Arial"/>
          <w:b/>
          <w:noProof/>
          <w:color w:val="000000" w:themeColor="text1"/>
          <w:szCs w:val="21"/>
        </w:rPr>
        <w:drawing>
          <wp:inline distT="0" distB="0" distL="0" distR="0">
            <wp:extent cx="4790861" cy="6896911"/>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le_PSCA.png"/>
                    <pic:cNvPicPr/>
                  </pic:nvPicPr>
                  <pic:blipFill>
                    <a:blip r:embed="rId11">
                      <a:extLst>
                        <a:ext uri="{28A0092B-C50C-407E-A947-70E740481C1C}">
                          <a14:useLocalDpi xmlns:a14="http://schemas.microsoft.com/office/drawing/2010/main" val="0"/>
                        </a:ext>
                      </a:extLst>
                    </a:blip>
                    <a:stretch>
                      <a:fillRect/>
                    </a:stretch>
                  </pic:blipFill>
                  <pic:spPr>
                    <a:xfrm>
                      <a:off x="0" y="0"/>
                      <a:ext cx="4791244" cy="6897463"/>
                    </a:xfrm>
                    <a:prstGeom prst="rect">
                      <a:avLst/>
                    </a:prstGeom>
                  </pic:spPr>
                </pic:pic>
              </a:graphicData>
            </a:graphic>
          </wp:inline>
        </w:drawing>
      </w:r>
    </w:p>
    <w:p w:rsidR="009710A7" w:rsidRDefault="009710A7" w:rsidP="00633AC2">
      <w:pPr>
        <w:spacing w:line="360" w:lineRule="auto"/>
        <w:ind w:left="105" w:hangingChars="50" w:hanging="105"/>
        <w:rPr>
          <w:rFonts w:ascii="Arial" w:hAnsi="Arial" w:cs="Arial"/>
          <w:b/>
          <w:szCs w:val="21"/>
        </w:rPr>
      </w:pPr>
      <w:r>
        <w:rPr>
          <w:rFonts w:ascii="Arial" w:hAnsi="Arial" w:cs="Arial" w:hint="eastAsia"/>
          <w:b/>
          <w:szCs w:val="21"/>
        </w:rPr>
        <w:t>Extended Data Figure</w:t>
      </w:r>
      <w:r w:rsidRPr="000E0822">
        <w:rPr>
          <w:rFonts w:ascii="Arial" w:hAnsi="Arial" w:cs="Arial"/>
          <w:b/>
          <w:szCs w:val="21"/>
        </w:rPr>
        <w:t xml:space="preserve"> </w:t>
      </w:r>
      <w:r w:rsidR="00AD2768">
        <w:rPr>
          <w:rFonts w:ascii="Arial" w:hAnsi="Arial" w:cs="Arial"/>
          <w:b/>
          <w:szCs w:val="21"/>
        </w:rPr>
        <w:t>5</w:t>
      </w:r>
      <w:r w:rsidRPr="000E0822">
        <w:rPr>
          <w:rFonts w:ascii="Arial" w:hAnsi="Arial" w:cs="Arial"/>
          <w:b/>
          <w:szCs w:val="21"/>
        </w:rPr>
        <w:t xml:space="preserve"> | </w:t>
      </w:r>
      <w:r>
        <w:rPr>
          <w:rFonts w:ascii="Arial" w:hAnsi="Arial" w:cs="Arial"/>
          <w:b/>
          <w:szCs w:val="21"/>
        </w:rPr>
        <w:t xml:space="preserve">Locus plot for </w:t>
      </w:r>
      <w:r w:rsidR="002F096E">
        <w:rPr>
          <w:rFonts w:ascii="Arial" w:hAnsi="Arial" w:cs="Arial"/>
          <w:b/>
          <w:szCs w:val="21"/>
        </w:rPr>
        <w:t>gastric diseases</w:t>
      </w:r>
      <w:r>
        <w:rPr>
          <w:rFonts w:ascii="Arial" w:hAnsi="Arial" w:cs="Arial"/>
          <w:b/>
          <w:szCs w:val="21"/>
        </w:rPr>
        <w:t xml:space="preserve"> in BBJ.</w:t>
      </w:r>
    </w:p>
    <w:p w:rsidR="00FF6CAE" w:rsidRDefault="009710A7" w:rsidP="00D12B99">
      <w:pPr>
        <w:rPr>
          <w:rFonts w:ascii="Arial" w:hAnsi="Arial" w:cs="Arial"/>
          <w:color w:val="000000" w:themeColor="text1"/>
          <w:szCs w:val="21"/>
        </w:rPr>
      </w:pPr>
      <w:r>
        <w:rPr>
          <w:rFonts w:ascii="Arial" w:hAnsi="Arial" w:cs="Arial"/>
          <w:color w:val="000000" w:themeColor="text1"/>
          <w:szCs w:val="21"/>
        </w:rPr>
        <w:t>Regional association plots</w:t>
      </w:r>
      <w:r w:rsidR="00012619" w:rsidRPr="00012619">
        <w:rPr>
          <w:rFonts w:ascii="Arial" w:hAnsi="Arial" w:cs="Arial"/>
          <w:color w:val="000000" w:themeColor="text1"/>
        </w:rPr>
        <w:t xml:space="preserve"> </w:t>
      </w:r>
      <w:r w:rsidR="00012619" w:rsidRPr="00DE2AAF">
        <w:rPr>
          <w:rFonts w:ascii="Arial" w:hAnsi="Arial" w:cs="Arial"/>
          <w:color w:val="000000" w:themeColor="text1"/>
        </w:rPr>
        <w:t>at the</w:t>
      </w:r>
      <w:r w:rsidR="00012619" w:rsidRPr="00DE2AAF">
        <w:rPr>
          <w:rFonts w:ascii="Arial" w:hAnsi="Arial" w:cs="Arial"/>
          <w:i/>
          <w:color w:val="000000" w:themeColor="text1"/>
        </w:rPr>
        <w:t xml:space="preserve"> PSCA</w:t>
      </w:r>
      <w:r w:rsidR="00012619" w:rsidRPr="00DE2AAF">
        <w:rPr>
          <w:rFonts w:ascii="Arial" w:hAnsi="Arial" w:cs="Arial"/>
          <w:color w:val="000000" w:themeColor="text1"/>
        </w:rPr>
        <w:t xml:space="preserve"> locus in gastric ulcer, </w:t>
      </w:r>
      <w:r w:rsidR="006504BD" w:rsidRPr="00DE2AAF">
        <w:rPr>
          <w:rFonts w:ascii="Arial" w:hAnsi="Arial" w:cs="Arial"/>
          <w:color w:val="000000" w:themeColor="text1"/>
        </w:rPr>
        <w:t>gastric cancer</w:t>
      </w:r>
      <w:r w:rsidR="006504BD">
        <w:rPr>
          <w:rFonts w:ascii="Arial" w:hAnsi="Arial" w:cs="Arial"/>
          <w:color w:val="000000" w:themeColor="text1"/>
        </w:rPr>
        <w:t>, and</w:t>
      </w:r>
      <w:r w:rsidR="006504BD" w:rsidRPr="00DE2AAF">
        <w:rPr>
          <w:rFonts w:ascii="Arial" w:hAnsi="Arial" w:cs="Arial" w:hint="eastAsia"/>
          <w:color w:val="000000" w:themeColor="text1"/>
        </w:rPr>
        <w:t xml:space="preserve"> </w:t>
      </w:r>
      <w:r w:rsidR="00012619" w:rsidRPr="00DE2AAF">
        <w:rPr>
          <w:rFonts w:ascii="Arial" w:hAnsi="Arial" w:cs="Arial"/>
          <w:color w:val="000000" w:themeColor="text1"/>
        </w:rPr>
        <w:t>gastric polyp</w:t>
      </w:r>
      <w:r>
        <w:rPr>
          <w:rFonts w:ascii="Arial" w:hAnsi="Arial" w:cs="Arial"/>
          <w:color w:val="000000" w:themeColor="text1"/>
          <w:szCs w:val="21"/>
        </w:rPr>
        <w:t xml:space="preserve"> are shown. </w:t>
      </w:r>
      <w:r w:rsidR="00773E7A">
        <w:rPr>
          <w:rFonts w:ascii="Arial" w:hAnsi="Arial" w:cs="Arial"/>
          <w:color w:val="000000" w:themeColor="text1"/>
          <w:szCs w:val="21"/>
        </w:rPr>
        <w:t>R</w:t>
      </w:r>
      <w:r w:rsidR="0066692C" w:rsidRPr="00DE2AAF">
        <w:rPr>
          <w:rFonts w:ascii="Arial" w:hAnsi="Arial" w:cs="Arial"/>
          <w:color w:val="000000" w:themeColor="text1"/>
        </w:rPr>
        <w:t>s2976397</w:t>
      </w:r>
      <w:r w:rsidR="00773E7A">
        <w:rPr>
          <w:rFonts w:ascii="Arial" w:hAnsi="Arial" w:cs="Arial"/>
          <w:color w:val="000000" w:themeColor="text1"/>
          <w:szCs w:val="21"/>
        </w:rPr>
        <w:t>, which was a lead variant</w:t>
      </w:r>
      <w:r w:rsidR="00916D2C">
        <w:rPr>
          <w:rFonts w:ascii="Arial" w:hAnsi="Arial" w:cs="Arial"/>
          <w:color w:val="000000" w:themeColor="text1"/>
          <w:szCs w:val="21"/>
        </w:rPr>
        <w:t xml:space="preserve"> in gastric ulce</w:t>
      </w:r>
      <w:r w:rsidR="00236461">
        <w:rPr>
          <w:rFonts w:ascii="Arial" w:hAnsi="Arial" w:cs="Arial"/>
          <w:color w:val="000000" w:themeColor="text1"/>
          <w:szCs w:val="21"/>
        </w:rPr>
        <w:t>r</w:t>
      </w:r>
      <w:r w:rsidR="00636562">
        <w:rPr>
          <w:rFonts w:ascii="Arial" w:hAnsi="Arial" w:cs="Arial"/>
          <w:color w:val="000000" w:themeColor="text1"/>
          <w:szCs w:val="21"/>
        </w:rPr>
        <w:t>,</w:t>
      </w:r>
      <w:r>
        <w:rPr>
          <w:rFonts w:ascii="Arial" w:hAnsi="Arial" w:cs="Arial"/>
          <w:color w:val="000000" w:themeColor="text1"/>
          <w:szCs w:val="21"/>
        </w:rPr>
        <w:t xml:space="preserve"> is colored in pink, and c</w:t>
      </w:r>
      <w:r w:rsidRPr="005B2E1C">
        <w:rPr>
          <w:rFonts w:ascii="Arial" w:hAnsi="Arial" w:cs="Arial"/>
          <w:color w:val="000000" w:themeColor="text1"/>
          <w:szCs w:val="21"/>
        </w:rPr>
        <w:t>olors of</w:t>
      </w:r>
      <w:r>
        <w:rPr>
          <w:rFonts w:ascii="Arial" w:hAnsi="Arial" w:cs="Arial"/>
          <w:color w:val="000000" w:themeColor="text1"/>
          <w:szCs w:val="21"/>
        </w:rPr>
        <w:t xml:space="preserve"> other</w:t>
      </w:r>
      <w:r w:rsidRPr="005B2E1C">
        <w:rPr>
          <w:rFonts w:ascii="Arial" w:hAnsi="Arial" w:cs="Arial"/>
          <w:color w:val="000000" w:themeColor="text1"/>
          <w:szCs w:val="21"/>
        </w:rPr>
        <w:t xml:space="preserve"> </w:t>
      </w:r>
      <w:r>
        <w:rPr>
          <w:rFonts w:ascii="Arial" w:hAnsi="Arial" w:cs="Arial"/>
          <w:color w:val="000000" w:themeColor="text1"/>
          <w:szCs w:val="21"/>
        </w:rPr>
        <w:t>dot</w:t>
      </w:r>
      <w:r w:rsidRPr="005B2E1C">
        <w:rPr>
          <w:rFonts w:ascii="Arial" w:hAnsi="Arial" w:cs="Arial"/>
          <w:color w:val="000000" w:themeColor="text1"/>
          <w:szCs w:val="21"/>
        </w:rPr>
        <w:t>s indicate</w:t>
      </w:r>
      <w:r>
        <w:rPr>
          <w:rFonts w:ascii="Arial" w:hAnsi="Arial" w:cs="Arial"/>
          <w:color w:val="000000" w:themeColor="text1"/>
          <w:szCs w:val="21"/>
        </w:rPr>
        <w:t xml:space="preserve"> </w:t>
      </w:r>
      <w:r w:rsidRPr="005B2E1C">
        <w:rPr>
          <w:rFonts w:ascii="Arial" w:hAnsi="Arial" w:cs="Arial"/>
          <w:color w:val="000000" w:themeColor="text1"/>
          <w:szCs w:val="21"/>
        </w:rPr>
        <w:t xml:space="preserve">linkage disequilibrium measure </w:t>
      </w:r>
      <w:r w:rsidRPr="006E5AB5">
        <w:rPr>
          <w:rFonts w:ascii="Arial" w:hAnsi="Arial" w:cs="Arial"/>
          <w:i/>
          <w:color w:val="000000" w:themeColor="text1"/>
          <w:szCs w:val="21"/>
        </w:rPr>
        <w:t>r</w:t>
      </w:r>
      <w:r w:rsidRPr="006E5AB5">
        <w:rPr>
          <w:rFonts w:ascii="Arial" w:hAnsi="Arial" w:cs="Arial"/>
          <w:color w:val="000000" w:themeColor="text1"/>
          <w:szCs w:val="21"/>
          <w:vertAlign w:val="superscript"/>
        </w:rPr>
        <w:t>2</w:t>
      </w:r>
      <w:r w:rsidRPr="005B2E1C">
        <w:rPr>
          <w:rFonts w:ascii="Arial" w:hAnsi="Arial" w:cs="Arial"/>
          <w:color w:val="000000" w:themeColor="text1"/>
          <w:szCs w:val="21"/>
        </w:rPr>
        <w:t xml:space="preserve"> with</w:t>
      </w:r>
      <w:r>
        <w:rPr>
          <w:rFonts w:ascii="Arial" w:hAnsi="Arial" w:cs="Arial"/>
          <w:color w:val="000000" w:themeColor="text1"/>
          <w:szCs w:val="21"/>
        </w:rPr>
        <w:t xml:space="preserve"> the</w:t>
      </w:r>
      <w:r w:rsidRPr="005B2E1C">
        <w:rPr>
          <w:rFonts w:ascii="Arial" w:hAnsi="Arial" w:cs="Arial"/>
          <w:color w:val="000000" w:themeColor="text1"/>
          <w:szCs w:val="21"/>
        </w:rPr>
        <w:t xml:space="preserve"> lead </w:t>
      </w:r>
      <w:r>
        <w:rPr>
          <w:rFonts w:ascii="Arial" w:hAnsi="Arial" w:cs="Arial"/>
          <w:color w:val="000000" w:themeColor="text1"/>
          <w:szCs w:val="21"/>
        </w:rPr>
        <w:t>variant</w:t>
      </w:r>
      <w:r w:rsidRPr="005B2E1C">
        <w:rPr>
          <w:rFonts w:ascii="Arial" w:hAnsi="Arial" w:cs="Arial"/>
          <w:color w:val="000000" w:themeColor="text1"/>
          <w:szCs w:val="21"/>
        </w:rPr>
        <w:t>.</w:t>
      </w:r>
      <w:r>
        <w:rPr>
          <w:rFonts w:ascii="Arial" w:hAnsi="Arial" w:cs="Arial"/>
          <w:color w:val="000000" w:themeColor="text1"/>
          <w:szCs w:val="21"/>
        </w:rPr>
        <w:t xml:space="preserve"> </w:t>
      </w:r>
      <w:r w:rsidR="00FF6CAE">
        <w:rPr>
          <w:rFonts w:ascii="Arial" w:hAnsi="Arial" w:cs="Arial"/>
          <w:color w:val="000000" w:themeColor="text1"/>
          <w:szCs w:val="21"/>
        </w:rPr>
        <w:br w:type="page"/>
      </w:r>
    </w:p>
    <w:p w:rsidR="007B3014" w:rsidRDefault="007B3014" w:rsidP="00FF6CAE">
      <w:pPr>
        <w:spacing w:line="360" w:lineRule="auto"/>
        <w:rPr>
          <w:rFonts w:ascii="Arial" w:hAnsi="Arial" w:cs="Arial"/>
          <w:b/>
          <w:color w:val="000000" w:themeColor="text1"/>
          <w:szCs w:val="21"/>
        </w:rPr>
      </w:pPr>
      <w:r>
        <w:rPr>
          <w:rFonts w:ascii="Arial" w:hAnsi="Arial" w:cs="Arial"/>
          <w:b/>
          <w:color w:val="000000" w:themeColor="text1"/>
          <w:szCs w:val="21"/>
        </w:rPr>
        <w:lastRenderedPageBreak/>
        <w:t>Extended Data Figure</w:t>
      </w:r>
      <w:r w:rsidRPr="000E0822">
        <w:rPr>
          <w:rFonts w:ascii="Arial" w:hAnsi="Arial" w:cs="Arial"/>
          <w:b/>
          <w:color w:val="000000" w:themeColor="text1"/>
          <w:szCs w:val="21"/>
        </w:rPr>
        <w:t xml:space="preserve"> </w:t>
      </w:r>
      <w:r w:rsidR="0000593D">
        <w:rPr>
          <w:rFonts w:ascii="Arial" w:hAnsi="Arial" w:cs="Arial"/>
          <w:b/>
          <w:color w:val="000000" w:themeColor="text1"/>
          <w:szCs w:val="21"/>
        </w:rPr>
        <w:t>6</w:t>
      </w:r>
      <w:r w:rsidRPr="000E0822">
        <w:rPr>
          <w:rFonts w:ascii="Arial" w:hAnsi="Arial" w:cs="Arial"/>
          <w:b/>
          <w:color w:val="000000" w:themeColor="text1"/>
          <w:szCs w:val="21"/>
        </w:rPr>
        <w:t>.</w:t>
      </w:r>
    </w:p>
    <w:p w:rsidR="009710A7" w:rsidRDefault="004F2FD2" w:rsidP="00633AC2">
      <w:pPr>
        <w:spacing w:line="360" w:lineRule="auto"/>
        <w:ind w:left="105" w:hangingChars="50" w:hanging="105"/>
        <w:rPr>
          <w:rFonts w:ascii="Arial" w:hAnsi="Arial" w:cs="Arial"/>
          <w:b/>
          <w:color w:val="000000" w:themeColor="text1"/>
          <w:szCs w:val="21"/>
        </w:rPr>
      </w:pPr>
      <w:r>
        <w:rPr>
          <w:rFonts w:ascii="Arial" w:hAnsi="Arial" w:cs="Arial"/>
          <w:b/>
          <w:noProof/>
          <w:color w:val="000000" w:themeColor="text1"/>
          <w:szCs w:val="21"/>
        </w:rPr>
        <w:drawing>
          <wp:inline distT="0" distB="0" distL="0" distR="0">
            <wp:extent cx="5667958" cy="585689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ple_FUT2.png"/>
                    <pic:cNvPicPr/>
                  </pic:nvPicPr>
                  <pic:blipFill>
                    <a:blip r:embed="rId12">
                      <a:extLst>
                        <a:ext uri="{28A0092B-C50C-407E-A947-70E740481C1C}">
                          <a14:useLocalDpi xmlns:a14="http://schemas.microsoft.com/office/drawing/2010/main" val="0"/>
                        </a:ext>
                      </a:extLst>
                    </a:blip>
                    <a:stretch>
                      <a:fillRect/>
                    </a:stretch>
                  </pic:blipFill>
                  <pic:spPr>
                    <a:xfrm>
                      <a:off x="0" y="0"/>
                      <a:ext cx="5686748" cy="5876306"/>
                    </a:xfrm>
                    <a:prstGeom prst="rect">
                      <a:avLst/>
                    </a:prstGeom>
                  </pic:spPr>
                </pic:pic>
              </a:graphicData>
            </a:graphic>
          </wp:inline>
        </w:drawing>
      </w:r>
    </w:p>
    <w:p w:rsidR="007B3014" w:rsidRDefault="007B3014" w:rsidP="00633AC2">
      <w:pPr>
        <w:spacing w:line="360" w:lineRule="auto"/>
        <w:ind w:left="105" w:hangingChars="50" w:hanging="105"/>
        <w:rPr>
          <w:rFonts w:ascii="Arial" w:hAnsi="Arial" w:cs="Arial"/>
          <w:b/>
          <w:szCs w:val="21"/>
        </w:rPr>
      </w:pPr>
      <w:r>
        <w:rPr>
          <w:rFonts w:ascii="Arial" w:hAnsi="Arial" w:cs="Arial" w:hint="eastAsia"/>
          <w:b/>
          <w:szCs w:val="21"/>
        </w:rPr>
        <w:t>Extended Data Figure</w:t>
      </w:r>
      <w:r w:rsidRPr="000E0822">
        <w:rPr>
          <w:rFonts w:ascii="Arial" w:hAnsi="Arial" w:cs="Arial"/>
          <w:b/>
          <w:szCs w:val="21"/>
        </w:rPr>
        <w:t xml:space="preserve"> </w:t>
      </w:r>
      <w:r w:rsidR="00447986">
        <w:rPr>
          <w:rFonts w:ascii="Arial" w:hAnsi="Arial" w:cs="Arial"/>
          <w:b/>
          <w:szCs w:val="21"/>
        </w:rPr>
        <w:t>6</w:t>
      </w:r>
      <w:r w:rsidRPr="000E0822">
        <w:rPr>
          <w:rFonts w:ascii="Arial" w:hAnsi="Arial" w:cs="Arial"/>
          <w:b/>
          <w:szCs w:val="21"/>
        </w:rPr>
        <w:t xml:space="preserve"> | </w:t>
      </w:r>
      <w:r>
        <w:rPr>
          <w:rFonts w:ascii="Arial" w:hAnsi="Arial" w:cs="Arial"/>
          <w:b/>
          <w:szCs w:val="21"/>
        </w:rPr>
        <w:t xml:space="preserve">Locus plot for </w:t>
      </w:r>
      <w:r w:rsidR="00237548">
        <w:rPr>
          <w:rFonts w:ascii="Arial" w:hAnsi="Arial" w:cs="Arial"/>
          <w:b/>
          <w:szCs w:val="21"/>
        </w:rPr>
        <w:t>gall bladder</w:t>
      </w:r>
      <w:r>
        <w:rPr>
          <w:rFonts w:ascii="Arial" w:hAnsi="Arial" w:cs="Arial"/>
          <w:b/>
          <w:szCs w:val="21"/>
        </w:rPr>
        <w:t xml:space="preserve"> diseases in BBJ.</w:t>
      </w:r>
    </w:p>
    <w:p w:rsidR="007B3014" w:rsidRPr="008D280A" w:rsidRDefault="007B3014" w:rsidP="00633AC2">
      <w:pPr>
        <w:rPr>
          <w:rFonts w:ascii="Arial" w:hAnsi="Arial" w:cs="Arial"/>
          <w:color w:val="000000" w:themeColor="text1"/>
          <w:szCs w:val="21"/>
        </w:rPr>
      </w:pPr>
      <w:r>
        <w:rPr>
          <w:rFonts w:ascii="Arial" w:hAnsi="Arial" w:cs="Arial"/>
          <w:color w:val="000000" w:themeColor="text1"/>
          <w:szCs w:val="21"/>
        </w:rPr>
        <w:t>Regional association plots</w:t>
      </w:r>
      <w:r w:rsidRPr="00012619">
        <w:rPr>
          <w:rFonts w:ascii="Arial" w:hAnsi="Arial" w:cs="Arial"/>
          <w:color w:val="000000" w:themeColor="text1"/>
        </w:rPr>
        <w:t xml:space="preserve"> </w:t>
      </w:r>
      <w:r w:rsidRPr="00DE2AAF">
        <w:rPr>
          <w:rFonts w:ascii="Arial" w:hAnsi="Arial" w:cs="Arial"/>
          <w:color w:val="000000" w:themeColor="text1"/>
        </w:rPr>
        <w:t>at the</w:t>
      </w:r>
      <w:r w:rsidRPr="00DE2AAF">
        <w:rPr>
          <w:rFonts w:ascii="Arial" w:hAnsi="Arial" w:cs="Arial"/>
          <w:i/>
          <w:color w:val="000000" w:themeColor="text1"/>
        </w:rPr>
        <w:t xml:space="preserve"> </w:t>
      </w:r>
      <w:r w:rsidR="0040327D">
        <w:rPr>
          <w:rFonts w:ascii="Arial" w:hAnsi="Arial" w:cs="Arial"/>
          <w:i/>
          <w:color w:val="000000" w:themeColor="text1"/>
        </w:rPr>
        <w:t>FUT3</w:t>
      </w:r>
      <w:r w:rsidRPr="00DE2AAF">
        <w:rPr>
          <w:rFonts w:ascii="Arial" w:hAnsi="Arial" w:cs="Arial"/>
          <w:color w:val="000000" w:themeColor="text1"/>
        </w:rPr>
        <w:t xml:space="preserve"> locus in </w:t>
      </w:r>
      <w:r w:rsidR="00A10A6A">
        <w:rPr>
          <w:rFonts w:ascii="Arial" w:hAnsi="Arial" w:cs="Arial"/>
          <w:color w:val="000000" w:themeColor="text1"/>
          <w:szCs w:val="21"/>
        </w:rPr>
        <w:t>gall bladder polyp</w:t>
      </w:r>
      <w:r w:rsidRPr="00DE2AAF">
        <w:rPr>
          <w:rFonts w:ascii="Arial" w:hAnsi="Arial" w:cs="Arial"/>
          <w:color w:val="000000" w:themeColor="text1"/>
        </w:rPr>
        <w:t xml:space="preserve"> and </w:t>
      </w:r>
      <w:r w:rsidR="00952F53">
        <w:rPr>
          <w:rFonts w:ascii="Arial" w:hAnsi="Arial" w:cs="Arial"/>
          <w:color w:val="000000" w:themeColor="text1"/>
        </w:rPr>
        <w:t>cholelithiasis</w:t>
      </w:r>
      <w:r>
        <w:rPr>
          <w:rFonts w:ascii="Arial" w:hAnsi="Arial" w:cs="Arial"/>
          <w:color w:val="000000" w:themeColor="text1"/>
          <w:szCs w:val="21"/>
        </w:rPr>
        <w:t xml:space="preserve"> are shown. R</w:t>
      </w:r>
      <w:r w:rsidRPr="00DE2AAF">
        <w:rPr>
          <w:rFonts w:ascii="Arial" w:hAnsi="Arial" w:cs="Arial"/>
          <w:color w:val="000000" w:themeColor="text1"/>
        </w:rPr>
        <w:t>s</w:t>
      </w:r>
      <w:r w:rsidR="00BB7153" w:rsidRPr="00DE2AAF">
        <w:rPr>
          <w:rFonts w:ascii="Arial" w:hAnsi="Arial" w:cs="Arial"/>
          <w:color w:val="000000" w:themeColor="text1"/>
        </w:rPr>
        <w:t>28362459</w:t>
      </w:r>
      <w:r>
        <w:rPr>
          <w:rFonts w:ascii="Arial" w:hAnsi="Arial" w:cs="Arial"/>
          <w:color w:val="000000" w:themeColor="text1"/>
          <w:szCs w:val="21"/>
        </w:rPr>
        <w:t xml:space="preserve">, which was a lead variant in </w:t>
      </w:r>
      <w:r w:rsidR="00930358">
        <w:rPr>
          <w:rFonts w:ascii="Arial" w:hAnsi="Arial" w:cs="Arial"/>
          <w:color w:val="000000" w:themeColor="text1"/>
          <w:szCs w:val="21"/>
        </w:rPr>
        <w:t>gall bladder polyp</w:t>
      </w:r>
      <w:r>
        <w:rPr>
          <w:rFonts w:ascii="Arial" w:hAnsi="Arial" w:cs="Arial"/>
          <w:color w:val="000000" w:themeColor="text1"/>
          <w:szCs w:val="21"/>
        </w:rPr>
        <w:t>, is colored in pink, and c</w:t>
      </w:r>
      <w:r w:rsidRPr="005B2E1C">
        <w:rPr>
          <w:rFonts w:ascii="Arial" w:hAnsi="Arial" w:cs="Arial"/>
          <w:color w:val="000000" w:themeColor="text1"/>
          <w:szCs w:val="21"/>
        </w:rPr>
        <w:t>olors of</w:t>
      </w:r>
      <w:r>
        <w:rPr>
          <w:rFonts w:ascii="Arial" w:hAnsi="Arial" w:cs="Arial"/>
          <w:color w:val="000000" w:themeColor="text1"/>
          <w:szCs w:val="21"/>
        </w:rPr>
        <w:t xml:space="preserve"> other</w:t>
      </w:r>
      <w:r w:rsidRPr="005B2E1C">
        <w:rPr>
          <w:rFonts w:ascii="Arial" w:hAnsi="Arial" w:cs="Arial"/>
          <w:color w:val="000000" w:themeColor="text1"/>
          <w:szCs w:val="21"/>
        </w:rPr>
        <w:t xml:space="preserve"> </w:t>
      </w:r>
      <w:r>
        <w:rPr>
          <w:rFonts w:ascii="Arial" w:hAnsi="Arial" w:cs="Arial"/>
          <w:color w:val="000000" w:themeColor="text1"/>
          <w:szCs w:val="21"/>
        </w:rPr>
        <w:t>dot</w:t>
      </w:r>
      <w:r w:rsidRPr="005B2E1C">
        <w:rPr>
          <w:rFonts w:ascii="Arial" w:hAnsi="Arial" w:cs="Arial"/>
          <w:color w:val="000000" w:themeColor="text1"/>
          <w:szCs w:val="21"/>
        </w:rPr>
        <w:t>s indicate</w:t>
      </w:r>
      <w:r>
        <w:rPr>
          <w:rFonts w:ascii="Arial" w:hAnsi="Arial" w:cs="Arial"/>
          <w:color w:val="000000" w:themeColor="text1"/>
          <w:szCs w:val="21"/>
        </w:rPr>
        <w:t xml:space="preserve"> </w:t>
      </w:r>
      <w:r w:rsidRPr="005B2E1C">
        <w:rPr>
          <w:rFonts w:ascii="Arial" w:hAnsi="Arial" w:cs="Arial"/>
          <w:color w:val="000000" w:themeColor="text1"/>
          <w:szCs w:val="21"/>
        </w:rPr>
        <w:t xml:space="preserve">linkage disequilibrium measure </w:t>
      </w:r>
      <w:r w:rsidRPr="006E5AB5">
        <w:rPr>
          <w:rFonts w:ascii="Arial" w:hAnsi="Arial" w:cs="Arial"/>
          <w:i/>
          <w:color w:val="000000" w:themeColor="text1"/>
          <w:szCs w:val="21"/>
        </w:rPr>
        <w:t>r</w:t>
      </w:r>
      <w:r w:rsidRPr="006E5AB5">
        <w:rPr>
          <w:rFonts w:ascii="Arial" w:hAnsi="Arial" w:cs="Arial"/>
          <w:color w:val="000000" w:themeColor="text1"/>
          <w:szCs w:val="21"/>
          <w:vertAlign w:val="superscript"/>
        </w:rPr>
        <w:t>2</w:t>
      </w:r>
      <w:r w:rsidRPr="005B2E1C">
        <w:rPr>
          <w:rFonts w:ascii="Arial" w:hAnsi="Arial" w:cs="Arial"/>
          <w:color w:val="000000" w:themeColor="text1"/>
          <w:szCs w:val="21"/>
        </w:rPr>
        <w:t xml:space="preserve"> with</w:t>
      </w:r>
      <w:r>
        <w:rPr>
          <w:rFonts w:ascii="Arial" w:hAnsi="Arial" w:cs="Arial"/>
          <w:color w:val="000000" w:themeColor="text1"/>
          <w:szCs w:val="21"/>
        </w:rPr>
        <w:t xml:space="preserve"> the</w:t>
      </w:r>
      <w:r w:rsidRPr="005B2E1C">
        <w:rPr>
          <w:rFonts w:ascii="Arial" w:hAnsi="Arial" w:cs="Arial"/>
          <w:color w:val="000000" w:themeColor="text1"/>
          <w:szCs w:val="21"/>
        </w:rPr>
        <w:t xml:space="preserve"> lead </w:t>
      </w:r>
      <w:r>
        <w:rPr>
          <w:rFonts w:ascii="Arial" w:hAnsi="Arial" w:cs="Arial"/>
          <w:color w:val="000000" w:themeColor="text1"/>
          <w:szCs w:val="21"/>
        </w:rPr>
        <w:t>variant</w:t>
      </w:r>
      <w:r w:rsidRPr="005B2E1C">
        <w:rPr>
          <w:rFonts w:ascii="Arial" w:hAnsi="Arial" w:cs="Arial"/>
          <w:color w:val="000000" w:themeColor="text1"/>
          <w:szCs w:val="21"/>
        </w:rPr>
        <w:t>.</w:t>
      </w:r>
      <w:r>
        <w:rPr>
          <w:rFonts w:ascii="Arial" w:hAnsi="Arial" w:cs="Arial"/>
          <w:color w:val="000000" w:themeColor="text1"/>
          <w:szCs w:val="21"/>
        </w:rPr>
        <w:t xml:space="preserve"> </w:t>
      </w:r>
    </w:p>
    <w:p w:rsidR="007B3014" w:rsidRPr="009710A7" w:rsidRDefault="007B3014" w:rsidP="00633AC2">
      <w:pPr>
        <w:spacing w:line="360" w:lineRule="auto"/>
        <w:ind w:left="105" w:hangingChars="50" w:hanging="105"/>
        <w:rPr>
          <w:rFonts w:ascii="Arial" w:hAnsi="Arial" w:cs="Arial"/>
          <w:b/>
          <w:color w:val="000000" w:themeColor="text1"/>
          <w:szCs w:val="21"/>
        </w:rPr>
      </w:pPr>
    </w:p>
    <w:p w:rsidR="00126FCB" w:rsidRDefault="00126FCB" w:rsidP="00633AC2">
      <w:pPr>
        <w:widowControl/>
        <w:rPr>
          <w:rFonts w:ascii="Arial" w:hAnsi="Arial" w:cs="Arial"/>
          <w:b/>
          <w:color w:val="000000" w:themeColor="text1"/>
          <w:szCs w:val="21"/>
        </w:rPr>
      </w:pPr>
      <w:r>
        <w:rPr>
          <w:rFonts w:ascii="Arial" w:hAnsi="Arial" w:cs="Arial"/>
          <w:b/>
          <w:color w:val="000000" w:themeColor="text1"/>
          <w:szCs w:val="21"/>
        </w:rPr>
        <w:br w:type="page"/>
      </w:r>
    </w:p>
    <w:p w:rsidR="00002B10" w:rsidRDefault="00002B10" w:rsidP="00633AC2">
      <w:pPr>
        <w:spacing w:line="360" w:lineRule="auto"/>
        <w:ind w:left="105" w:hangingChars="50" w:hanging="105"/>
        <w:rPr>
          <w:rFonts w:ascii="Arial" w:hAnsi="Arial" w:cs="Arial"/>
          <w:b/>
          <w:color w:val="000000" w:themeColor="text1"/>
          <w:szCs w:val="21"/>
        </w:rPr>
      </w:pPr>
      <w:r>
        <w:rPr>
          <w:rFonts w:ascii="Arial" w:hAnsi="Arial" w:cs="Arial"/>
          <w:b/>
          <w:color w:val="000000" w:themeColor="text1"/>
          <w:szCs w:val="21"/>
        </w:rPr>
        <w:lastRenderedPageBreak/>
        <w:t>Extended Data Figure</w:t>
      </w:r>
      <w:r w:rsidRPr="000E0822">
        <w:rPr>
          <w:rFonts w:ascii="Arial" w:hAnsi="Arial" w:cs="Arial"/>
          <w:b/>
          <w:color w:val="000000" w:themeColor="text1"/>
          <w:szCs w:val="21"/>
        </w:rPr>
        <w:t xml:space="preserve"> </w:t>
      </w:r>
      <w:r w:rsidR="00AF7FD2">
        <w:rPr>
          <w:rFonts w:ascii="Arial" w:hAnsi="Arial" w:cs="Arial"/>
          <w:b/>
          <w:color w:val="000000" w:themeColor="text1"/>
          <w:szCs w:val="21"/>
        </w:rPr>
        <w:t>7</w:t>
      </w:r>
      <w:r w:rsidRPr="000E0822">
        <w:rPr>
          <w:rFonts w:ascii="Arial" w:hAnsi="Arial" w:cs="Arial"/>
          <w:b/>
          <w:color w:val="000000" w:themeColor="text1"/>
          <w:szCs w:val="21"/>
        </w:rPr>
        <w:t>.</w:t>
      </w:r>
    </w:p>
    <w:p w:rsidR="00204976" w:rsidRDefault="00204976" w:rsidP="00633AC2">
      <w:pPr>
        <w:widowControl/>
        <w:rPr>
          <w:rFonts w:ascii="Arial" w:hAnsi="Arial" w:cs="Arial"/>
          <w:b/>
          <w:color w:val="000000" w:themeColor="text1"/>
          <w:szCs w:val="21"/>
        </w:rPr>
      </w:pPr>
      <w:r w:rsidRPr="00204976">
        <w:rPr>
          <w:rFonts w:ascii="Arial" w:hAnsi="Arial" w:cs="Arial"/>
          <w:b/>
          <w:noProof/>
          <w:color w:val="000000" w:themeColor="text1"/>
          <w:szCs w:val="21"/>
        </w:rPr>
        <w:drawing>
          <wp:inline distT="0" distB="0" distL="0" distR="0" wp14:anchorId="0F26F0CB" wp14:editId="732D46CF">
            <wp:extent cx="6184900" cy="4262120"/>
            <wp:effectExtent l="0" t="0" r="0" b="508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4900" cy="4262120"/>
                    </a:xfrm>
                    <a:prstGeom prst="rect">
                      <a:avLst/>
                    </a:prstGeom>
                  </pic:spPr>
                </pic:pic>
              </a:graphicData>
            </a:graphic>
          </wp:inline>
        </w:drawing>
      </w:r>
    </w:p>
    <w:p w:rsidR="00124B08" w:rsidRDefault="00124B08" w:rsidP="00633AC2">
      <w:pPr>
        <w:spacing w:line="360" w:lineRule="auto"/>
        <w:ind w:left="105" w:hangingChars="50" w:hanging="105"/>
        <w:rPr>
          <w:rFonts w:ascii="Arial" w:hAnsi="Arial" w:cs="Arial"/>
          <w:b/>
          <w:szCs w:val="21"/>
        </w:rPr>
      </w:pPr>
      <w:r>
        <w:rPr>
          <w:rFonts w:ascii="Arial" w:hAnsi="Arial" w:cs="Arial" w:hint="eastAsia"/>
          <w:b/>
          <w:szCs w:val="21"/>
        </w:rPr>
        <w:t>Extended Data Figure</w:t>
      </w:r>
      <w:r w:rsidRPr="000E0822">
        <w:rPr>
          <w:rFonts w:ascii="Arial" w:hAnsi="Arial" w:cs="Arial"/>
          <w:b/>
          <w:szCs w:val="21"/>
        </w:rPr>
        <w:t xml:space="preserve"> </w:t>
      </w:r>
      <w:r w:rsidR="00AF7FD2">
        <w:rPr>
          <w:rFonts w:ascii="Arial" w:hAnsi="Arial" w:cs="Arial"/>
          <w:b/>
          <w:szCs w:val="21"/>
        </w:rPr>
        <w:t>7</w:t>
      </w:r>
      <w:r w:rsidRPr="000E0822">
        <w:rPr>
          <w:rFonts w:ascii="Arial" w:hAnsi="Arial" w:cs="Arial"/>
          <w:b/>
          <w:szCs w:val="21"/>
        </w:rPr>
        <w:t xml:space="preserve"> | </w:t>
      </w:r>
      <w:r>
        <w:rPr>
          <w:rFonts w:ascii="Arial" w:hAnsi="Arial" w:cs="Arial"/>
          <w:b/>
          <w:szCs w:val="21"/>
        </w:rPr>
        <w:t xml:space="preserve">Locus plot for </w:t>
      </w:r>
      <w:r w:rsidR="008742FE">
        <w:rPr>
          <w:rFonts w:ascii="Arial" w:hAnsi="Arial" w:cs="Arial"/>
          <w:b/>
          <w:szCs w:val="21"/>
        </w:rPr>
        <w:t>urticaria</w:t>
      </w:r>
      <w:r>
        <w:rPr>
          <w:rFonts w:ascii="Arial" w:hAnsi="Arial" w:cs="Arial"/>
          <w:b/>
          <w:szCs w:val="21"/>
        </w:rPr>
        <w:t xml:space="preserve"> in BBJ.</w:t>
      </w:r>
    </w:p>
    <w:p w:rsidR="00124B08" w:rsidRPr="008D280A" w:rsidRDefault="00124B08" w:rsidP="00633AC2">
      <w:pPr>
        <w:rPr>
          <w:rFonts w:ascii="Arial" w:hAnsi="Arial" w:cs="Arial"/>
          <w:color w:val="000000" w:themeColor="text1"/>
          <w:szCs w:val="21"/>
        </w:rPr>
      </w:pPr>
      <w:r>
        <w:rPr>
          <w:rFonts w:ascii="Arial" w:hAnsi="Arial" w:cs="Arial"/>
          <w:color w:val="000000" w:themeColor="text1"/>
          <w:szCs w:val="21"/>
        </w:rPr>
        <w:t xml:space="preserve">Regional association plots are shown. </w:t>
      </w:r>
      <w:r>
        <w:rPr>
          <w:rFonts w:ascii="Arial" w:hAnsi="Arial" w:cs="Arial" w:hint="eastAsia"/>
          <w:color w:val="000000" w:themeColor="text1"/>
          <w:szCs w:val="21"/>
        </w:rPr>
        <w:t>T</w:t>
      </w:r>
      <w:r>
        <w:rPr>
          <w:rFonts w:ascii="Arial" w:hAnsi="Arial" w:cs="Arial"/>
          <w:color w:val="000000" w:themeColor="text1"/>
          <w:szCs w:val="21"/>
        </w:rPr>
        <w:t>he lead variant (</w:t>
      </w:r>
      <w:r w:rsidR="00F41423" w:rsidRPr="00DE2AAF">
        <w:rPr>
          <w:rFonts w:ascii="Arial" w:hAnsi="Arial" w:cs="Arial"/>
          <w:color w:val="000000" w:themeColor="text1"/>
        </w:rPr>
        <w:t>rs56043070</w:t>
      </w:r>
      <w:r>
        <w:rPr>
          <w:rFonts w:ascii="Arial" w:hAnsi="Arial" w:cs="Arial"/>
          <w:color w:val="000000" w:themeColor="text1"/>
          <w:szCs w:val="21"/>
        </w:rPr>
        <w:t>) is colored in pink, and c</w:t>
      </w:r>
      <w:r w:rsidRPr="005B2E1C">
        <w:rPr>
          <w:rFonts w:ascii="Arial" w:hAnsi="Arial" w:cs="Arial"/>
          <w:color w:val="000000" w:themeColor="text1"/>
          <w:szCs w:val="21"/>
        </w:rPr>
        <w:t>olors of</w:t>
      </w:r>
      <w:r>
        <w:rPr>
          <w:rFonts w:ascii="Arial" w:hAnsi="Arial" w:cs="Arial"/>
          <w:color w:val="000000" w:themeColor="text1"/>
          <w:szCs w:val="21"/>
        </w:rPr>
        <w:t xml:space="preserve"> other</w:t>
      </w:r>
      <w:r w:rsidRPr="005B2E1C">
        <w:rPr>
          <w:rFonts w:ascii="Arial" w:hAnsi="Arial" w:cs="Arial"/>
          <w:color w:val="000000" w:themeColor="text1"/>
          <w:szCs w:val="21"/>
        </w:rPr>
        <w:t xml:space="preserve"> </w:t>
      </w:r>
      <w:r>
        <w:rPr>
          <w:rFonts w:ascii="Arial" w:hAnsi="Arial" w:cs="Arial"/>
          <w:color w:val="000000" w:themeColor="text1"/>
          <w:szCs w:val="21"/>
        </w:rPr>
        <w:t>dot</w:t>
      </w:r>
      <w:r w:rsidRPr="005B2E1C">
        <w:rPr>
          <w:rFonts w:ascii="Arial" w:hAnsi="Arial" w:cs="Arial"/>
          <w:color w:val="000000" w:themeColor="text1"/>
          <w:szCs w:val="21"/>
        </w:rPr>
        <w:t>s indicate</w:t>
      </w:r>
      <w:r>
        <w:rPr>
          <w:rFonts w:ascii="Arial" w:hAnsi="Arial" w:cs="Arial"/>
          <w:color w:val="000000" w:themeColor="text1"/>
          <w:szCs w:val="21"/>
        </w:rPr>
        <w:t xml:space="preserve"> </w:t>
      </w:r>
      <w:r w:rsidRPr="005B2E1C">
        <w:rPr>
          <w:rFonts w:ascii="Arial" w:hAnsi="Arial" w:cs="Arial"/>
          <w:color w:val="000000" w:themeColor="text1"/>
          <w:szCs w:val="21"/>
        </w:rPr>
        <w:t xml:space="preserve">linkage disequilibrium measure </w:t>
      </w:r>
      <w:r w:rsidRPr="006E5AB5">
        <w:rPr>
          <w:rFonts w:ascii="Arial" w:hAnsi="Arial" w:cs="Arial"/>
          <w:i/>
          <w:color w:val="000000" w:themeColor="text1"/>
          <w:szCs w:val="21"/>
        </w:rPr>
        <w:t>r</w:t>
      </w:r>
      <w:r w:rsidRPr="006E5AB5">
        <w:rPr>
          <w:rFonts w:ascii="Arial" w:hAnsi="Arial" w:cs="Arial"/>
          <w:color w:val="000000" w:themeColor="text1"/>
          <w:szCs w:val="21"/>
          <w:vertAlign w:val="superscript"/>
        </w:rPr>
        <w:t>2</w:t>
      </w:r>
      <w:r w:rsidRPr="005B2E1C">
        <w:rPr>
          <w:rFonts w:ascii="Arial" w:hAnsi="Arial" w:cs="Arial"/>
          <w:color w:val="000000" w:themeColor="text1"/>
          <w:szCs w:val="21"/>
        </w:rPr>
        <w:t xml:space="preserve"> with</w:t>
      </w:r>
      <w:r>
        <w:rPr>
          <w:rFonts w:ascii="Arial" w:hAnsi="Arial" w:cs="Arial"/>
          <w:color w:val="000000" w:themeColor="text1"/>
          <w:szCs w:val="21"/>
        </w:rPr>
        <w:t xml:space="preserve"> the</w:t>
      </w:r>
      <w:r w:rsidRPr="005B2E1C">
        <w:rPr>
          <w:rFonts w:ascii="Arial" w:hAnsi="Arial" w:cs="Arial"/>
          <w:color w:val="000000" w:themeColor="text1"/>
          <w:szCs w:val="21"/>
        </w:rPr>
        <w:t xml:space="preserve"> lead </w:t>
      </w:r>
      <w:r>
        <w:rPr>
          <w:rFonts w:ascii="Arial" w:hAnsi="Arial" w:cs="Arial"/>
          <w:color w:val="000000" w:themeColor="text1"/>
          <w:szCs w:val="21"/>
        </w:rPr>
        <w:t>variant</w:t>
      </w:r>
      <w:r w:rsidRPr="005B2E1C">
        <w:rPr>
          <w:rFonts w:ascii="Arial" w:hAnsi="Arial" w:cs="Arial"/>
          <w:color w:val="000000" w:themeColor="text1"/>
          <w:szCs w:val="21"/>
        </w:rPr>
        <w:t>.</w:t>
      </w:r>
      <w:r>
        <w:rPr>
          <w:rFonts w:ascii="Arial" w:hAnsi="Arial" w:cs="Arial"/>
          <w:color w:val="000000" w:themeColor="text1"/>
          <w:szCs w:val="21"/>
        </w:rPr>
        <w:t xml:space="preserve"> </w:t>
      </w:r>
    </w:p>
    <w:p w:rsidR="00204976" w:rsidRDefault="00204976" w:rsidP="00633AC2">
      <w:pPr>
        <w:widowControl/>
        <w:rPr>
          <w:rFonts w:ascii="Arial" w:hAnsi="Arial" w:cs="Arial"/>
          <w:b/>
          <w:color w:val="000000" w:themeColor="text1"/>
          <w:szCs w:val="21"/>
        </w:rPr>
      </w:pPr>
      <w:r>
        <w:rPr>
          <w:rFonts w:ascii="Arial" w:hAnsi="Arial" w:cs="Arial"/>
          <w:b/>
          <w:color w:val="000000" w:themeColor="text1"/>
          <w:szCs w:val="21"/>
        </w:rPr>
        <w:br w:type="page"/>
      </w:r>
    </w:p>
    <w:p w:rsidR="00E96616" w:rsidRDefault="00E96616" w:rsidP="00633AC2">
      <w:pPr>
        <w:spacing w:line="360" w:lineRule="auto"/>
        <w:ind w:left="105" w:hangingChars="50" w:hanging="105"/>
        <w:rPr>
          <w:rFonts w:ascii="Arial" w:hAnsi="Arial" w:cs="Arial"/>
          <w:b/>
          <w:color w:val="000000" w:themeColor="text1"/>
          <w:szCs w:val="21"/>
        </w:rPr>
      </w:pPr>
      <w:r>
        <w:rPr>
          <w:rFonts w:ascii="Arial" w:hAnsi="Arial" w:cs="Arial"/>
          <w:b/>
          <w:color w:val="000000" w:themeColor="text1"/>
          <w:szCs w:val="21"/>
        </w:rPr>
        <w:lastRenderedPageBreak/>
        <w:t>Extended Data Figure</w:t>
      </w:r>
      <w:r w:rsidRPr="000E0822">
        <w:rPr>
          <w:rFonts w:ascii="Arial" w:hAnsi="Arial" w:cs="Arial"/>
          <w:b/>
          <w:color w:val="000000" w:themeColor="text1"/>
          <w:szCs w:val="21"/>
        </w:rPr>
        <w:t xml:space="preserve"> </w:t>
      </w:r>
      <w:r w:rsidR="00DC65B4">
        <w:rPr>
          <w:rFonts w:ascii="Arial" w:hAnsi="Arial" w:cs="Arial"/>
          <w:b/>
          <w:color w:val="000000" w:themeColor="text1"/>
          <w:szCs w:val="21"/>
        </w:rPr>
        <w:t>8</w:t>
      </w:r>
      <w:r w:rsidRPr="000E0822">
        <w:rPr>
          <w:rFonts w:ascii="Arial" w:hAnsi="Arial" w:cs="Arial"/>
          <w:b/>
          <w:color w:val="000000" w:themeColor="text1"/>
          <w:szCs w:val="21"/>
        </w:rPr>
        <w:t>.</w:t>
      </w:r>
    </w:p>
    <w:p w:rsidR="001827EC" w:rsidRDefault="001827EC" w:rsidP="00633AC2">
      <w:pPr>
        <w:spacing w:line="360" w:lineRule="auto"/>
        <w:ind w:left="105" w:hangingChars="50" w:hanging="105"/>
        <w:rPr>
          <w:rFonts w:ascii="Arial" w:hAnsi="Arial" w:cs="Arial"/>
          <w:b/>
          <w:szCs w:val="21"/>
        </w:rPr>
      </w:pPr>
      <w:r w:rsidRPr="001827EC">
        <w:rPr>
          <w:rFonts w:ascii="Arial" w:hAnsi="Arial" w:cs="Arial"/>
          <w:b/>
          <w:noProof/>
          <w:szCs w:val="21"/>
        </w:rPr>
        <w:drawing>
          <wp:inline distT="0" distB="0" distL="0" distR="0" wp14:anchorId="3530FCC6" wp14:editId="53F34E46">
            <wp:extent cx="6184900" cy="4300220"/>
            <wp:effectExtent l="0" t="0" r="0" b="508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4900" cy="4300220"/>
                    </a:xfrm>
                    <a:prstGeom prst="rect">
                      <a:avLst/>
                    </a:prstGeom>
                  </pic:spPr>
                </pic:pic>
              </a:graphicData>
            </a:graphic>
          </wp:inline>
        </w:drawing>
      </w:r>
    </w:p>
    <w:p w:rsidR="00E96616" w:rsidRDefault="00E96616" w:rsidP="00633AC2">
      <w:pPr>
        <w:spacing w:line="360" w:lineRule="auto"/>
        <w:ind w:left="105" w:hangingChars="50" w:hanging="105"/>
        <w:rPr>
          <w:rFonts w:ascii="Arial" w:hAnsi="Arial" w:cs="Arial"/>
          <w:b/>
          <w:szCs w:val="21"/>
        </w:rPr>
      </w:pPr>
      <w:r>
        <w:rPr>
          <w:rFonts w:ascii="Arial" w:hAnsi="Arial" w:cs="Arial" w:hint="eastAsia"/>
          <w:b/>
          <w:szCs w:val="21"/>
        </w:rPr>
        <w:t>Extended Data Figure</w:t>
      </w:r>
      <w:r w:rsidRPr="000E0822">
        <w:rPr>
          <w:rFonts w:ascii="Arial" w:hAnsi="Arial" w:cs="Arial"/>
          <w:b/>
          <w:szCs w:val="21"/>
        </w:rPr>
        <w:t xml:space="preserve"> </w:t>
      </w:r>
      <w:r w:rsidR="00DC65B4">
        <w:rPr>
          <w:rFonts w:ascii="Arial" w:hAnsi="Arial" w:cs="Arial"/>
          <w:b/>
          <w:szCs w:val="21"/>
        </w:rPr>
        <w:t>8</w:t>
      </w:r>
      <w:r w:rsidRPr="000E0822">
        <w:rPr>
          <w:rFonts w:ascii="Arial" w:hAnsi="Arial" w:cs="Arial"/>
          <w:b/>
          <w:szCs w:val="21"/>
        </w:rPr>
        <w:t xml:space="preserve"> | </w:t>
      </w:r>
      <w:r>
        <w:rPr>
          <w:rFonts w:ascii="Arial" w:hAnsi="Arial" w:cs="Arial"/>
          <w:b/>
          <w:szCs w:val="21"/>
        </w:rPr>
        <w:t xml:space="preserve">Locus plot for </w:t>
      </w:r>
      <w:r w:rsidR="008D0091">
        <w:rPr>
          <w:rFonts w:ascii="Arial" w:hAnsi="Arial" w:cs="Arial"/>
          <w:b/>
          <w:szCs w:val="21"/>
        </w:rPr>
        <w:t>s</w:t>
      </w:r>
      <w:r w:rsidR="008D0091" w:rsidRPr="008D0091">
        <w:rPr>
          <w:rFonts w:ascii="Arial" w:hAnsi="Arial" w:cs="Arial"/>
          <w:b/>
          <w:szCs w:val="21"/>
        </w:rPr>
        <w:t>alicylic acids</w:t>
      </w:r>
      <w:r w:rsidR="008D0091">
        <w:rPr>
          <w:rFonts w:ascii="Arial" w:hAnsi="Arial" w:cs="Arial"/>
          <w:b/>
          <w:szCs w:val="21"/>
        </w:rPr>
        <w:t xml:space="preserve"> </w:t>
      </w:r>
      <w:r w:rsidR="004E6909">
        <w:rPr>
          <w:rFonts w:ascii="Arial" w:hAnsi="Arial" w:cs="Arial"/>
          <w:b/>
          <w:szCs w:val="21"/>
        </w:rPr>
        <w:t>prescription</w:t>
      </w:r>
      <w:r>
        <w:rPr>
          <w:rFonts w:ascii="Arial" w:hAnsi="Arial" w:cs="Arial"/>
          <w:b/>
          <w:szCs w:val="21"/>
        </w:rPr>
        <w:t xml:space="preserve"> in BBJ.</w:t>
      </w:r>
    </w:p>
    <w:p w:rsidR="00E96616" w:rsidRPr="008D280A" w:rsidRDefault="00E96616" w:rsidP="00633AC2">
      <w:pPr>
        <w:rPr>
          <w:rFonts w:ascii="Arial" w:hAnsi="Arial" w:cs="Arial"/>
          <w:color w:val="000000" w:themeColor="text1"/>
          <w:szCs w:val="21"/>
        </w:rPr>
      </w:pPr>
      <w:r>
        <w:rPr>
          <w:rFonts w:ascii="Arial" w:hAnsi="Arial" w:cs="Arial"/>
          <w:color w:val="000000" w:themeColor="text1"/>
          <w:szCs w:val="21"/>
        </w:rPr>
        <w:t xml:space="preserve">Regional association plots are shown. </w:t>
      </w:r>
      <w:r>
        <w:rPr>
          <w:rFonts w:ascii="Arial" w:hAnsi="Arial" w:cs="Arial" w:hint="eastAsia"/>
          <w:color w:val="000000" w:themeColor="text1"/>
          <w:szCs w:val="21"/>
        </w:rPr>
        <w:t>T</w:t>
      </w:r>
      <w:r>
        <w:rPr>
          <w:rFonts w:ascii="Arial" w:hAnsi="Arial" w:cs="Arial"/>
          <w:color w:val="000000" w:themeColor="text1"/>
          <w:szCs w:val="21"/>
        </w:rPr>
        <w:t>he lead variant (</w:t>
      </w:r>
      <w:r w:rsidR="00E2731C" w:rsidRPr="00DE2AAF">
        <w:rPr>
          <w:rFonts w:ascii="Arial" w:hAnsi="Arial" w:cs="Arial"/>
          <w:color w:val="000000" w:themeColor="text1"/>
        </w:rPr>
        <w:t>rs151193009</w:t>
      </w:r>
      <w:r>
        <w:rPr>
          <w:rFonts w:ascii="Arial" w:hAnsi="Arial" w:cs="Arial"/>
          <w:color w:val="000000" w:themeColor="text1"/>
          <w:szCs w:val="21"/>
        </w:rPr>
        <w:t>) is colored in pink, and c</w:t>
      </w:r>
      <w:r w:rsidRPr="005B2E1C">
        <w:rPr>
          <w:rFonts w:ascii="Arial" w:hAnsi="Arial" w:cs="Arial"/>
          <w:color w:val="000000" w:themeColor="text1"/>
          <w:szCs w:val="21"/>
        </w:rPr>
        <w:t>olors of</w:t>
      </w:r>
      <w:r>
        <w:rPr>
          <w:rFonts w:ascii="Arial" w:hAnsi="Arial" w:cs="Arial"/>
          <w:color w:val="000000" w:themeColor="text1"/>
          <w:szCs w:val="21"/>
        </w:rPr>
        <w:t xml:space="preserve"> other</w:t>
      </w:r>
      <w:r w:rsidRPr="005B2E1C">
        <w:rPr>
          <w:rFonts w:ascii="Arial" w:hAnsi="Arial" w:cs="Arial"/>
          <w:color w:val="000000" w:themeColor="text1"/>
          <w:szCs w:val="21"/>
        </w:rPr>
        <w:t xml:space="preserve"> </w:t>
      </w:r>
      <w:r>
        <w:rPr>
          <w:rFonts w:ascii="Arial" w:hAnsi="Arial" w:cs="Arial"/>
          <w:color w:val="000000" w:themeColor="text1"/>
          <w:szCs w:val="21"/>
        </w:rPr>
        <w:t>dot</w:t>
      </w:r>
      <w:r w:rsidRPr="005B2E1C">
        <w:rPr>
          <w:rFonts w:ascii="Arial" w:hAnsi="Arial" w:cs="Arial"/>
          <w:color w:val="000000" w:themeColor="text1"/>
          <w:szCs w:val="21"/>
        </w:rPr>
        <w:t>s indicate</w:t>
      </w:r>
      <w:r>
        <w:rPr>
          <w:rFonts w:ascii="Arial" w:hAnsi="Arial" w:cs="Arial"/>
          <w:color w:val="000000" w:themeColor="text1"/>
          <w:szCs w:val="21"/>
        </w:rPr>
        <w:t xml:space="preserve"> </w:t>
      </w:r>
      <w:r w:rsidRPr="005B2E1C">
        <w:rPr>
          <w:rFonts w:ascii="Arial" w:hAnsi="Arial" w:cs="Arial"/>
          <w:color w:val="000000" w:themeColor="text1"/>
          <w:szCs w:val="21"/>
        </w:rPr>
        <w:t xml:space="preserve">linkage disequilibrium measure </w:t>
      </w:r>
      <w:r w:rsidRPr="006E5AB5">
        <w:rPr>
          <w:rFonts w:ascii="Arial" w:hAnsi="Arial" w:cs="Arial"/>
          <w:i/>
          <w:color w:val="000000" w:themeColor="text1"/>
          <w:szCs w:val="21"/>
        </w:rPr>
        <w:t>r</w:t>
      </w:r>
      <w:r w:rsidRPr="006E5AB5">
        <w:rPr>
          <w:rFonts w:ascii="Arial" w:hAnsi="Arial" w:cs="Arial"/>
          <w:color w:val="000000" w:themeColor="text1"/>
          <w:szCs w:val="21"/>
          <w:vertAlign w:val="superscript"/>
        </w:rPr>
        <w:t>2</w:t>
      </w:r>
      <w:r w:rsidRPr="005B2E1C">
        <w:rPr>
          <w:rFonts w:ascii="Arial" w:hAnsi="Arial" w:cs="Arial"/>
          <w:color w:val="000000" w:themeColor="text1"/>
          <w:szCs w:val="21"/>
        </w:rPr>
        <w:t xml:space="preserve"> with</w:t>
      </w:r>
      <w:r>
        <w:rPr>
          <w:rFonts w:ascii="Arial" w:hAnsi="Arial" w:cs="Arial"/>
          <w:color w:val="000000" w:themeColor="text1"/>
          <w:szCs w:val="21"/>
        </w:rPr>
        <w:t xml:space="preserve"> the</w:t>
      </w:r>
      <w:r w:rsidRPr="005B2E1C">
        <w:rPr>
          <w:rFonts w:ascii="Arial" w:hAnsi="Arial" w:cs="Arial"/>
          <w:color w:val="000000" w:themeColor="text1"/>
          <w:szCs w:val="21"/>
        </w:rPr>
        <w:t xml:space="preserve"> lead </w:t>
      </w:r>
      <w:r>
        <w:rPr>
          <w:rFonts w:ascii="Arial" w:hAnsi="Arial" w:cs="Arial"/>
          <w:color w:val="000000" w:themeColor="text1"/>
          <w:szCs w:val="21"/>
        </w:rPr>
        <w:t>variant</w:t>
      </w:r>
      <w:r w:rsidRPr="005B2E1C">
        <w:rPr>
          <w:rFonts w:ascii="Arial" w:hAnsi="Arial" w:cs="Arial"/>
          <w:color w:val="000000" w:themeColor="text1"/>
          <w:szCs w:val="21"/>
        </w:rPr>
        <w:t>.</w:t>
      </w:r>
      <w:r>
        <w:rPr>
          <w:rFonts w:ascii="Arial" w:hAnsi="Arial" w:cs="Arial"/>
          <w:color w:val="000000" w:themeColor="text1"/>
          <w:szCs w:val="21"/>
        </w:rPr>
        <w:t xml:space="preserve"> </w:t>
      </w:r>
    </w:p>
    <w:p w:rsidR="00E96616" w:rsidRDefault="00E96616" w:rsidP="00633AC2">
      <w:pPr>
        <w:widowControl/>
        <w:rPr>
          <w:rFonts w:ascii="Arial" w:hAnsi="Arial" w:cs="Arial"/>
          <w:b/>
          <w:color w:val="000000" w:themeColor="text1"/>
          <w:szCs w:val="21"/>
        </w:rPr>
      </w:pPr>
      <w:r>
        <w:rPr>
          <w:rFonts w:ascii="Arial" w:hAnsi="Arial" w:cs="Arial"/>
          <w:b/>
          <w:color w:val="000000" w:themeColor="text1"/>
          <w:szCs w:val="21"/>
        </w:rPr>
        <w:br w:type="page"/>
      </w:r>
    </w:p>
    <w:p w:rsidR="00821C27" w:rsidRPr="000033F6" w:rsidRDefault="008A79DB" w:rsidP="00633AC2">
      <w:pPr>
        <w:spacing w:line="360" w:lineRule="auto"/>
        <w:ind w:left="105" w:hangingChars="50" w:hanging="105"/>
        <w:rPr>
          <w:rFonts w:ascii="Arial" w:hAnsi="Arial" w:cs="Arial"/>
          <w:b/>
          <w:color w:val="000000" w:themeColor="text1"/>
          <w:szCs w:val="21"/>
        </w:rPr>
      </w:pPr>
      <w:r>
        <w:rPr>
          <w:rFonts w:ascii="Arial" w:hAnsi="Arial" w:cs="Arial"/>
          <w:b/>
          <w:color w:val="000000" w:themeColor="text1"/>
        </w:rPr>
        <w:lastRenderedPageBreak/>
        <w:t>Extended Data Figure</w:t>
      </w:r>
      <w:r w:rsidRPr="00DE2AAF">
        <w:rPr>
          <w:rFonts w:ascii="Arial" w:hAnsi="Arial" w:cs="Arial"/>
          <w:b/>
          <w:color w:val="000000" w:themeColor="text1"/>
        </w:rPr>
        <w:t xml:space="preserve"> </w:t>
      </w:r>
      <w:r w:rsidR="00C9256B">
        <w:rPr>
          <w:rFonts w:ascii="Arial" w:hAnsi="Arial" w:cs="Arial"/>
          <w:b/>
          <w:color w:val="000000" w:themeColor="text1"/>
        </w:rPr>
        <w:t>9</w:t>
      </w:r>
      <w:r>
        <w:rPr>
          <w:rFonts w:ascii="Arial" w:hAnsi="Arial" w:cs="Arial"/>
          <w:b/>
          <w:color w:val="000000" w:themeColor="text1"/>
        </w:rPr>
        <w:t>.</w:t>
      </w:r>
    </w:p>
    <w:p w:rsidR="00AB3608" w:rsidRPr="000E0822" w:rsidRDefault="00AB3608" w:rsidP="00633AC2">
      <w:pPr>
        <w:rPr>
          <w:rFonts w:ascii="Arial" w:hAnsi="Arial" w:cs="Arial"/>
          <w:i/>
          <w:szCs w:val="21"/>
        </w:rPr>
      </w:pPr>
      <w:r w:rsidRPr="000E0822">
        <w:rPr>
          <w:rFonts w:ascii="Arial" w:hAnsi="Arial" w:cs="Arial"/>
          <w:i/>
          <w:noProof/>
          <w:szCs w:val="21"/>
        </w:rPr>
        <w:drawing>
          <wp:inline distT="0" distB="0" distL="0" distR="0" wp14:anchorId="4D633E33" wp14:editId="7355FE12">
            <wp:extent cx="5233481" cy="5233481"/>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ple_replication.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33481" cy="5233481"/>
                    </a:xfrm>
                    <a:prstGeom prst="rect">
                      <a:avLst/>
                    </a:prstGeom>
                  </pic:spPr>
                </pic:pic>
              </a:graphicData>
            </a:graphic>
          </wp:inline>
        </w:drawing>
      </w:r>
    </w:p>
    <w:p w:rsidR="00AB3608" w:rsidRPr="000E0822" w:rsidRDefault="002C5DBB" w:rsidP="00633AC2">
      <w:pPr>
        <w:rPr>
          <w:rFonts w:ascii="Arial" w:hAnsi="Arial" w:cs="Arial"/>
          <w:b/>
          <w:szCs w:val="21"/>
        </w:rPr>
      </w:pPr>
      <w:r>
        <w:rPr>
          <w:rFonts w:ascii="Arial" w:hAnsi="Arial" w:cs="Arial" w:hint="eastAsia"/>
          <w:b/>
          <w:szCs w:val="21"/>
        </w:rPr>
        <w:t>Extended Data Figure</w:t>
      </w:r>
      <w:r w:rsidR="00AB3608" w:rsidRPr="000E0822">
        <w:rPr>
          <w:rFonts w:ascii="Arial" w:hAnsi="Arial" w:cs="Arial"/>
          <w:b/>
          <w:szCs w:val="21"/>
        </w:rPr>
        <w:t xml:space="preserve"> </w:t>
      </w:r>
      <w:r w:rsidR="002B5510">
        <w:rPr>
          <w:rFonts w:ascii="Arial" w:hAnsi="Arial" w:cs="Arial"/>
          <w:b/>
          <w:szCs w:val="21"/>
        </w:rPr>
        <w:t>9</w:t>
      </w:r>
      <w:r w:rsidR="00AC0AF7" w:rsidRPr="000E0822">
        <w:rPr>
          <w:rFonts w:ascii="Arial" w:hAnsi="Arial" w:cs="Arial"/>
          <w:b/>
          <w:szCs w:val="21"/>
        </w:rPr>
        <w:t xml:space="preserve"> |</w:t>
      </w:r>
      <w:r w:rsidR="00AB3608" w:rsidRPr="000E0822">
        <w:rPr>
          <w:rFonts w:ascii="Arial" w:hAnsi="Arial" w:cs="Arial"/>
          <w:b/>
          <w:szCs w:val="21"/>
        </w:rPr>
        <w:t xml:space="preserve"> The effect size correlation between BBJ GWAS and European GWAS.</w:t>
      </w:r>
    </w:p>
    <w:p w:rsidR="00AB3608" w:rsidRPr="004648CD" w:rsidRDefault="004648CD" w:rsidP="00633AC2">
      <w:pPr>
        <w:rPr>
          <w:rFonts w:ascii="Arial" w:hAnsi="Arial" w:cs="Arial"/>
          <w:szCs w:val="21"/>
        </w:rPr>
      </w:pPr>
      <w:r w:rsidRPr="004648CD">
        <w:rPr>
          <w:rFonts w:ascii="Arial" w:hAnsi="Arial" w:cs="Arial" w:hint="eastAsia"/>
          <w:szCs w:val="21"/>
        </w:rPr>
        <w:t>The</w:t>
      </w:r>
      <w:r>
        <w:rPr>
          <w:rFonts w:ascii="Arial" w:hAnsi="Arial" w:cs="Arial"/>
          <w:szCs w:val="21"/>
        </w:rPr>
        <w:t xml:space="preserve"> marginal effect sizes of genome-wide significant variants across traits (diseases and biomarkers) in BBJ </w:t>
      </w:r>
      <w:r w:rsidR="000002DA">
        <w:rPr>
          <w:rFonts w:ascii="Arial" w:hAnsi="Arial" w:cs="Arial"/>
          <w:szCs w:val="21"/>
        </w:rPr>
        <w:t>are</w:t>
      </w:r>
      <w:r>
        <w:rPr>
          <w:rFonts w:ascii="Arial" w:hAnsi="Arial" w:cs="Arial"/>
          <w:szCs w:val="21"/>
        </w:rPr>
        <w:t xml:space="preserve"> compared with those in European GWAS. </w:t>
      </w:r>
      <w:r w:rsidR="00A27DE6">
        <w:rPr>
          <w:rFonts w:ascii="Arial" w:hAnsi="Arial" w:cs="Arial"/>
          <w:szCs w:val="21"/>
        </w:rPr>
        <w:t xml:space="preserve">Each plot represents </w:t>
      </w:r>
      <w:r w:rsidR="00F62C7B">
        <w:rPr>
          <w:rFonts w:ascii="Arial" w:hAnsi="Arial" w:cs="Arial"/>
          <w:szCs w:val="21"/>
        </w:rPr>
        <w:t>a</w:t>
      </w:r>
      <w:r w:rsidR="00A27DE6">
        <w:rPr>
          <w:rFonts w:ascii="Arial" w:hAnsi="Arial" w:cs="Arial"/>
          <w:szCs w:val="21"/>
        </w:rPr>
        <w:t xml:space="preserve"> variant, and is colored based on the significance in European GWAS as</w:t>
      </w:r>
      <w:r w:rsidR="002F34B2">
        <w:rPr>
          <w:rFonts w:ascii="Arial" w:hAnsi="Arial" w:cs="Arial"/>
          <w:szCs w:val="21"/>
        </w:rPr>
        <w:t xml:space="preserve"> shown</w:t>
      </w:r>
      <w:r w:rsidR="00A27DE6">
        <w:rPr>
          <w:rFonts w:ascii="Arial" w:hAnsi="Arial" w:cs="Arial"/>
          <w:szCs w:val="21"/>
        </w:rPr>
        <w:t xml:space="preserve"> in </w:t>
      </w:r>
      <w:r w:rsidR="00940208">
        <w:rPr>
          <w:rFonts w:ascii="Arial" w:hAnsi="Arial" w:cs="Arial"/>
          <w:szCs w:val="21"/>
        </w:rPr>
        <w:t xml:space="preserve">the </w:t>
      </w:r>
      <w:r w:rsidR="00A27DE6">
        <w:rPr>
          <w:rFonts w:ascii="Arial" w:hAnsi="Arial" w:cs="Arial"/>
          <w:szCs w:val="21"/>
        </w:rPr>
        <w:t xml:space="preserve">left top legend. </w:t>
      </w:r>
      <w:r w:rsidR="00E55727">
        <w:rPr>
          <w:rFonts w:ascii="Arial" w:hAnsi="Arial" w:cs="Arial"/>
          <w:szCs w:val="21"/>
        </w:rPr>
        <w:t xml:space="preserve">Pearson’s correlation </w:t>
      </w:r>
      <w:r w:rsidR="00E55727" w:rsidRPr="006173C4">
        <w:rPr>
          <w:rFonts w:ascii="Arial" w:hAnsi="Arial" w:cs="Arial"/>
          <w:i/>
          <w:szCs w:val="21"/>
        </w:rPr>
        <w:t>r</w:t>
      </w:r>
      <w:r w:rsidR="00E55727">
        <w:rPr>
          <w:rFonts w:ascii="Arial" w:hAnsi="Arial" w:cs="Arial"/>
          <w:szCs w:val="21"/>
        </w:rPr>
        <w:t xml:space="preserve"> and </w:t>
      </w:r>
      <w:r w:rsidR="00E55727" w:rsidRPr="006173C4">
        <w:rPr>
          <w:rFonts w:ascii="Arial" w:hAnsi="Arial" w:cs="Arial"/>
          <w:i/>
          <w:szCs w:val="21"/>
        </w:rPr>
        <w:t>P</w:t>
      </w:r>
      <w:r w:rsidR="00E55727">
        <w:rPr>
          <w:rFonts w:ascii="Arial" w:hAnsi="Arial" w:cs="Arial"/>
          <w:szCs w:val="21"/>
        </w:rPr>
        <w:t xml:space="preserve"> value </w:t>
      </w:r>
      <w:r w:rsidR="00024B90">
        <w:rPr>
          <w:rFonts w:ascii="Arial" w:hAnsi="Arial" w:cs="Arial"/>
          <w:szCs w:val="21"/>
        </w:rPr>
        <w:t xml:space="preserve">between BBJ </w:t>
      </w:r>
      <w:r w:rsidR="001B6296">
        <w:rPr>
          <w:rFonts w:ascii="Arial" w:hAnsi="Arial" w:cs="Arial"/>
          <w:szCs w:val="21"/>
        </w:rPr>
        <w:t xml:space="preserve">GWAS </w:t>
      </w:r>
      <w:r w:rsidR="00024B90">
        <w:rPr>
          <w:rFonts w:ascii="Arial" w:hAnsi="Arial" w:cs="Arial"/>
          <w:szCs w:val="21"/>
        </w:rPr>
        <w:t xml:space="preserve">and European GWAS </w:t>
      </w:r>
      <w:r w:rsidR="00E55727">
        <w:rPr>
          <w:rFonts w:ascii="Arial" w:hAnsi="Arial" w:cs="Arial"/>
          <w:szCs w:val="21"/>
        </w:rPr>
        <w:t>are also shown in the legend.</w:t>
      </w:r>
    </w:p>
    <w:p w:rsidR="00AB3608" w:rsidRPr="000E0822" w:rsidRDefault="00AB3608" w:rsidP="00633AC2">
      <w:pPr>
        <w:rPr>
          <w:rFonts w:ascii="Arial" w:hAnsi="Arial" w:cs="Arial"/>
          <w:i/>
          <w:szCs w:val="21"/>
        </w:rPr>
      </w:pPr>
      <w:r w:rsidRPr="000E0822">
        <w:rPr>
          <w:rFonts w:ascii="Arial" w:hAnsi="Arial" w:cs="Arial"/>
          <w:i/>
          <w:szCs w:val="21"/>
        </w:rPr>
        <w:br w:type="page"/>
      </w:r>
    </w:p>
    <w:p w:rsidR="00415D01" w:rsidRPr="000E0822" w:rsidRDefault="002C5DBB" w:rsidP="00633AC2">
      <w:pPr>
        <w:rPr>
          <w:rFonts w:ascii="Arial" w:hAnsi="Arial" w:cs="Arial"/>
          <w:color w:val="000000" w:themeColor="text1"/>
          <w:szCs w:val="21"/>
        </w:rPr>
      </w:pPr>
      <w:r>
        <w:rPr>
          <w:rFonts w:ascii="Arial" w:hAnsi="Arial" w:cs="Arial"/>
          <w:b/>
          <w:color w:val="000000" w:themeColor="text1"/>
          <w:szCs w:val="21"/>
        </w:rPr>
        <w:lastRenderedPageBreak/>
        <w:t>Extended Data Figure</w:t>
      </w:r>
      <w:r w:rsidR="00415D01" w:rsidRPr="000E0822">
        <w:rPr>
          <w:rFonts w:ascii="Arial" w:hAnsi="Arial" w:cs="Arial"/>
          <w:b/>
          <w:color w:val="000000" w:themeColor="text1"/>
          <w:szCs w:val="21"/>
        </w:rPr>
        <w:t xml:space="preserve"> </w:t>
      </w:r>
      <w:r w:rsidR="00307EAA">
        <w:rPr>
          <w:rFonts w:ascii="Arial" w:hAnsi="Arial" w:cs="Arial"/>
          <w:b/>
          <w:color w:val="000000" w:themeColor="text1"/>
          <w:szCs w:val="21"/>
        </w:rPr>
        <w:t>10</w:t>
      </w:r>
      <w:r w:rsidR="00415D01" w:rsidRPr="000E0822">
        <w:rPr>
          <w:rFonts w:ascii="Arial" w:hAnsi="Arial" w:cs="Arial"/>
          <w:b/>
          <w:color w:val="000000" w:themeColor="text1"/>
          <w:szCs w:val="21"/>
        </w:rPr>
        <w:t>.</w:t>
      </w:r>
    </w:p>
    <w:p w:rsidR="003C7BA0" w:rsidRPr="000E0822" w:rsidRDefault="003C7BA0" w:rsidP="00633AC2">
      <w:pPr>
        <w:spacing w:line="360" w:lineRule="auto"/>
        <w:rPr>
          <w:rFonts w:ascii="Arial" w:hAnsi="Arial" w:cs="Arial"/>
          <w:szCs w:val="21"/>
        </w:rPr>
      </w:pPr>
      <w:r w:rsidRPr="000E0822">
        <w:rPr>
          <w:rFonts w:ascii="Arial" w:hAnsi="Arial" w:cs="Arial"/>
          <w:noProof/>
          <w:szCs w:val="21"/>
        </w:rPr>
        <w:drawing>
          <wp:inline distT="0" distB="0" distL="0" distR="0" wp14:anchorId="051710CB" wp14:editId="60EBFF7B">
            <wp:extent cx="5457313" cy="659130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_v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58257" cy="6592440"/>
                    </a:xfrm>
                    <a:prstGeom prst="rect">
                      <a:avLst/>
                    </a:prstGeom>
                  </pic:spPr>
                </pic:pic>
              </a:graphicData>
            </a:graphic>
          </wp:inline>
        </w:drawing>
      </w:r>
    </w:p>
    <w:p w:rsidR="003C7BA0" w:rsidRPr="000E0822" w:rsidRDefault="002C5DBB" w:rsidP="00633AC2">
      <w:pPr>
        <w:rPr>
          <w:rFonts w:ascii="Arial" w:hAnsi="Arial" w:cs="Arial"/>
          <w:b/>
          <w:szCs w:val="21"/>
        </w:rPr>
      </w:pPr>
      <w:r>
        <w:rPr>
          <w:rFonts w:ascii="Arial" w:hAnsi="Arial" w:cs="Arial"/>
          <w:b/>
          <w:szCs w:val="21"/>
        </w:rPr>
        <w:t>Extended Data Figure</w:t>
      </w:r>
      <w:r w:rsidR="003C7BA0" w:rsidRPr="000E0822">
        <w:rPr>
          <w:rFonts w:ascii="Arial" w:hAnsi="Arial" w:cs="Arial"/>
          <w:b/>
          <w:szCs w:val="21"/>
        </w:rPr>
        <w:t xml:space="preserve"> </w:t>
      </w:r>
      <w:r w:rsidR="00333E87">
        <w:rPr>
          <w:rFonts w:ascii="Arial" w:hAnsi="Arial" w:cs="Arial"/>
          <w:b/>
          <w:szCs w:val="21"/>
        </w:rPr>
        <w:t>10</w:t>
      </w:r>
      <w:r w:rsidR="00913B21" w:rsidRPr="000E0822">
        <w:rPr>
          <w:rFonts w:ascii="Arial" w:hAnsi="Arial" w:cs="Arial"/>
          <w:b/>
          <w:szCs w:val="21"/>
        </w:rPr>
        <w:t xml:space="preserve"> |</w:t>
      </w:r>
      <w:r w:rsidR="003C7BA0" w:rsidRPr="000E0822">
        <w:rPr>
          <w:rFonts w:ascii="Arial" w:hAnsi="Arial" w:cs="Arial"/>
          <w:b/>
          <w:szCs w:val="21"/>
        </w:rPr>
        <w:t xml:space="preserve"> </w:t>
      </w:r>
      <w:r w:rsidR="003C7BA0" w:rsidRPr="000E0822">
        <w:rPr>
          <w:rFonts w:ascii="Arial" w:hAnsi="Arial" w:cs="Arial" w:hint="eastAsia"/>
          <w:b/>
          <w:szCs w:val="21"/>
        </w:rPr>
        <w:t>Genetic</w:t>
      </w:r>
      <w:r w:rsidR="003C7BA0" w:rsidRPr="000E0822">
        <w:rPr>
          <w:rFonts w:ascii="Arial" w:hAnsi="Arial" w:cs="Arial"/>
          <w:b/>
          <w:szCs w:val="21"/>
        </w:rPr>
        <w:t xml:space="preserve"> correlation matrices across populations.</w:t>
      </w:r>
    </w:p>
    <w:p w:rsidR="00871BC8" w:rsidRPr="000E0822" w:rsidRDefault="003C7BA0" w:rsidP="00633AC2">
      <w:pPr>
        <w:rPr>
          <w:rFonts w:ascii="Arial" w:hAnsi="Arial" w:cs="Arial"/>
          <w:color w:val="000000" w:themeColor="text1"/>
          <w:szCs w:val="21"/>
        </w:rPr>
      </w:pPr>
      <w:r w:rsidRPr="000E0822">
        <w:rPr>
          <w:rFonts w:ascii="Arial" w:hAnsi="Arial" w:cs="Arial"/>
          <w:szCs w:val="21"/>
        </w:rPr>
        <w:t xml:space="preserve">The matrices describe pairwise genetic correlation </w:t>
      </w:r>
      <w:proofErr w:type="spellStart"/>
      <w:r w:rsidRPr="000E0822">
        <w:rPr>
          <w:rFonts w:ascii="Arial" w:hAnsi="Arial" w:cs="Arial"/>
          <w:i/>
          <w:szCs w:val="21"/>
        </w:rPr>
        <w:t>r</w:t>
      </w:r>
      <w:r w:rsidRPr="000E0822">
        <w:rPr>
          <w:rFonts w:ascii="Arial" w:hAnsi="Arial" w:cs="Arial"/>
          <w:szCs w:val="21"/>
          <w:vertAlign w:val="subscript"/>
        </w:rPr>
        <w:t>g</w:t>
      </w:r>
      <w:r w:rsidRPr="000E0822">
        <w:rPr>
          <w:rFonts w:ascii="Arial" w:hAnsi="Arial" w:cs="Arial"/>
          <w:szCs w:val="21"/>
        </w:rPr>
        <w:t>s</w:t>
      </w:r>
      <w:proofErr w:type="spellEnd"/>
      <w:r w:rsidRPr="000E0822">
        <w:rPr>
          <w:rFonts w:ascii="Arial" w:hAnsi="Arial" w:cs="Arial"/>
          <w:szCs w:val="21"/>
        </w:rPr>
        <w:t xml:space="preserve"> in Japanese GWAS (</w:t>
      </w:r>
      <w:r w:rsidRPr="000E0822">
        <w:rPr>
          <w:rFonts w:ascii="Arial" w:hAnsi="Arial" w:cs="Arial"/>
          <w:b/>
          <w:szCs w:val="21"/>
        </w:rPr>
        <w:t>a</w:t>
      </w:r>
      <w:r w:rsidRPr="000E0822">
        <w:rPr>
          <w:rFonts w:ascii="Arial" w:hAnsi="Arial" w:cs="Arial"/>
          <w:szCs w:val="21"/>
        </w:rPr>
        <w:t xml:space="preserve">; </w:t>
      </w:r>
      <w:r w:rsidRPr="000E0822">
        <w:rPr>
          <w:rFonts w:ascii="Arial" w:hAnsi="Arial" w:cs="Arial"/>
          <w:i/>
          <w:szCs w:val="21"/>
        </w:rPr>
        <w:t>n</w:t>
      </w:r>
      <w:r w:rsidRPr="000E0822">
        <w:rPr>
          <w:rFonts w:ascii="Arial" w:hAnsi="Arial" w:cs="Arial"/>
          <w:szCs w:val="21"/>
        </w:rPr>
        <w:t xml:space="preserve"> = 5,565) and in European GWAS (</w:t>
      </w:r>
      <w:r w:rsidRPr="000E0822">
        <w:rPr>
          <w:rFonts w:ascii="Arial" w:hAnsi="Arial" w:cs="Arial"/>
          <w:b/>
          <w:szCs w:val="21"/>
        </w:rPr>
        <w:t>b</w:t>
      </w:r>
      <w:r w:rsidRPr="000E0822">
        <w:rPr>
          <w:rFonts w:ascii="Arial" w:hAnsi="Arial" w:cs="Arial"/>
          <w:szCs w:val="21"/>
        </w:rPr>
        <w:t xml:space="preserve">; </w:t>
      </w:r>
      <w:r w:rsidRPr="000E0822">
        <w:rPr>
          <w:rFonts w:ascii="Arial" w:hAnsi="Arial" w:cs="Arial"/>
          <w:i/>
          <w:szCs w:val="21"/>
        </w:rPr>
        <w:t>n</w:t>
      </w:r>
      <w:r w:rsidR="009021E7">
        <w:rPr>
          <w:rFonts w:ascii="Arial" w:hAnsi="Arial" w:cs="Arial"/>
          <w:szCs w:val="21"/>
        </w:rPr>
        <w:t xml:space="preserve"> = 10,878</w:t>
      </w:r>
      <w:r w:rsidRPr="000E0822">
        <w:rPr>
          <w:rFonts w:ascii="Arial" w:hAnsi="Arial" w:cs="Arial"/>
          <w:szCs w:val="21"/>
        </w:rPr>
        <w:t xml:space="preserve">), which were estimated by bivariate LD score regression. </w:t>
      </w:r>
      <w:r w:rsidR="00990B73">
        <w:rPr>
          <w:rFonts w:ascii="Arial" w:hAnsi="Arial" w:cs="Arial"/>
          <w:szCs w:val="21"/>
        </w:rPr>
        <w:t>A</w:t>
      </w:r>
      <w:r w:rsidRPr="000E0822">
        <w:rPr>
          <w:rFonts w:ascii="Arial" w:hAnsi="Arial" w:cs="Arial"/>
          <w:szCs w:val="21"/>
        </w:rPr>
        <w:t xml:space="preserve"> color of the cells indicates the value of </w:t>
      </w:r>
      <w:proofErr w:type="spellStart"/>
      <w:r w:rsidRPr="000E0822">
        <w:rPr>
          <w:rFonts w:ascii="Arial" w:hAnsi="Arial" w:cs="Arial"/>
          <w:i/>
          <w:szCs w:val="21"/>
        </w:rPr>
        <w:t>r</w:t>
      </w:r>
      <w:r w:rsidRPr="000E0822">
        <w:rPr>
          <w:rFonts w:ascii="Arial" w:hAnsi="Arial" w:cs="Arial"/>
          <w:szCs w:val="21"/>
          <w:vertAlign w:val="subscript"/>
        </w:rPr>
        <w:t>g</w:t>
      </w:r>
      <w:proofErr w:type="spellEnd"/>
      <w:r w:rsidRPr="000E0822">
        <w:rPr>
          <w:rFonts w:ascii="Arial" w:hAnsi="Arial" w:cs="Arial"/>
          <w:szCs w:val="21"/>
        </w:rPr>
        <w:t xml:space="preserve"> as shown in </w:t>
      </w:r>
      <w:r w:rsidR="00BC62E4">
        <w:rPr>
          <w:rFonts w:ascii="Arial" w:hAnsi="Arial" w:cs="Arial"/>
          <w:szCs w:val="21"/>
        </w:rPr>
        <w:t xml:space="preserve">a </w:t>
      </w:r>
      <w:r w:rsidRPr="000E0822">
        <w:rPr>
          <w:rFonts w:ascii="Arial" w:hAnsi="Arial" w:cs="Arial"/>
          <w:szCs w:val="21"/>
        </w:rPr>
        <w:t xml:space="preserve">color scale at the bottom. The traits (rows and columns) were hierarchically clustered by </w:t>
      </w:r>
      <w:proofErr w:type="spellStart"/>
      <w:r w:rsidRPr="000E0822">
        <w:rPr>
          <w:rFonts w:ascii="Arial" w:hAnsi="Arial" w:cs="Arial"/>
          <w:szCs w:val="21"/>
        </w:rPr>
        <w:t>hclust</w:t>
      </w:r>
      <w:proofErr w:type="spellEnd"/>
      <w:r w:rsidR="00EB1415">
        <w:rPr>
          <w:rFonts w:ascii="Arial" w:hAnsi="Arial" w:cs="Arial"/>
          <w:szCs w:val="21"/>
        </w:rPr>
        <w:t xml:space="preserve"> </w:t>
      </w:r>
      <w:r w:rsidR="005F7C30">
        <w:rPr>
          <w:rFonts w:ascii="Arial" w:hAnsi="Arial" w:cs="Arial"/>
          <w:szCs w:val="21"/>
        </w:rPr>
        <w:t>library</w:t>
      </w:r>
      <w:r w:rsidR="00EB1415">
        <w:rPr>
          <w:rFonts w:ascii="Arial" w:hAnsi="Arial" w:cs="Arial"/>
          <w:szCs w:val="21"/>
        </w:rPr>
        <w:t xml:space="preserve"> in R</w:t>
      </w:r>
      <w:r w:rsidRPr="000E0822">
        <w:rPr>
          <w:rFonts w:ascii="Arial" w:hAnsi="Arial" w:cs="Arial"/>
          <w:szCs w:val="21"/>
        </w:rPr>
        <w:t>, and</w:t>
      </w:r>
      <w:r w:rsidR="00C51BA9">
        <w:rPr>
          <w:rFonts w:ascii="Arial" w:hAnsi="Arial" w:cs="Arial"/>
          <w:szCs w:val="21"/>
        </w:rPr>
        <w:t xml:space="preserve"> </w:t>
      </w:r>
      <w:r w:rsidR="00C51BA9" w:rsidRPr="00DE2AAF">
        <w:rPr>
          <w:rFonts w:ascii="Arial" w:hAnsi="Arial" w:cs="Arial"/>
          <w:color w:val="000000" w:themeColor="text1"/>
        </w:rPr>
        <w:t>trait domains</w:t>
      </w:r>
      <w:r w:rsidR="00C51BA9">
        <w:rPr>
          <w:rFonts w:ascii="Arial" w:hAnsi="Arial" w:cs="Arial"/>
          <w:color w:val="000000" w:themeColor="text1"/>
        </w:rPr>
        <w:t xml:space="preserve"> are </w:t>
      </w:r>
      <w:r w:rsidR="00F725F2">
        <w:rPr>
          <w:rFonts w:ascii="Arial" w:hAnsi="Arial" w:cs="Arial"/>
          <w:color w:val="000000" w:themeColor="text1"/>
        </w:rPr>
        <w:t>displayed</w:t>
      </w:r>
      <w:r w:rsidR="00C51BA9">
        <w:rPr>
          <w:rFonts w:ascii="Arial" w:hAnsi="Arial" w:cs="Arial"/>
          <w:color w:val="000000" w:themeColor="text1"/>
        </w:rPr>
        <w:t xml:space="preserve"> </w:t>
      </w:r>
      <w:r w:rsidR="00263FFC">
        <w:rPr>
          <w:rFonts w:ascii="Arial" w:hAnsi="Arial" w:cs="Arial"/>
          <w:color w:val="000000" w:themeColor="text1"/>
        </w:rPr>
        <w:t>as</w:t>
      </w:r>
      <w:r w:rsidR="00C51BA9">
        <w:rPr>
          <w:rFonts w:ascii="Arial" w:hAnsi="Arial" w:cs="Arial"/>
          <w:color w:val="000000" w:themeColor="text1"/>
        </w:rPr>
        <w:t xml:space="preserve"> colored </w:t>
      </w:r>
      <w:r w:rsidR="00B73C13">
        <w:rPr>
          <w:rFonts w:ascii="Arial" w:hAnsi="Arial" w:cs="Arial"/>
          <w:color w:val="000000" w:themeColor="text1"/>
        </w:rPr>
        <w:t xml:space="preserve">boxes (see </w:t>
      </w:r>
      <w:r w:rsidR="00B73C13" w:rsidRPr="00070A5A">
        <w:rPr>
          <w:rFonts w:ascii="Arial" w:hAnsi="Arial" w:cs="Arial"/>
          <w:b/>
          <w:color w:val="000000" w:themeColor="text1"/>
        </w:rPr>
        <w:t>Methods</w:t>
      </w:r>
      <w:r w:rsidR="00B73C13">
        <w:rPr>
          <w:rFonts w:ascii="Arial" w:hAnsi="Arial" w:cs="Arial"/>
          <w:color w:val="000000" w:themeColor="text1"/>
        </w:rPr>
        <w:t>)</w:t>
      </w:r>
      <w:r w:rsidRPr="000E0822">
        <w:rPr>
          <w:rFonts w:ascii="Arial" w:hAnsi="Arial" w:cs="Arial"/>
          <w:szCs w:val="21"/>
        </w:rPr>
        <w:t xml:space="preserve">. </w:t>
      </w:r>
      <w:r w:rsidRPr="000E0822">
        <w:rPr>
          <w:rFonts w:ascii="Arial" w:hAnsi="Arial" w:cs="Arial"/>
          <w:i/>
          <w:szCs w:val="21"/>
        </w:rPr>
        <w:br w:type="page"/>
      </w:r>
      <w:r w:rsidR="00871BC8">
        <w:rPr>
          <w:rFonts w:ascii="Arial" w:hAnsi="Arial" w:cs="Arial"/>
          <w:b/>
          <w:color w:val="000000" w:themeColor="text1"/>
          <w:szCs w:val="21"/>
        </w:rPr>
        <w:lastRenderedPageBreak/>
        <w:t>Extended Data Figure</w:t>
      </w:r>
      <w:r w:rsidR="00871BC8" w:rsidRPr="000E0822">
        <w:rPr>
          <w:rFonts w:ascii="Arial" w:hAnsi="Arial" w:cs="Arial"/>
          <w:b/>
          <w:color w:val="000000" w:themeColor="text1"/>
          <w:szCs w:val="21"/>
        </w:rPr>
        <w:t xml:space="preserve"> </w:t>
      </w:r>
      <w:r w:rsidR="00871BC8">
        <w:rPr>
          <w:rFonts w:ascii="Arial" w:hAnsi="Arial" w:cs="Arial"/>
          <w:b/>
          <w:color w:val="000000" w:themeColor="text1"/>
          <w:szCs w:val="21"/>
        </w:rPr>
        <w:t>1</w:t>
      </w:r>
      <w:r w:rsidR="00137A47">
        <w:rPr>
          <w:rFonts w:ascii="Arial" w:hAnsi="Arial" w:cs="Arial"/>
          <w:b/>
          <w:color w:val="000000" w:themeColor="text1"/>
          <w:szCs w:val="21"/>
        </w:rPr>
        <w:t>1</w:t>
      </w:r>
      <w:r w:rsidR="00871BC8" w:rsidRPr="000E0822">
        <w:rPr>
          <w:rFonts w:ascii="Arial" w:hAnsi="Arial" w:cs="Arial"/>
          <w:b/>
          <w:color w:val="000000" w:themeColor="text1"/>
          <w:szCs w:val="21"/>
        </w:rPr>
        <w:t>.</w:t>
      </w:r>
    </w:p>
    <w:p w:rsidR="00871BC8" w:rsidRDefault="006F20DB" w:rsidP="00633AC2">
      <w:pPr>
        <w:widowControl/>
        <w:rPr>
          <w:rFonts w:ascii="Arial" w:hAnsi="Arial" w:cs="Arial"/>
          <w:i/>
          <w:szCs w:val="21"/>
        </w:rPr>
      </w:pPr>
      <w:r w:rsidRPr="006F20DB">
        <w:rPr>
          <w:rFonts w:ascii="Arial" w:hAnsi="Arial" w:cs="Arial"/>
          <w:i/>
          <w:noProof/>
          <w:szCs w:val="21"/>
        </w:rPr>
        <w:drawing>
          <wp:inline distT="0" distB="0" distL="0" distR="0" wp14:anchorId="642D0615" wp14:editId="41556E26">
            <wp:extent cx="4501055" cy="4043093"/>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06036" cy="4047567"/>
                    </a:xfrm>
                    <a:prstGeom prst="rect">
                      <a:avLst/>
                    </a:prstGeom>
                  </pic:spPr>
                </pic:pic>
              </a:graphicData>
            </a:graphic>
          </wp:inline>
        </w:drawing>
      </w:r>
    </w:p>
    <w:p w:rsidR="004D0981" w:rsidRPr="000E0822" w:rsidRDefault="004D0981" w:rsidP="00633AC2">
      <w:pPr>
        <w:rPr>
          <w:rFonts w:ascii="Arial" w:hAnsi="Arial" w:cs="Arial"/>
          <w:b/>
          <w:szCs w:val="21"/>
        </w:rPr>
      </w:pPr>
      <w:r w:rsidRPr="004F0EBB">
        <w:rPr>
          <w:rFonts w:ascii="Arial" w:hAnsi="Arial" w:cs="Arial"/>
          <w:b/>
          <w:szCs w:val="21"/>
        </w:rPr>
        <w:t>Extended Data Figure 1</w:t>
      </w:r>
      <w:r w:rsidR="00093BC0">
        <w:rPr>
          <w:rFonts w:ascii="Arial" w:hAnsi="Arial" w:cs="Arial"/>
          <w:b/>
          <w:szCs w:val="21"/>
        </w:rPr>
        <w:t>1</w:t>
      </w:r>
      <w:r w:rsidRPr="004F0EBB">
        <w:rPr>
          <w:rFonts w:ascii="Arial" w:hAnsi="Arial" w:cs="Arial"/>
          <w:b/>
          <w:szCs w:val="21"/>
        </w:rPr>
        <w:t xml:space="preserve"> | </w:t>
      </w:r>
      <w:r w:rsidR="00280CC9" w:rsidRPr="004F0EBB">
        <w:rPr>
          <w:rFonts w:ascii="Arial" w:hAnsi="Arial" w:cs="Arial"/>
          <w:b/>
          <w:szCs w:val="21"/>
        </w:rPr>
        <w:t>A scree plot</w:t>
      </w:r>
      <w:r w:rsidR="004F0EBB" w:rsidRPr="004F0EBB">
        <w:rPr>
          <w:rFonts w:ascii="Arial" w:hAnsi="Arial" w:cs="Arial"/>
          <w:b/>
          <w:szCs w:val="21"/>
        </w:rPr>
        <w:t xml:space="preserve"> from the </w:t>
      </w:r>
      <w:r w:rsidR="004F0EBB">
        <w:rPr>
          <w:rFonts w:ascii="Arial" w:hAnsi="Arial" w:cs="Arial"/>
          <w:b/>
          <w:szCs w:val="21"/>
        </w:rPr>
        <w:t>decomposition of summary statistics</w:t>
      </w:r>
      <w:r w:rsidRPr="004F0EBB">
        <w:rPr>
          <w:rFonts w:ascii="Arial" w:hAnsi="Arial" w:cs="Arial"/>
          <w:b/>
          <w:szCs w:val="21"/>
        </w:rPr>
        <w:t>.</w:t>
      </w:r>
    </w:p>
    <w:p w:rsidR="000861FE" w:rsidRDefault="000861FE" w:rsidP="00633AC2">
      <w:pPr>
        <w:widowControl/>
        <w:rPr>
          <w:rFonts w:ascii="Arial" w:hAnsi="Arial" w:cs="Arial"/>
          <w:szCs w:val="21"/>
        </w:rPr>
      </w:pPr>
      <w:r>
        <w:rPr>
          <w:rFonts w:ascii="Arial" w:hAnsi="Arial" w:cs="Arial" w:hint="eastAsia"/>
          <w:szCs w:val="21"/>
        </w:rPr>
        <w:t>A</w:t>
      </w:r>
      <w:r>
        <w:rPr>
          <w:rFonts w:ascii="Arial" w:hAnsi="Arial" w:cs="Arial"/>
          <w:szCs w:val="21"/>
        </w:rPr>
        <w:t xml:space="preserve"> scree plot summarizes cumulative explained variance by the 40 components from TSVD.</w:t>
      </w:r>
      <w:r w:rsidR="00986F1A">
        <w:rPr>
          <w:rFonts w:ascii="Arial" w:hAnsi="Arial" w:cs="Arial"/>
          <w:szCs w:val="21"/>
        </w:rPr>
        <w:t xml:space="preserve"> We calculated variance</w:t>
      </w:r>
      <w:r w:rsidR="00E15B14" w:rsidRPr="00E15B14">
        <w:rPr>
          <w:rFonts w:ascii="Arial" w:hAnsi="Arial" w:cs="Arial"/>
          <w:szCs w:val="21"/>
        </w:rPr>
        <w:t xml:space="preserve"> </w:t>
      </w:r>
      <w:r w:rsidR="00E15B14">
        <w:rPr>
          <w:rFonts w:ascii="Arial" w:hAnsi="Arial" w:cs="Arial"/>
          <w:szCs w:val="21"/>
        </w:rPr>
        <w:t xml:space="preserve">explained by each component from the </w:t>
      </w:r>
      <w:proofErr w:type="gramStart"/>
      <w:r w:rsidR="0093496A">
        <w:rPr>
          <w:rFonts w:ascii="Arial" w:hAnsi="Arial" w:cs="Arial"/>
          <w:szCs w:val="21"/>
        </w:rPr>
        <w:t>“.</w:t>
      </w:r>
      <w:proofErr w:type="spellStart"/>
      <w:r w:rsidR="0093496A" w:rsidRPr="0093496A">
        <w:rPr>
          <w:rFonts w:ascii="Arial" w:hAnsi="Arial" w:cs="Arial"/>
          <w:szCs w:val="21"/>
        </w:rPr>
        <w:t>explained</w:t>
      </w:r>
      <w:proofErr w:type="gramEnd"/>
      <w:r w:rsidR="0093496A" w:rsidRPr="0093496A">
        <w:rPr>
          <w:rFonts w:ascii="Arial" w:hAnsi="Arial" w:cs="Arial"/>
          <w:szCs w:val="21"/>
        </w:rPr>
        <w:t>_variance_ratio</w:t>
      </w:r>
      <w:proofErr w:type="spellEnd"/>
      <w:r w:rsidR="0093496A" w:rsidRPr="0093496A">
        <w:rPr>
          <w:rFonts w:ascii="Arial" w:hAnsi="Arial" w:cs="Arial"/>
          <w:szCs w:val="21"/>
        </w:rPr>
        <w:t>_</w:t>
      </w:r>
      <w:r w:rsidR="0093496A">
        <w:rPr>
          <w:rFonts w:ascii="Arial" w:hAnsi="Arial" w:cs="Arial"/>
          <w:szCs w:val="21"/>
        </w:rPr>
        <w:t>” from TruncatedSVD module in python package.</w:t>
      </w:r>
    </w:p>
    <w:p w:rsidR="00CE7E24" w:rsidRDefault="004D0981">
      <w:pPr>
        <w:widowControl/>
        <w:jc w:val="left"/>
        <w:rPr>
          <w:rFonts w:ascii="Arial" w:hAnsi="Arial" w:cs="Arial"/>
          <w:i/>
          <w:szCs w:val="21"/>
        </w:rPr>
      </w:pPr>
      <w:r w:rsidRPr="000E0822">
        <w:rPr>
          <w:rFonts w:ascii="Arial" w:hAnsi="Arial" w:cs="Arial"/>
          <w:i/>
          <w:szCs w:val="21"/>
        </w:rPr>
        <w:br w:type="page"/>
      </w:r>
    </w:p>
    <w:p w:rsidR="00CE7E24" w:rsidRPr="00D50102" w:rsidRDefault="00CE7E24">
      <w:pPr>
        <w:widowControl/>
        <w:jc w:val="left"/>
        <w:rPr>
          <w:rFonts w:ascii="Arial" w:hAnsi="Arial" w:cs="Arial"/>
          <w:b/>
          <w:color w:val="000000" w:themeColor="text1"/>
          <w:szCs w:val="21"/>
        </w:rPr>
      </w:pPr>
      <w:r>
        <w:rPr>
          <w:rFonts w:ascii="Arial" w:hAnsi="Arial" w:cs="Arial"/>
          <w:b/>
          <w:color w:val="000000" w:themeColor="text1"/>
          <w:szCs w:val="21"/>
        </w:rPr>
        <w:lastRenderedPageBreak/>
        <w:t>Extended Data Figure</w:t>
      </w:r>
      <w:r w:rsidRPr="000E0822">
        <w:rPr>
          <w:rFonts w:ascii="Arial" w:hAnsi="Arial" w:cs="Arial"/>
          <w:b/>
          <w:color w:val="000000" w:themeColor="text1"/>
          <w:szCs w:val="21"/>
        </w:rPr>
        <w:t xml:space="preserve"> </w:t>
      </w:r>
      <w:r>
        <w:rPr>
          <w:rFonts w:ascii="Arial" w:hAnsi="Arial" w:cs="Arial"/>
          <w:b/>
          <w:color w:val="000000" w:themeColor="text1"/>
          <w:szCs w:val="21"/>
        </w:rPr>
        <w:t>1</w:t>
      </w:r>
      <w:r w:rsidR="007A716D">
        <w:rPr>
          <w:rFonts w:ascii="Arial" w:hAnsi="Arial" w:cs="Arial"/>
          <w:b/>
          <w:color w:val="000000" w:themeColor="text1"/>
          <w:szCs w:val="21"/>
        </w:rPr>
        <w:t>2</w:t>
      </w:r>
      <w:r w:rsidRPr="000E0822">
        <w:rPr>
          <w:rFonts w:ascii="Arial" w:hAnsi="Arial" w:cs="Arial"/>
          <w:b/>
          <w:color w:val="000000" w:themeColor="text1"/>
          <w:szCs w:val="21"/>
        </w:rPr>
        <w:t>.</w:t>
      </w:r>
    </w:p>
    <w:p w:rsidR="00CE7E24" w:rsidRDefault="00D50102" w:rsidP="00D50102">
      <w:pPr>
        <w:widowControl/>
        <w:jc w:val="center"/>
        <w:rPr>
          <w:rFonts w:ascii="Arial" w:hAnsi="Arial" w:cs="Arial"/>
          <w:color w:val="000000" w:themeColor="text1"/>
        </w:rPr>
      </w:pPr>
      <w:r>
        <w:rPr>
          <w:rFonts w:ascii="Arial" w:hAnsi="Arial" w:cs="Arial"/>
          <w:noProof/>
          <w:color w:val="000000" w:themeColor="text1"/>
        </w:rPr>
        <w:drawing>
          <wp:inline distT="0" distB="0" distL="0" distR="0">
            <wp:extent cx="5272391" cy="5272391"/>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pple_network.png"/>
                    <pic:cNvPicPr/>
                  </pic:nvPicPr>
                  <pic:blipFill>
                    <a:blip r:embed="rId18">
                      <a:extLst>
                        <a:ext uri="{28A0092B-C50C-407E-A947-70E740481C1C}">
                          <a14:useLocalDpi xmlns:a14="http://schemas.microsoft.com/office/drawing/2010/main" val="0"/>
                        </a:ext>
                      </a:extLst>
                    </a:blip>
                    <a:stretch>
                      <a:fillRect/>
                    </a:stretch>
                  </pic:blipFill>
                  <pic:spPr>
                    <a:xfrm>
                      <a:off x="0" y="0"/>
                      <a:ext cx="5272846" cy="5272846"/>
                    </a:xfrm>
                    <a:prstGeom prst="rect">
                      <a:avLst/>
                    </a:prstGeom>
                  </pic:spPr>
                </pic:pic>
              </a:graphicData>
            </a:graphic>
          </wp:inline>
        </w:drawing>
      </w:r>
    </w:p>
    <w:p w:rsidR="00035B40" w:rsidRDefault="00035B40">
      <w:pPr>
        <w:widowControl/>
        <w:jc w:val="left"/>
        <w:rPr>
          <w:rFonts w:ascii="Arial" w:hAnsi="Arial" w:cs="Arial"/>
          <w:color w:val="000000" w:themeColor="text1"/>
        </w:rPr>
      </w:pPr>
      <w:r>
        <w:rPr>
          <w:rFonts w:ascii="Arial" w:hAnsi="Arial" w:cs="Arial"/>
          <w:b/>
          <w:color w:val="000000" w:themeColor="text1"/>
          <w:szCs w:val="21"/>
        </w:rPr>
        <w:t>Extended Data Figure</w:t>
      </w:r>
      <w:r w:rsidRPr="000E0822">
        <w:rPr>
          <w:rFonts w:ascii="Arial" w:hAnsi="Arial" w:cs="Arial"/>
          <w:b/>
          <w:color w:val="000000" w:themeColor="text1"/>
          <w:szCs w:val="21"/>
        </w:rPr>
        <w:t xml:space="preserve"> </w:t>
      </w:r>
      <w:r>
        <w:rPr>
          <w:rFonts w:ascii="Arial" w:hAnsi="Arial" w:cs="Arial"/>
          <w:b/>
          <w:color w:val="000000" w:themeColor="text1"/>
          <w:szCs w:val="21"/>
        </w:rPr>
        <w:t>12</w:t>
      </w:r>
      <w:r w:rsidRPr="00035B40">
        <w:rPr>
          <w:rFonts w:ascii="Arial" w:hAnsi="Arial" w:cs="Arial"/>
          <w:b/>
          <w:color w:val="000000" w:themeColor="text1"/>
          <w:szCs w:val="21"/>
        </w:rPr>
        <w:t xml:space="preserve"> | </w:t>
      </w:r>
      <w:r w:rsidRPr="00035B40">
        <w:rPr>
          <w:rFonts w:ascii="Arial" w:hAnsi="Arial" w:cs="Arial"/>
          <w:b/>
          <w:color w:val="000000" w:themeColor="text1"/>
        </w:rPr>
        <w:t>Network representation of the TSVD analysis.</w:t>
      </w:r>
    </w:p>
    <w:p w:rsidR="00084D1F" w:rsidRDefault="00AC6CDA">
      <w:pPr>
        <w:widowControl/>
        <w:jc w:val="left"/>
        <w:rPr>
          <w:rFonts w:ascii="Arial" w:hAnsi="Arial" w:cs="Arial"/>
          <w:i/>
          <w:szCs w:val="21"/>
        </w:rPr>
      </w:pPr>
      <w:r>
        <w:rPr>
          <w:rFonts w:ascii="Arial" w:hAnsi="Arial" w:cs="Arial"/>
          <w:color w:val="000000" w:themeColor="text1"/>
        </w:rPr>
        <w:t>Two-dimensional</w:t>
      </w:r>
      <w:r w:rsidR="001414DE">
        <w:rPr>
          <w:rFonts w:ascii="Arial" w:hAnsi="Arial" w:cs="Arial"/>
          <w:color w:val="000000" w:themeColor="text1"/>
        </w:rPr>
        <w:t xml:space="preserve"> illustration of i</w:t>
      </w:r>
      <w:r w:rsidR="00FC0D03">
        <w:rPr>
          <w:rFonts w:ascii="Arial" w:hAnsi="Arial" w:cs="Arial"/>
          <w:color w:val="000000" w:themeColor="text1"/>
        </w:rPr>
        <w:t xml:space="preserve">nterconnection among 159 diseases </w:t>
      </w:r>
      <w:r w:rsidR="00E7312A">
        <w:rPr>
          <w:rFonts w:ascii="Arial" w:hAnsi="Arial" w:cs="Arial"/>
          <w:color w:val="000000" w:themeColor="text1"/>
        </w:rPr>
        <w:t xml:space="preserve">and 40 latent components. </w:t>
      </w:r>
      <w:r w:rsidR="00CE7E24" w:rsidRPr="00DE2AAF">
        <w:rPr>
          <w:rFonts w:ascii="Arial" w:hAnsi="Arial" w:cs="Arial"/>
          <w:color w:val="000000" w:themeColor="text1"/>
        </w:rPr>
        <w:t>Plots in blue indicate each trait’s statistics, and plots in pink indicate the latent components derived by TSVD. White lines represent the contribution of each phenotype in each component. The width of the lines indicates the strength of the contribution</w:t>
      </w:r>
      <w:r w:rsidR="00D179AA">
        <w:rPr>
          <w:rFonts w:ascii="Arial" w:hAnsi="Arial" w:cs="Arial"/>
          <w:color w:val="000000" w:themeColor="text1"/>
        </w:rPr>
        <w:t xml:space="preserve"> based on the squared cosine score</w:t>
      </w:r>
      <w:r w:rsidR="00CE7E24" w:rsidRPr="00DE2AAF">
        <w:rPr>
          <w:rFonts w:ascii="Arial" w:hAnsi="Arial" w:cs="Arial"/>
          <w:color w:val="000000" w:themeColor="text1"/>
        </w:rPr>
        <w:t>.</w:t>
      </w:r>
      <w:r w:rsidR="00084D1F">
        <w:rPr>
          <w:rFonts w:ascii="Arial" w:hAnsi="Arial" w:cs="Arial"/>
          <w:i/>
          <w:szCs w:val="21"/>
        </w:rPr>
        <w:br w:type="page"/>
      </w:r>
    </w:p>
    <w:p w:rsidR="004C0332" w:rsidRPr="000E0822" w:rsidRDefault="00084D1F" w:rsidP="00633AC2">
      <w:pPr>
        <w:rPr>
          <w:rFonts w:ascii="Arial" w:hAnsi="Arial" w:cs="Arial"/>
          <w:color w:val="000000" w:themeColor="text1"/>
          <w:szCs w:val="21"/>
        </w:rPr>
      </w:pPr>
      <w:r>
        <w:rPr>
          <w:rFonts w:ascii="Arial" w:hAnsi="Arial" w:cs="Arial"/>
          <w:b/>
          <w:color w:val="000000" w:themeColor="text1"/>
          <w:szCs w:val="21"/>
        </w:rPr>
        <w:lastRenderedPageBreak/>
        <w:t>E</w:t>
      </w:r>
      <w:r w:rsidR="004C0332">
        <w:rPr>
          <w:rFonts w:ascii="Arial" w:hAnsi="Arial" w:cs="Arial"/>
          <w:b/>
          <w:color w:val="000000" w:themeColor="text1"/>
          <w:szCs w:val="21"/>
        </w:rPr>
        <w:t>xtended Data Figure</w:t>
      </w:r>
      <w:r w:rsidR="004C0332" w:rsidRPr="000E0822">
        <w:rPr>
          <w:rFonts w:ascii="Arial" w:hAnsi="Arial" w:cs="Arial"/>
          <w:b/>
          <w:color w:val="000000" w:themeColor="text1"/>
          <w:szCs w:val="21"/>
        </w:rPr>
        <w:t xml:space="preserve"> </w:t>
      </w:r>
      <w:r w:rsidR="004C0332">
        <w:rPr>
          <w:rFonts w:ascii="Arial" w:hAnsi="Arial" w:cs="Arial"/>
          <w:b/>
          <w:color w:val="000000" w:themeColor="text1"/>
          <w:szCs w:val="21"/>
        </w:rPr>
        <w:t>1</w:t>
      </w:r>
      <w:r w:rsidR="007A716D">
        <w:rPr>
          <w:rFonts w:ascii="Arial" w:hAnsi="Arial" w:cs="Arial"/>
          <w:b/>
          <w:color w:val="000000" w:themeColor="text1"/>
          <w:szCs w:val="21"/>
        </w:rPr>
        <w:t>3</w:t>
      </w:r>
      <w:r w:rsidR="004C0332" w:rsidRPr="000E0822">
        <w:rPr>
          <w:rFonts w:ascii="Arial" w:hAnsi="Arial" w:cs="Arial"/>
          <w:b/>
          <w:color w:val="000000" w:themeColor="text1"/>
          <w:szCs w:val="21"/>
        </w:rPr>
        <w:t>.</w:t>
      </w:r>
    </w:p>
    <w:p w:rsidR="00834420" w:rsidRDefault="00834420" w:rsidP="00633AC2">
      <w:pPr>
        <w:widowControl/>
        <w:rPr>
          <w:rFonts w:ascii="Arial" w:hAnsi="Arial" w:cs="Arial"/>
          <w:i/>
          <w:szCs w:val="21"/>
        </w:rPr>
      </w:pPr>
      <w:r>
        <w:rPr>
          <w:rFonts w:ascii="Arial" w:hAnsi="Arial" w:cs="Arial"/>
          <w:i/>
          <w:noProof/>
          <w:szCs w:val="21"/>
        </w:rPr>
        <w:drawing>
          <wp:inline distT="0" distB="0" distL="0" distR="0">
            <wp:extent cx="5446986" cy="4176395"/>
            <wp:effectExtent l="0" t="0" r="190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ple_tissueheatmap.png"/>
                    <pic:cNvPicPr/>
                  </pic:nvPicPr>
                  <pic:blipFill>
                    <a:blip r:embed="rId19">
                      <a:extLst>
                        <a:ext uri="{28A0092B-C50C-407E-A947-70E740481C1C}">
                          <a14:useLocalDpi xmlns:a14="http://schemas.microsoft.com/office/drawing/2010/main" val="0"/>
                        </a:ext>
                      </a:extLst>
                    </a:blip>
                    <a:stretch>
                      <a:fillRect/>
                    </a:stretch>
                  </pic:blipFill>
                  <pic:spPr>
                    <a:xfrm>
                      <a:off x="0" y="0"/>
                      <a:ext cx="5461990" cy="4187899"/>
                    </a:xfrm>
                    <a:prstGeom prst="rect">
                      <a:avLst/>
                    </a:prstGeom>
                  </pic:spPr>
                </pic:pic>
              </a:graphicData>
            </a:graphic>
          </wp:inline>
        </w:drawing>
      </w:r>
    </w:p>
    <w:p w:rsidR="00834420" w:rsidRPr="000E0822" w:rsidRDefault="00834420" w:rsidP="00633AC2">
      <w:pPr>
        <w:rPr>
          <w:rFonts w:ascii="Arial" w:hAnsi="Arial" w:cs="Arial"/>
          <w:b/>
          <w:szCs w:val="21"/>
        </w:rPr>
      </w:pPr>
      <w:r w:rsidRPr="004F0EBB">
        <w:rPr>
          <w:rFonts w:ascii="Arial" w:hAnsi="Arial" w:cs="Arial"/>
          <w:b/>
          <w:szCs w:val="21"/>
        </w:rPr>
        <w:t>Extended Data Figure 1</w:t>
      </w:r>
      <w:r w:rsidR="007E04CF">
        <w:rPr>
          <w:rFonts w:ascii="Arial" w:hAnsi="Arial" w:cs="Arial"/>
          <w:b/>
          <w:szCs w:val="21"/>
        </w:rPr>
        <w:t>3</w:t>
      </w:r>
      <w:r w:rsidRPr="004F0EBB">
        <w:rPr>
          <w:rFonts w:ascii="Arial" w:hAnsi="Arial" w:cs="Arial"/>
          <w:b/>
          <w:szCs w:val="21"/>
        </w:rPr>
        <w:t xml:space="preserve"> | </w:t>
      </w:r>
      <w:r w:rsidR="003F4F7C">
        <w:rPr>
          <w:rFonts w:ascii="Arial" w:hAnsi="Arial" w:cs="Arial"/>
          <w:b/>
          <w:szCs w:val="21"/>
        </w:rPr>
        <w:t>E</w:t>
      </w:r>
      <w:r w:rsidR="003239E9">
        <w:rPr>
          <w:rFonts w:ascii="Arial" w:hAnsi="Arial" w:cs="Arial"/>
          <w:b/>
          <w:szCs w:val="21"/>
        </w:rPr>
        <w:t xml:space="preserve">nrichment analyses of </w:t>
      </w:r>
      <w:r w:rsidR="003F4F7C">
        <w:rPr>
          <w:rFonts w:ascii="Arial" w:hAnsi="Arial" w:cs="Arial"/>
          <w:b/>
          <w:szCs w:val="21"/>
        </w:rPr>
        <w:t>genes explaining</w:t>
      </w:r>
      <w:r w:rsidR="00576351">
        <w:rPr>
          <w:rFonts w:ascii="Arial" w:hAnsi="Arial" w:cs="Arial"/>
          <w:b/>
          <w:szCs w:val="21"/>
        </w:rPr>
        <w:t xml:space="preserve"> each component wi</w:t>
      </w:r>
      <w:r w:rsidR="00072464">
        <w:rPr>
          <w:rFonts w:ascii="Arial" w:hAnsi="Arial" w:cs="Arial"/>
          <w:b/>
          <w:szCs w:val="21"/>
        </w:rPr>
        <w:t xml:space="preserve">th </w:t>
      </w:r>
      <w:r w:rsidR="00C91EF6">
        <w:rPr>
          <w:rFonts w:ascii="Arial" w:hAnsi="Arial" w:cs="Arial"/>
          <w:b/>
          <w:szCs w:val="21"/>
        </w:rPr>
        <w:t>tissue specificity</w:t>
      </w:r>
      <w:r w:rsidRPr="004F0EBB">
        <w:rPr>
          <w:rFonts w:ascii="Arial" w:hAnsi="Arial" w:cs="Arial"/>
          <w:b/>
          <w:szCs w:val="21"/>
        </w:rPr>
        <w:t>.</w:t>
      </w:r>
    </w:p>
    <w:p w:rsidR="00834420" w:rsidRDefault="00AA34A5" w:rsidP="00633AC2">
      <w:pPr>
        <w:widowControl/>
        <w:rPr>
          <w:rFonts w:ascii="Arial" w:hAnsi="Arial" w:cs="Arial"/>
          <w:szCs w:val="21"/>
        </w:rPr>
      </w:pPr>
      <w:r>
        <w:rPr>
          <w:rFonts w:ascii="Arial" w:hAnsi="Arial" w:cs="Arial"/>
          <w:szCs w:val="21"/>
        </w:rPr>
        <w:t xml:space="preserve">A heatmap representation of the enrichment analyses </w:t>
      </w:r>
      <w:r w:rsidR="00C03033">
        <w:rPr>
          <w:rFonts w:ascii="Arial" w:hAnsi="Arial" w:cs="Arial"/>
          <w:szCs w:val="21"/>
        </w:rPr>
        <w:t xml:space="preserve">of genes explaining each component with </w:t>
      </w:r>
      <w:r w:rsidR="002356C1">
        <w:rPr>
          <w:rFonts w:ascii="Arial" w:hAnsi="Arial" w:cs="Arial"/>
          <w:szCs w:val="21"/>
        </w:rPr>
        <w:t xml:space="preserve">tissue-specific genes defined by </w:t>
      </w:r>
      <w:proofErr w:type="spellStart"/>
      <w:r w:rsidR="002356C1">
        <w:rPr>
          <w:rFonts w:ascii="Arial" w:hAnsi="Arial" w:cs="Arial"/>
          <w:szCs w:val="21"/>
        </w:rPr>
        <w:t>GTEx</w:t>
      </w:r>
      <w:proofErr w:type="spellEnd"/>
      <w:r w:rsidR="002356C1">
        <w:rPr>
          <w:rFonts w:ascii="Arial" w:hAnsi="Arial" w:cs="Arial"/>
          <w:szCs w:val="21"/>
        </w:rPr>
        <w:t xml:space="preserve"> expression profile (</w:t>
      </w:r>
      <w:r w:rsidR="002356C1" w:rsidRPr="0028330E">
        <w:rPr>
          <w:rFonts w:ascii="Arial" w:hAnsi="Arial" w:cs="Arial"/>
          <w:b/>
          <w:szCs w:val="21"/>
        </w:rPr>
        <w:t>a</w:t>
      </w:r>
      <w:r w:rsidR="002356C1">
        <w:rPr>
          <w:rFonts w:ascii="Arial" w:hAnsi="Arial" w:cs="Arial"/>
          <w:szCs w:val="21"/>
        </w:rPr>
        <w:t xml:space="preserve">) and regulatory </w:t>
      </w:r>
      <w:r w:rsidR="00A064A6">
        <w:rPr>
          <w:rFonts w:ascii="Arial" w:hAnsi="Arial" w:cs="Arial"/>
          <w:szCs w:val="21"/>
        </w:rPr>
        <w:t>vocabulary</w:t>
      </w:r>
      <w:r w:rsidR="002356C1">
        <w:rPr>
          <w:rFonts w:ascii="Arial" w:hAnsi="Arial" w:cs="Arial"/>
          <w:szCs w:val="21"/>
        </w:rPr>
        <w:t xml:space="preserve"> from ENCODE3 data</w:t>
      </w:r>
      <w:r w:rsidR="00175CF8">
        <w:rPr>
          <w:rFonts w:ascii="Arial" w:hAnsi="Arial" w:cs="Arial"/>
          <w:szCs w:val="21"/>
        </w:rPr>
        <w:t xml:space="preserve"> (</w:t>
      </w:r>
      <w:r w:rsidR="00175CF8" w:rsidRPr="0028330E">
        <w:rPr>
          <w:rFonts w:ascii="Arial" w:hAnsi="Arial" w:cs="Arial"/>
          <w:b/>
          <w:szCs w:val="21"/>
        </w:rPr>
        <w:t>b</w:t>
      </w:r>
      <w:r w:rsidR="00175CF8">
        <w:rPr>
          <w:rFonts w:ascii="Arial" w:hAnsi="Arial" w:cs="Arial"/>
          <w:szCs w:val="21"/>
        </w:rPr>
        <w:t>)</w:t>
      </w:r>
      <w:r w:rsidR="00834420">
        <w:rPr>
          <w:rFonts w:ascii="Arial" w:hAnsi="Arial" w:cs="Arial"/>
          <w:szCs w:val="21"/>
        </w:rPr>
        <w:t>.</w:t>
      </w:r>
      <w:r w:rsidR="00C02219">
        <w:rPr>
          <w:rFonts w:ascii="Arial" w:hAnsi="Arial" w:cs="Arial"/>
          <w:szCs w:val="21"/>
        </w:rPr>
        <w:t xml:space="preserve"> Each cell is colored based on </w:t>
      </w:r>
      <w:proofErr w:type="spellStart"/>
      <w:r w:rsidR="00C02219" w:rsidRPr="00C02219">
        <w:rPr>
          <w:rFonts w:ascii="Arial" w:hAnsi="Arial" w:cs="Arial"/>
          <w:i/>
          <w:szCs w:val="21"/>
        </w:rPr>
        <w:t>P</w:t>
      </w:r>
      <w:r w:rsidR="00C02219" w:rsidRPr="00C02219">
        <w:rPr>
          <w:rFonts w:ascii="Arial" w:hAnsi="Arial" w:cs="Arial"/>
          <w:szCs w:val="21"/>
          <w:vertAlign w:val="subscript"/>
        </w:rPr>
        <w:t>enrichment</w:t>
      </w:r>
      <w:proofErr w:type="spellEnd"/>
      <w:r w:rsidR="00C02219">
        <w:rPr>
          <w:rFonts w:ascii="Arial" w:hAnsi="Arial" w:cs="Arial"/>
          <w:szCs w:val="21"/>
        </w:rPr>
        <w:t xml:space="preserve"> from</w:t>
      </w:r>
      <w:r w:rsidR="00C02219" w:rsidRPr="00C02219">
        <w:rPr>
          <w:rFonts w:ascii="Arial" w:hAnsi="Arial" w:cs="Arial"/>
          <w:color w:val="000000" w:themeColor="text1"/>
        </w:rPr>
        <w:t xml:space="preserve"> </w:t>
      </w:r>
      <w:r w:rsidR="00C02219" w:rsidRPr="00DE2AAF">
        <w:rPr>
          <w:rFonts w:ascii="Arial" w:hAnsi="Arial" w:cs="Arial"/>
          <w:color w:val="000000" w:themeColor="text1"/>
        </w:rPr>
        <w:t>Fisher’s exact tests</w:t>
      </w:r>
      <w:r w:rsidR="00EF0A56">
        <w:rPr>
          <w:rFonts w:ascii="Arial" w:hAnsi="Arial" w:cs="Arial"/>
          <w:color w:val="000000" w:themeColor="text1"/>
        </w:rPr>
        <w:t xml:space="preserve"> to </w:t>
      </w:r>
      <w:r w:rsidR="0047107A">
        <w:rPr>
          <w:rFonts w:ascii="Arial" w:hAnsi="Arial" w:cs="Arial"/>
          <w:color w:val="000000" w:themeColor="text1"/>
        </w:rPr>
        <w:t xml:space="preserve">assess </w:t>
      </w:r>
      <w:r w:rsidR="00EF0A56">
        <w:rPr>
          <w:rFonts w:ascii="Arial" w:hAnsi="Arial" w:cs="Arial"/>
          <w:color w:val="000000" w:themeColor="text1"/>
        </w:rPr>
        <w:t xml:space="preserve">the enrichment of the genes comprising each component within </w:t>
      </w:r>
      <w:r w:rsidR="00B401A7">
        <w:rPr>
          <w:rFonts w:ascii="Arial" w:hAnsi="Arial" w:cs="Arial"/>
          <w:color w:val="000000" w:themeColor="text1"/>
        </w:rPr>
        <w:t xml:space="preserve">each </w:t>
      </w:r>
      <w:r w:rsidR="00EF0A56">
        <w:rPr>
          <w:rFonts w:ascii="Arial" w:hAnsi="Arial" w:cs="Arial"/>
          <w:color w:val="000000" w:themeColor="text1"/>
        </w:rPr>
        <w:t>tissue-specific gene set</w:t>
      </w:r>
      <w:r w:rsidR="00D75512">
        <w:rPr>
          <w:rFonts w:ascii="Arial" w:hAnsi="Arial" w:cs="Arial"/>
          <w:color w:val="000000" w:themeColor="text1"/>
        </w:rPr>
        <w:t xml:space="preserve"> as </w:t>
      </w:r>
      <w:r w:rsidR="005E53AE">
        <w:rPr>
          <w:rFonts w:ascii="Arial" w:hAnsi="Arial" w:cs="Arial"/>
          <w:color w:val="000000" w:themeColor="text1"/>
        </w:rPr>
        <w:t>shown in a color scale at the bottom right.</w:t>
      </w:r>
    </w:p>
    <w:p w:rsidR="00871BC8" w:rsidRDefault="00871BC8" w:rsidP="00633AC2">
      <w:pPr>
        <w:widowControl/>
        <w:rPr>
          <w:rFonts w:ascii="Arial" w:hAnsi="Arial" w:cs="Arial"/>
          <w:i/>
          <w:szCs w:val="21"/>
        </w:rPr>
      </w:pPr>
      <w:r>
        <w:rPr>
          <w:rFonts w:ascii="Arial" w:hAnsi="Arial" w:cs="Arial"/>
          <w:i/>
          <w:szCs w:val="21"/>
        </w:rPr>
        <w:br w:type="page"/>
      </w:r>
    </w:p>
    <w:p w:rsidR="005701FB" w:rsidRDefault="005701FB" w:rsidP="00633AC2">
      <w:pPr>
        <w:widowControl/>
        <w:rPr>
          <w:rFonts w:ascii="Arial" w:hAnsi="Arial" w:cs="Arial"/>
          <w:b/>
          <w:szCs w:val="21"/>
        </w:rPr>
      </w:pPr>
      <w:r>
        <w:rPr>
          <w:rFonts w:ascii="Arial" w:hAnsi="Arial" w:cs="Arial"/>
          <w:b/>
          <w:szCs w:val="21"/>
        </w:rPr>
        <w:lastRenderedPageBreak/>
        <w:t>Extended Data Figure</w:t>
      </w:r>
      <w:r w:rsidRPr="000E0822">
        <w:rPr>
          <w:rFonts w:ascii="Arial" w:hAnsi="Arial" w:cs="Arial"/>
          <w:b/>
          <w:szCs w:val="21"/>
        </w:rPr>
        <w:t xml:space="preserve"> </w:t>
      </w:r>
      <w:r>
        <w:rPr>
          <w:rFonts w:ascii="Arial" w:hAnsi="Arial" w:cs="Arial"/>
          <w:b/>
          <w:szCs w:val="21"/>
        </w:rPr>
        <w:t>1</w:t>
      </w:r>
      <w:r w:rsidR="007A716D">
        <w:rPr>
          <w:rFonts w:ascii="Arial" w:hAnsi="Arial" w:cs="Arial"/>
          <w:b/>
          <w:szCs w:val="21"/>
        </w:rPr>
        <w:t>4</w:t>
      </w:r>
      <w:r>
        <w:rPr>
          <w:rFonts w:ascii="Arial" w:hAnsi="Arial" w:cs="Arial"/>
          <w:b/>
          <w:szCs w:val="21"/>
        </w:rPr>
        <w:t>.</w:t>
      </w:r>
    </w:p>
    <w:p w:rsidR="005701FB" w:rsidRDefault="008741A3" w:rsidP="00633AC2">
      <w:pPr>
        <w:widowControl/>
        <w:rPr>
          <w:rFonts w:ascii="Arial" w:hAnsi="Arial" w:cs="Arial"/>
          <w:i/>
          <w:szCs w:val="21"/>
        </w:rPr>
      </w:pPr>
      <w:r w:rsidRPr="008741A3">
        <w:rPr>
          <w:rFonts w:ascii="Arial" w:hAnsi="Arial" w:cs="Arial"/>
          <w:i/>
          <w:noProof/>
          <w:szCs w:val="21"/>
        </w:rPr>
        <w:drawing>
          <wp:inline distT="0" distB="0" distL="0" distR="0" wp14:anchorId="5ACC476E" wp14:editId="5CB26479">
            <wp:extent cx="6184900" cy="400050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84900" cy="4000500"/>
                    </a:xfrm>
                    <a:prstGeom prst="rect">
                      <a:avLst/>
                    </a:prstGeom>
                  </pic:spPr>
                </pic:pic>
              </a:graphicData>
            </a:graphic>
          </wp:inline>
        </w:drawing>
      </w:r>
    </w:p>
    <w:p w:rsidR="000F2625" w:rsidRPr="000E0822" w:rsidRDefault="000F2625" w:rsidP="00633AC2">
      <w:pPr>
        <w:rPr>
          <w:rFonts w:ascii="Arial" w:hAnsi="Arial" w:cs="Arial"/>
          <w:b/>
          <w:szCs w:val="21"/>
        </w:rPr>
      </w:pPr>
      <w:r w:rsidRPr="004F0EBB">
        <w:rPr>
          <w:rFonts w:ascii="Arial" w:hAnsi="Arial" w:cs="Arial"/>
          <w:b/>
          <w:szCs w:val="21"/>
        </w:rPr>
        <w:t>Extended Data Figure 1</w:t>
      </w:r>
      <w:r w:rsidR="00943197">
        <w:rPr>
          <w:rFonts w:ascii="Arial" w:hAnsi="Arial" w:cs="Arial"/>
          <w:b/>
          <w:szCs w:val="21"/>
        </w:rPr>
        <w:t>4</w:t>
      </w:r>
      <w:r w:rsidRPr="004F0EBB">
        <w:rPr>
          <w:rFonts w:ascii="Arial" w:hAnsi="Arial" w:cs="Arial"/>
          <w:b/>
          <w:szCs w:val="21"/>
        </w:rPr>
        <w:t xml:space="preserve"> | </w:t>
      </w:r>
      <w:r w:rsidR="005F7192" w:rsidRPr="00090455">
        <w:rPr>
          <w:rFonts w:ascii="Arial" w:hAnsi="Arial" w:cs="Arial"/>
          <w:b/>
          <w:color w:val="000000" w:themeColor="text1"/>
        </w:rPr>
        <w:t>Heatmap representation of squared cosine scores of diseases to components</w:t>
      </w:r>
      <w:r w:rsidRPr="00090455">
        <w:rPr>
          <w:rFonts w:ascii="Arial" w:hAnsi="Arial" w:cs="Arial"/>
          <w:b/>
          <w:szCs w:val="21"/>
        </w:rPr>
        <w:t>.</w:t>
      </w:r>
    </w:p>
    <w:p w:rsidR="000F2625" w:rsidRDefault="00886482" w:rsidP="00633AC2">
      <w:pPr>
        <w:widowControl/>
        <w:rPr>
          <w:rFonts w:ascii="Arial" w:hAnsi="Arial" w:cs="Arial"/>
          <w:szCs w:val="21"/>
        </w:rPr>
      </w:pPr>
      <w:r w:rsidRPr="00DE2AAF">
        <w:rPr>
          <w:rFonts w:ascii="Arial" w:hAnsi="Arial" w:cs="Arial"/>
          <w:color w:val="000000" w:themeColor="text1"/>
        </w:rPr>
        <w:t>The components</w:t>
      </w:r>
      <w:r w:rsidR="00DA6648">
        <w:rPr>
          <w:rFonts w:ascii="Arial" w:hAnsi="Arial" w:cs="Arial"/>
          <w:color w:val="000000" w:themeColor="text1"/>
        </w:rPr>
        <w:t xml:space="preserve"> (rows)</w:t>
      </w:r>
      <w:r w:rsidRPr="00DE2AAF">
        <w:rPr>
          <w:rFonts w:ascii="Arial" w:hAnsi="Arial" w:cs="Arial" w:hint="eastAsia"/>
          <w:color w:val="000000" w:themeColor="text1"/>
        </w:rPr>
        <w:t xml:space="preserve"> </w:t>
      </w:r>
      <w:r w:rsidRPr="00DE2AAF">
        <w:rPr>
          <w:rFonts w:ascii="Arial" w:hAnsi="Arial" w:cs="Arial"/>
          <w:color w:val="000000" w:themeColor="text1"/>
        </w:rPr>
        <w:t xml:space="preserve">are shown from 1 (top) to </w:t>
      </w:r>
      <w:r>
        <w:rPr>
          <w:rFonts w:ascii="Arial" w:hAnsi="Arial" w:cs="Arial"/>
          <w:color w:val="000000" w:themeColor="text1"/>
        </w:rPr>
        <w:t>40</w:t>
      </w:r>
      <w:r w:rsidRPr="00DE2AAF">
        <w:rPr>
          <w:rFonts w:ascii="Arial" w:hAnsi="Arial" w:cs="Arial"/>
          <w:color w:val="000000" w:themeColor="text1"/>
        </w:rPr>
        <w:t xml:space="preserve"> (bottom), and </w:t>
      </w:r>
      <w:r w:rsidR="00FF24C0">
        <w:rPr>
          <w:rFonts w:ascii="Arial" w:hAnsi="Arial" w:cs="Arial"/>
          <w:color w:val="000000" w:themeColor="text1"/>
        </w:rPr>
        <w:t xml:space="preserve">the </w:t>
      </w:r>
      <w:r w:rsidRPr="00DE2AAF">
        <w:rPr>
          <w:rFonts w:ascii="Arial" w:hAnsi="Arial" w:cs="Arial"/>
          <w:color w:val="000000" w:themeColor="text1"/>
        </w:rPr>
        <w:t>diseases</w:t>
      </w:r>
      <w:r w:rsidR="00FF24C0">
        <w:rPr>
          <w:rFonts w:ascii="Arial" w:hAnsi="Arial" w:cs="Arial"/>
          <w:color w:val="000000" w:themeColor="text1"/>
        </w:rPr>
        <w:t xml:space="preserve"> (columns)</w:t>
      </w:r>
      <w:r w:rsidRPr="00DE2AAF">
        <w:rPr>
          <w:rFonts w:ascii="Arial" w:hAnsi="Arial" w:cs="Arial"/>
          <w:color w:val="000000" w:themeColor="text1"/>
        </w:rPr>
        <w:t xml:space="preserve"> are sorted based on the contribution of each component to the disease</w:t>
      </w:r>
      <w:r>
        <w:rPr>
          <w:rFonts w:ascii="Arial" w:hAnsi="Arial" w:cs="Arial"/>
          <w:color w:val="000000" w:themeColor="text1"/>
        </w:rPr>
        <w:t xml:space="preserve"> based on the squared cosine score</w:t>
      </w:r>
      <w:r w:rsidRPr="00DE2AAF">
        <w:rPr>
          <w:rFonts w:ascii="Arial" w:hAnsi="Arial" w:cs="Arial"/>
          <w:color w:val="000000" w:themeColor="text1"/>
        </w:rPr>
        <w:t xml:space="preserve"> (from component 1 to </w:t>
      </w:r>
      <w:r>
        <w:rPr>
          <w:rFonts w:ascii="Arial" w:hAnsi="Arial" w:cs="Arial"/>
          <w:color w:val="000000" w:themeColor="text1"/>
        </w:rPr>
        <w:t>40</w:t>
      </w:r>
      <w:r w:rsidRPr="00DE2AAF">
        <w:rPr>
          <w:rFonts w:ascii="Arial" w:hAnsi="Arial" w:cs="Arial"/>
          <w:color w:val="000000" w:themeColor="text1"/>
        </w:rPr>
        <w:t>).</w:t>
      </w:r>
      <w:r w:rsidR="00941465">
        <w:rPr>
          <w:rFonts w:ascii="Arial" w:hAnsi="Arial" w:cs="Arial"/>
          <w:color w:val="000000" w:themeColor="text1"/>
        </w:rPr>
        <w:t xml:space="preserve"> Each cell is colored based on the squared cosine score of </w:t>
      </w:r>
      <w:proofErr w:type="gramStart"/>
      <w:r w:rsidR="00941465">
        <w:rPr>
          <w:rFonts w:ascii="Arial" w:hAnsi="Arial" w:cs="Arial"/>
          <w:color w:val="000000" w:themeColor="text1"/>
        </w:rPr>
        <w:t>a</w:t>
      </w:r>
      <w:proofErr w:type="gramEnd"/>
      <w:r w:rsidR="00941465">
        <w:rPr>
          <w:rFonts w:ascii="Arial" w:hAnsi="Arial" w:cs="Arial"/>
          <w:color w:val="000000" w:themeColor="text1"/>
        </w:rPr>
        <w:t xml:space="preserve"> given trait to a given component</w:t>
      </w:r>
      <w:r w:rsidR="00826567">
        <w:rPr>
          <w:rFonts w:ascii="Arial" w:hAnsi="Arial" w:cs="Arial"/>
          <w:color w:val="000000" w:themeColor="text1"/>
        </w:rPr>
        <w:t xml:space="preserve">, as shown in </w:t>
      </w:r>
      <w:r w:rsidR="006023B1">
        <w:rPr>
          <w:rFonts w:ascii="Arial" w:hAnsi="Arial" w:cs="Arial"/>
          <w:color w:val="000000" w:themeColor="text1"/>
        </w:rPr>
        <w:t>a</w:t>
      </w:r>
      <w:r w:rsidR="00826567">
        <w:rPr>
          <w:rFonts w:ascii="Arial" w:hAnsi="Arial" w:cs="Arial"/>
          <w:color w:val="000000" w:themeColor="text1"/>
        </w:rPr>
        <w:t xml:space="preserve"> color scale at the bottom right</w:t>
      </w:r>
      <w:r w:rsidR="00941465">
        <w:rPr>
          <w:rFonts w:ascii="Arial" w:hAnsi="Arial" w:cs="Arial"/>
          <w:color w:val="000000" w:themeColor="text1"/>
        </w:rPr>
        <w:t>.</w:t>
      </w:r>
    </w:p>
    <w:p w:rsidR="005701FB" w:rsidRDefault="005701FB" w:rsidP="00633AC2">
      <w:pPr>
        <w:widowControl/>
        <w:rPr>
          <w:rFonts w:ascii="Arial" w:hAnsi="Arial" w:cs="Arial"/>
          <w:i/>
          <w:szCs w:val="21"/>
        </w:rPr>
      </w:pPr>
    </w:p>
    <w:p w:rsidR="005701FB" w:rsidRDefault="005701FB" w:rsidP="00633AC2">
      <w:pPr>
        <w:widowControl/>
        <w:rPr>
          <w:rFonts w:ascii="Arial" w:hAnsi="Arial" w:cs="Arial"/>
          <w:i/>
          <w:szCs w:val="21"/>
        </w:rPr>
      </w:pPr>
    </w:p>
    <w:p w:rsidR="005701FB" w:rsidRDefault="005701FB" w:rsidP="00633AC2">
      <w:pPr>
        <w:widowControl/>
        <w:rPr>
          <w:rFonts w:ascii="Arial" w:hAnsi="Arial" w:cs="Arial"/>
          <w:i/>
          <w:szCs w:val="21"/>
        </w:rPr>
      </w:pPr>
    </w:p>
    <w:p w:rsidR="00C027E0" w:rsidRDefault="00C027E0" w:rsidP="00633AC2">
      <w:pPr>
        <w:widowControl/>
        <w:rPr>
          <w:rFonts w:ascii="Arial" w:hAnsi="Arial" w:cs="Arial"/>
          <w:i/>
          <w:szCs w:val="21"/>
        </w:rPr>
      </w:pPr>
      <w:r>
        <w:rPr>
          <w:rFonts w:ascii="Arial" w:hAnsi="Arial" w:cs="Arial"/>
          <w:i/>
          <w:szCs w:val="21"/>
        </w:rPr>
        <w:br w:type="page"/>
      </w:r>
    </w:p>
    <w:p w:rsidR="003C7BA0" w:rsidRDefault="00C027E0" w:rsidP="00633AC2">
      <w:pPr>
        <w:rPr>
          <w:rFonts w:ascii="Arial" w:hAnsi="Arial" w:cs="Arial"/>
          <w:i/>
          <w:szCs w:val="21"/>
        </w:rPr>
      </w:pPr>
      <w:r>
        <w:rPr>
          <w:rFonts w:ascii="Arial" w:hAnsi="Arial" w:cs="Arial"/>
          <w:b/>
          <w:szCs w:val="21"/>
        </w:rPr>
        <w:lastRenderedPageBreak/>
        <w:t>Extended Data Figure</w:t>
      </w:r>
      <w:r w:rsidRPr="000E0822">
        <w:rPr>
          <w:rFonts w:ascii="Arial" w:hAnsi="Arial" w:cs="Arial"/>
          <w:b/>
          <w:szCs w:val="21"/>
        </w:rPr>
        <w:t xml:space="preserve"> </w:t>
      </w:r>
      <w:r>
        <w:rPr>
          <w:rFonts w:ascii="Arial" w:hAnsi="Arial" w:cs="Arial"/>
          <w:b/>
          <w:szCs w:val="21"/>
        </w:rPr>
        <w:t>1</w:t>
      </w:r>
      <w:r w:rsidR="007A716D">
        <w:rPr>
          <w:rFonts w:ascii="Arial" w:hAnsi="Arial" w:cs="Arial"/>
          <w:b/>
          <w:szCs w:val="21"/>
        </w:rPr>
        <w:t>5</w:t>
      </w:r>
      <w:r>
        <w:rPr>
          <w:rFonts w:ascii="Arial" w:hAnsi="Arial" w:cs="Arial"/>
          <w:b/>
          <w:szCs w:val="21"/>
        </w:rPr>
        <w:t>.</w:t>
      </w:r>
    </w:p>
    <w:p w:rsidR="00A81317" w:rsidRDefault="00F1529C" w:rsidP="00633AC2">
      <w:pPr>
        <w:rPr>
          <w:rFonts w:ascii="Arial" w:hAnsi="Arial" w:cs="Arial"/>
          <w:i/>
          <w:szCs w:val="21"/>
        </w:rPr>
      </w:pPr>
      <w:r>
        <w:rPr>
          <w:rFonts w:ascii="Arial" w:hAnsi="Arial" w:cs="Arial"/>
          <w:b/>
          <w:noProof/>
          <w:szCs w:val="21"/>
        </w:rPr>
        <w:drawing>
          <wp:inline distT="0" distB="0" distL="0" distR="0">
            <wp:extent cx="3867150" cy="4282161"/>
            <wp:effectExtent l="0" t="0" r="0" b="4445"/>
            <wp:docPr id="1" name="図 1" descr="C:\Users\saori\AppData\Local\Microsoft\Windows\INetCache\Content.Word\Supple_GR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ori\AppData\Local\Microsoft\Windows\INetCache\Content.Word\Supple_GREP.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68443" cy="4283593"/>
                    </a:xfrm>
                    <a:prstGeom prst="rect">
                      <a:avLst/>
                    </a:prstGeom>
                    <a:noFill/>
                    <a:ln>
                      <a:noFill/>
                    </a:ln>
                  </pic:spPr>
                </pic:pic>
              </a:graphicData>
            </a:graphic>
          </wp:inline>
        </w:drawing>
      </w:r>
    </w:p>
    <w:p w:rsidR="009E0B28" w:rsidRDefault="009E0B28" w:rsidP="00633AC2">
      <w:pPr>
        <w:rPr>
          <w:rFonts w:ascii="Arial" w:hAnsi="Arial" w:cs="Arial"/>
          <w:b/>
          <w:szCs w:val="21"/>
        </w:rPr>
      </w:pPr>
    </w:p>
    <w:p w:rsidR="00A81317" w:rsidRPr="000E0822" w:rsidRDefault="002C5DBB" w:rsidP="00633AC2">
      <w:pPr>
        <w:rPr>
          <w:rFonts w:ascii="Arial" w:hAnsi="Arial" w:cs="Arial"/>
          <w:b/>
          <w:szCs w:val="21"/>
        </w:rPr>
      </w:pPr>
      <w:r>
        <w:rPr>
          <w:rFonts w:ascii="Arial" w:hAnsi="Arial" w:cs="Arial"/>
          <w:b/>
          <w:szCs w:val="21"/>
        </w:rPr>
        <w:t>Extended Data Figure</w:t>
      </w:r>
      <w:r w:rsidR="00A81317" w:rsidRPr="000E0822">
        <w:rPr>
          <w:rFonts w:ascii="Arial" w:hAnsi="Arial" w:cs="Arial"/>
          <w:b/>
          <w:szCs w:val="21"/>
        </w:rPr>
        <w:t xml:space="preserve"> </w:t>
      </w:r>
      <w:r w:rsidR="00B66D2D">
        <w:rPr>
          <w:rFonts w:ascii="Arial" w:hAnsi="Arial" w:cs="Arial"/>
          <w:b/>
          <w:szCs w:val="21"/>
        </w:rPr>
        <w:t>1</w:t>
      </w:r>
      <w:r w:rsidR="00992BE3">
        <w:rPr>
          <w:rFonts w:ascii="Arial" w:hAnsi="Arial" w:cs="Arial"/>
          <w:b/>
          <w:szCs w:val="21"/>
        </w:rPr>
        <w:t>5</w:t>
      </w:r>
      <w:r w:rsidR="00A81317" w:rsidRPr="000E0822">
        <w:rPr>
          <w:rFonts w:ascii="Arial" w:hAnsi="Arial" w:cs="Arial"/>
          <w:b/>
          <w:szCs w:val="21"/>
        </w:rPr>
        <w:t xml:space="preserve"> | </w:t>
      </w:r>
      <w:r w:rsidR="0085315D">
        <w:rPr>
          <w:rFonts w:ascii="Arial" w:hAnsi="Arial" w:cs="Arial"/>
          <w:b/>
          <w:szCs w:val="21"/>
        </w:rPr>
        <w:t>Drug target enrichment analysis</w:t>
      </w:r>
      <w:r w:rsidR="00A81317" w:rsidRPr="000E0822">
        <w:rPr>
          <w:rFonts w:ascii="Arial" w:hAnsi="Arial" w:cs="Arial"/>
          <w:b/>
          <w:szCs w:val="21"/>
        </w:rPr>
        <w:t>.</w:t>
      </w:r>
    </w:p>
    <w:p w:rsidR="00A81317" w:rsidRPr="009E0B28" w:rsidRDefault="009E0B28" w:rsidP="00633AC2">
      <w:pPr>
        <w:rPr>
          <w:rFonts w:ascii="Arial" w:hAnsi="Arial" w:cs="Arial"/>
          <w:szCs w:val="21"/>
        </w:rPr>
      </w:pPr>
      <w:r>
        <w:rPr>
          <w:rFonts w:ascii="Arial" w:hAnsi="Arial" w:cs="Arial"/>
          <w:szCs w:val="21"/>
        </w:rPr>
        <w:t xml:space="preserve">The enrichment </w:t>
      </w:r>
      <w:r w:rsidRPr="00A4599A">
        <w:rPr>
          <w:rFonts w:ascii="Arial" w:hAnsi="Arial" w:cs="Arial"/>
          <w:i/>
          <w:szCs w:val="21"/>
        </w:rPr>
        <w:t>P</w:t>
      </w:r>
      <w:r>
        <w:rPr>
          <w:rFonts w:ascii="Arial" w:hAnsi="Arial" w:cs="Arial"/>
          <w:szCs w:val="21"/>
        </w:rPr>
        <w:t xml:space="preserve"> value from </w:t>
      </w:r>
      <w:r w:rsidR="000E1E57">
        <w:rPr>
          <w:rFonts w:ascii="Arial" w:hAnsi="Arial" w:cs="Arial"/>
          <w:szCs w:val="21"/>
        </w:rPr>
        <w:t xml:space="preserve">Fisher’s exact test </w:t>
      </w:r>
      <w:r w:rsidR="002E57D9">
        <w:rPr>
          <w:rFonts w:ascii="Arial" w:hAnsi="Arial" w:cs="Arial"/>
          <w:szCs w:val="21"/>
        </w:rPr>
        <w:t xml:space="preserve">of </w:t>
      </w:r>
      <w:r w:rsidR="00F37C3F">
        <w:rPr>
          <w:rFonts w:ascii="Arial" w:hAnsi="Arial" w:cs="Arial"/>
          <w:szCs w:val="21"/>
        </w:rPr>
        <w:t xml:space="preserve">disease-associated genes against </w:t>
      </w:r>
      <w:r w:rsidR="00B47EB8">
        <w:rPr>
          <w:rFonts w:ascii="Arial" w:hAnsi="Arial" w:cs="Arial"/>
          <w:szCs w:val="21"/>
        </w:rPr>
        <w:t xml:space="preserve">target genes of approved drugs for the disease </w:t>
      </w:r>
      <w:r w:rsidR="00406895">
        <w:rPr>
          <w:rFonts w:ascii="Arial" w:hAnsi="Arial" w:cs="Arial"/>
          <w:szCs w:val="21"/>
        </w:rPr>
        <w:t xml:space="preserve">is illustrated as a heatmap. </w:t>
      </w:r>
      <w:r w:rsidR="00761CB9">
        <w:rPr>
          <w:rFonts w:ascii="Arial" w:hAnsi="Arial" w:cs="Arial"/>
          <w:szCs w:val="21"/>
        </w:rPr>
        <w:t xml:space="preserve">The color of each cell indicates the </w:t>
      </w:r>
      <w:r w:rsidR="00C13AA9">
        <w:rPr>
          <w:rFonts w:ascii="Arial" w:hAnsi="Arial" w:cs="Arial"/>
          <w:szCs w:val="21"/>
        </w:rPr>
        <w:t>–</w:t>
      </w:r>
      <w:r w:rsidR="00761CB9">
        <w:rPr>
          <w:rFonts w:ascii="Arial" w:hAnsi="Arial" w:cs="Arial"/>
          <w:szCs w:val="21"/>
        </w:rPr>
        <w:t>log</w:t>
      </w:r>
      <w:r w:rsidR="00C13AA9" w:rsidRPr="003D2A0F">
        <w:rPr>
          <w:rFonts w:ascii="Arial" w:hAnsi="Arial" w:cs="Arial"/>
          <w:szCs w:val="21"/>
          <w:vertAlign w:val="subscript"/>
        </w:rPr>
        <w:t>10</w:t>
      </w:r>
      <w:r w:rsidR="00C13AA9">
        <w:rPr>
          <w:rFonts w:ascii="Arial" w:hAnsi="Arial" w:cs="Arial"/>
          <w:szCs w:val="21"/>
        </w:rPr>
        <w:t>(</w:t>
      </w:r>
      <w:r w:rsidR="00C13AA9" w:rsidRPr="003D2A0F">
        <w:rPr>
          <w:rFonts w:ascii="Arial" w:hAnsi="Arial" w:cs="Arial"/>
          <w:i/>
          <w:szCs w:val="21"/>
        </w:rPr>
        <w:t>P</w:t>
      </w:r>
      <w:r w:rsidR="00C13AA9">
        <w:rPr>
          <w:rFonts w:ascii="Arial" w:hAnsi="Arial" w:cs="Arial"/>
          <w:szCs w:val="21"/>
        </w:rPr>
        <w:t>) value</w:t>
      </w:r>
      <w:r w:rsidR="00F25BD7">
        <w:rPr>
          <w:rFonts w:ascii="Arial" w:hAnsi="Arial" w:cs="Arial"/>
          <w:szCs w:val="21"/>
        </w:rPr>
        <w:t xml:space="preserve"> of the enrichment of </w:t>
      </w:r>
      <w:r w:rsidR="00E02844">
        <w:rPr>
          <w:rFonts w:ascii="Arial" w:hAnsi="Arial" w:cs="Arial"/>
          <w:szCs w:val="21"/>
        </w:rPr>
        <w:t>associa</w:t>
      </w:r>
      <w:bookmarkStart w:id="0" w:name="_GoBack"/>
      <w:bookmarkEnd w:id="0"/>
      <w:r w:rsidR="00E02844">
        <w:rPr>
          <w:rFonts w:ascii="Arial" w:hAnsi="Arial" w:cs="Arial"/>
          <w:szCs w:val="21"/>
        </w:rPr>
        <w:t xml:space="preserve">ted genes with </w:t>
      </w:r>
      <w:r w:rsidR="00F25BD7">
        <w:rPr>
          <w:rFonts w:ascii="Arial" w:hAnsi="Arial" w:cs="Arial"/>
          <w:szCs w:val="21"/>
        </w:rPr>
        <w:t xml:space="preserve">each disease category to target genes </w:t>
      </w:r>
      <w:r w:rsidR="002D7ECF">
        <w:rPr>
          <w:rFonts w:ascii="Arial" w:hAnsi="Arial" w:cs="Arial"/>
          <w:szCs w:val="21"/>
        </w:rPr>
        <w:t>of approved medication to</w:t>
      </w:r>
      <w:r w:rsidR="00382EC6">
        <w:rPr>
          <w:rFonts w:ascii="Arial" w:hAnsi="Arial" w:cs="Arial"/>
          <w:szCs w:val="21"/>
        </w:rPr>
        <w:t xml:space="preserve"> </w:t>
      </w:r>
      <w:r w:rsidR="00390DD8">
        <w:rPr>
          <w:rFonts w:ascii="Arial" w:hAnsi="Arial" w:cs="Arial"/>
          <w:szCs w:val="21"/>
        </w:rPr>
        <w:t>a given</w:t>
      </w:r>
      <w:r w:rsidR="002D7ECF">
        <w:rPr>
          <w:rFonts w:ascii="Arial" w:hAnsi="Arial" w:cs="Arial" w:hint="eastAsia"/>
          <w:szCs w:val="21"/>
        </w:rPr>
        <w:t xml:space="preserve"> </w:t>
      </w:r>
      <w:r w:rsidR="002D7ECF">
        <w:rPr>
          <w:rFonts w:ascii="Arial" w:hAnsi="Arial" w:cs="Arial"/>
          <w:szCs w:val="21"/>
        </w:rPr>
        <w:t>disease category</w:t>
      </w:r>
      <w:r w:rsidR="00C13AA9">
        <w:rPr>
          <w:rFonts w:ascii="Arial" w:hAnsi="Arial" w:cs="Arial"/>
          <w:szCs w:val="21"/>
        </w:rPr>
        <w:t xml:space="preserve"> as shown in the </w:t>
      </w:r>
      <w:r w:rsidR="00B000AF">
        <w:rPr>
          <w:rFonts w:ascii="Arial" w:hAnsi="Arial" w:cs="Arial"/>
          <w:szCs w:val="21"/>
        </w:rPr>
        <w:t xml:space="preserve">color scale (top right). </w:t>
      </w:r>
      <w:r w:rsidR="0044633E">
        <w:rPr>
          <w:rFonts w:ascii="Arial" w:hAnsi="Arial" w:cs="Arial"/>
          <w:szCs w:val="21"/>
        </w:rPr>
        <w:t xml:space="preserve">The disease category is </w:t>
      </w:r>
      <w:r w:rsidR="009D0648">
        <w:rPr>
          <w:rFonts w:ascii="Arial" w:hAnsi="Arial" w:cs="Arial"/>
          <w:szCs w:val="21"/>
        </w:rPr>
        <w:t xml:space="preserve">ordered as an alphabetical code of the ICD10 classifications. </w:t>
      </w:r>
      <w:r w:rsidR="00FD7E41">
        <w:rPr>
          <w:rFonts w:ascii="Arial" w:hAnsi="Arial" w:cs="Arial"/>
          <w:szCs w:val="21"/>
        </w:rPr>
        <w:t>The enrichment with nominal significance (</w:t>
      </w:r>
      <w:r w:rsidR="00FD7E41" w:rsidRPr="00B63A71">
        <w:rPr>
          <w:rFonts w:ascii="Arial" w:hAnsi="Arial" w:cs="Arial"/>
          <w:i/>
          <w:szCs w:val="21"/>
        </w:rPr>
        <w:t>P</w:t>
      </w:r>
      <w:r w:rsidR="00FD7E41">
        <w:rPr>
          <w:rFonts w:ascii="Arial" w:hAnsi="Arial" w:cs="Arial"/>
          <w:szCs w:val="21"/>
        </w:rPr>
        <w:t xml:space="preserve"> &lt; 0.05) is highlighted as a box with </w:t>
      </w:r>
      <w:r w:rsidR="008E4C01">
        <w:rPr>
          <w:rFonts w:ascii="Arial" w:hAnsi="Arial" w:cs="Arial"/>
          <w:szCs w:val="21"/>
        </w:rPr>
        <w:t xml:space="preserve">a </w:t>
      </w:r>
      <w:r w:rsidR="00FD7E41">
        <w:rPr>
          <w:rFonts w:ascii="Arial" w:hAnsi="Arial" w:cs="Arial"/>
          <w:szCs w:val="21"/>
        </w:rPr>
        <w:t>red border.</w:t>
      </w:r>
    </w:p>
    <w:p w:rsidR="009F66EA" w:rsidRDefault="004F6D39" w:rsidP="00633AC2">
      <w:pPr>
        <w:rPr>
          <w:rFonts w:ascii="Arial" w:hAnsi="Arial" w:cs="Arial"/>
          <w:b/>
          <w:szCs w:val="21"/>
        </w:rPr>
      </w:pPr>
      <w:r w:rsidRPr="000E0822">
        <w:rPr>
          <w:rFonts w:ascii="Arial" w:hAnsi="Arial" w:cs="Arial"/>
          <w:color w:val="000000" w:themeColor="text1"/>
          <w:szCs w:val="21"/>
        </w:rPr>
        <w:br w:type="page"/>
      </w:r>
      <w:r w:rsidR="009F66EA" w:rsidRPr="000E0822">
        <w:rPr>
          <w:rFonts w:ascii="Arial" w:hAnsi="Arial" w:cs="Arial"/>
          <w:b/>
          <w:szCs w:val="21"/>
        </w:rPr>
        <w:lastRenderedPageBreak/>
        <w:t xml:space="preserve">Supplementary </w:t>
      </w:r>
      <w:r w:rsidR="00826425">
        <w:rPr>
          <w:rFonts w:ascii="Arial" w:hAnsi="Arial" w:cs="Arial"/>
          <w:b/>
          <w:szCs w:val="21"/>
        </w:rPr>
        <w:t>Note</w:t>
      </w:r>
      <w:r w:rsidR="009F66EA">
        <w:rPr>
          <w:rFonts w:ascii="Arial" w:hAnsi="Arial" w:cs="Arial"/>
          <w:b/>
          <w:szCs w:val="21"/>
        </w:rPr>
        <w:t>s</w:t>
      </w:r>
    </w:p>
    <w:p w:rsidR="004D6C4B" w:rsidRDefault="004D6C4B" w:rsidP="00633AC2">
      <w:pPr>
        <w:rPr>
          <w:rFonts w:ascii="Arial" w:hAnsi="Arial" w:cs="Arial"/>
          <w:szCs w:val="21"/>
        </w:rPr>
      </w:pPr>
    </w:p>
    <w:p w:rsidR="004D6C4B" w:rsidRPr="003C20EA" w:rsidRDefault="00004C94" w:rsidP="00633AC2">
      <w:pPr>
        <w:rPr>
          <w:rFonts w:ascii="Arial" w:hAnsi="Arial" w:cs="Arial"/>
          <w:b/>
          <w:i/>
          <w:szCs w:val="21"/>
        </w:rPr>
      </w:pPr>
      <w:r>
        <w:rPr>
          <w:rFonts w:ascii="Arial" w:hAnsi="Arial" w:cs="Arial"/>
          <w:b/>
          <w:i/>
          <w:szCs w:val="21"/>
        </w:rPr>
        <w:t xml:space="preserve">1. </w:t>
      </w:r>
      <w:r w:rsidR="004D6C4B" w:rsidRPr="003C20EA">
        <w:rPr>
          <w:rFonts w:ascii="Arial" w:hAnsi="Arial" w:cs="Arial" w:hint="eastAsia"/>
          <w:b/>
          <w:i/>
          <w:szCs w:val="21"/>
        </w:rPr>
        <w:t>C</w:t>
      </w:r>
      <w:r w:rsidR="004D6C4B" w:rsidRPr="003C20EA">
        <w:rPr>
          <w:rFonts w:ascii="Arial" w:hAnsi="Arial" w:cs="Arial"/>
          <w:b/>
          <w:i/>
          <w:szCs w:val="21"/>
        </w:rPr>
        <w:t>ohort d</w:t>
      </w:r>
      <w:r w:rsidR="00AF5740">
        <w:rPr>
          <w:rFonts w:ascii="Arial" w:hAnsi="Arial" w:cs="Arial"/>
          <w:b/>
          <w:i/>
          <w:szCs w:val="21"/>
        </w:rPr>
        <w:t>e</w:t>
      </w:r>
      <w:r w:rsidR="004D6C4B" w:rsidRPr="003C20EA">
        <w:rPr>
          <w:rFonts w:ascii="Arial" w:hAnsi="Arial" w:cs="Arial"/>
          <w:b/>
          <w:i/>
          <w:szCs w:val="21"/>
        </w:rPr>
        <w:t>scriptions</w:t>
      </w:r>
    </w:p>
    <w:p w:rsidR="004D6C4B" w:rsidRPr="00D95B72" w:rsidRDefault="004D6C4B" w:rsidP="00633AC2">
      <w:pPr>
        <w:rPr>
          <w:rFonts w:ascii="Arial" w:hAnsi="Arial" w:cs="Arial"/>
          <w:i/>
          <w:szCs w:val="21"/>
        </w:rPr>
      </w:pPr>
      <w:r w:rsidRPr="00D95B72">
        <w:rPr>
          <w:rFonts w:ascii="Arial" w:hAnsi="Arial" w:cs="Arial" w:hint="eastAsia"/>
          <w:i/>
          <w:szCs w:val="21"/>
        </w:rPr>
        <w:t>T</w:t>
      </w:r>
      <w:r w:rsidRPr="00D95B72">
        <w:rPr>
          <w:rFonts w:ascii="Arial" w:hAnsi="Arial" w:cs="Arial"/>
          <w:i/>
          <w:szCs w:val="21"/>
        </w:rPr>
        <w:t>he Biobank Japan</w:t>
      </w:r>
    </w:p>
    <w:p w:rsidR="004D6C4B" w:rsidRDefault="00460366" w:rsidP="00633AC2">
      <w:pPr>
        <w:rPr>
          <w:rFonts w:ascii="Arial" w:hAnsi="Arial" w:cs="Arial"/>
          <w:szCs w:val="21"/>
        </w:rPr>
      </w:pPr>
      <w:r w:rsidRPr="00460366">
        <w:rPr>
          <w:rFonts w:ascii="Arial" w:hAnsi="Arial" w:cs="Arial"/>
          <w:szCs w:val="21"/>
        </w:rPr>
        <w:t xml:space="preserve">The BioBank Japan (BBJ) Project </w:t>
      </w:r>
      <w:r>
        <w:rPr>
          <w:rFonts w:ascii="Arial" w:hAnsi="Arial" w:cs="Arial"/>
          <w:szCs w:val="21"/>
        </w:rPr>
        <w:t xml:space="preserve">is a nation-wide hospital-based prospective cohort </w:t>
      </w:r>
      <w:r w:rsidRPr="00460366">
        <w:rPr>
          <w:rFonts w:ascii="Arial" w:hAnsi="Arial" w:cs="Arial"/>
          <w:szCs w:val="21"/>
        </w:rPr>
        <w:t>launched in 2003</w:t>
      </w:r>
      <w:r w:rsidR="00F30751">
        <w:rPr>
          <w:rFonts w:ascii="Arial" w:hAnsi="Arial" w:cs="Arial"/>
          <w:szCs w:val="21"/>
        </w:rPr>
        <w:t xml:space="preserve">. </w:t>
      </w:r>
      <w:r w:rsidR="005A1661" w:rsidRPr="00DE2AAF">
        <w:rPr>
          <w:rFonts w:ascii="Arial" w:hAnsi="Arial" w:cs="Arial"/>
          <w:color w:val="000000" w:themeColor="text1"/>
        </w:rPr>
        <w:t>The BBJ collaboratively collected serum as well as clinical data of approximately 200,000 participants from 66 hospitals affiliated with 12 medical institutes</w:t>
      </w:r>
      <w:r w:rsidR="00812A22">
        <w:rPr>
          <w:rFonts w:ascii="Arial" w:hAnsi="Arial" w:cs="Arial"/>
          <w:color w:val="000000" w:themeColor="text1"/>
        </w:rPr>
        <w:t>. Participants were registered to the cohort</w:t>
      </w:r>
      <w:r w:rsidR="00684E43" w:rsidRPr="00684E43">
        <w:rPr>
          <w:rFonts w:ascii="Arial" w:hAnsi="Arial" w:cs="Arial"/>
          <w:color w:val="000000" w:themeColor="text1"/>
        </w:rPr>
        <w:t xml:space="preserve"> from June 2003 to March 2008</w:t>
      </w:r>
      <w:r w:rsidR="00473557">
        <w:rPr>
          <w:rFonts w:ascii="Arial" w:hAnsi="Arial" w:cs="Arial"/>
          <w:color w:val="000000" w:themeColor="text1"/>
        </w:rPr>
        <w:t>, and</w:t>
      </w:r>
      <w:r w:rsidR="00684E43" w:rsidRPr="00684E43">
        <w:rPr>
          <w:rFonts w:ascii="Arial" w:hAnsi="Arial" w:cs="Arial"/>
          <w:color w:val="000000" w:themeColor="text1"/>
        </w:rPr>
        <w:t xml:space="preserve"> </w:t>
      </w:r>
      <w:r w:rsidR="00C15FE5">
        <w:rPr>
          <w:rFonts w:ascii="Arial" w:hAnsi="Arial" w:cs="Arial"/>
          <w:color w:val="000000" w:themeColor="text1"/>
        </w:rPr>
        <w:t xml:space="preserve">their </w:t>
      </w:r>
      <w:r w:rsidR="00473557">
        <w:rPr>
          <w:rFonts w:ascii="Arial" w:hAnsi="Arial" w:cs="Arial"/>
          <w:color w:val="000000" w:themeColor="text1"/>
        </w:rPr>
        <w:t>c</w:t>
      </w:r>
      <w:r w:rsidR="00684E43" w:rsidRPr="00684E43">
        <w:rPr>
          <w:rFonts w:ascii="Arial" w:hAnsi="Arial" w:cs="Arial"/>
          <w:color w:val="000000" w:themeColor="text1"/>
        </w:rPr>
        <w:t xml:space="preserve">linical information was collected annually via interviews and medical record reviews until 2013. We collected DNA from all participants at baseline and collected annual serum samples until 2013. </w:t>
      </w:r>
    </w:p>
    <w:p w:rsidR="00460366" w:rsidRDefault="00460366" w:rsidP="00633AC2">
      <w:pPr>
        <w:rPr>
          <w:rFonts w:ascii="Arial" w:hAnsi="Arial" w:cs="Arial"/>
          <w:szCs w:val="21"/>
        </w:rPr>
      </w:pPr>
    </w:p>
    <w:p w:rsidR="00D95B72" w:rsidRPr="00310B9D" w:rsidRDefault="00D95B72" w:rsidP="00633AC2">
      <w:pPr>
        <w:rPr>
          <w:rFonts w:ascii="Arial" w:hAnsi="Arial" w:cs="Arial"/>
          <w:i/>
          <w:szCs w:val="21"/>
        </w:rPr>
      </w:pPr>
      <w:r w:rsidRPr="00310B9D">
        <w:rPr>
          <w:rFonts w:ascii="Arial" w:hAnsi="Arial" w:cs="Arial" w:hint="eastAsia"/>
          <w:i/>
          <w:szCs w:val="21"/>
        </w:rPr>
        <w:t>T</w:t>
      </w:r>
      <w:r w:rsidRPr="00310B9D">
        <w:rPr>
          <w:rFonts w:ascii="Arial" w:hAnsi="Arial" w:cs="Arial"/>
          <w:i/>
          <w:szCs w:val="21"/>
        </w:rPr>
        <w:t>he UK Biobank</w:t>
      </w:r>
    </w:p>
    <w:p w:rsidR="00D95B72" w:rsidRDefault="004F4353" w:rsidP="00633AC2">
      <w:pPr>
        <w:rPr>
          <w:rFonts w:ascii="Arial" w:hAnsi="Arial" w:cs="Arial"/>
          <w:szCs w:val="21"/>
        </w:rPr>
      </w:pPr>
      <w:r w:rsidRPr="006A18F7">
        <w:rPr>
          <w:rFonts w:ascii="Arial" w:hAnsi="Arial" w:cs="Arial"/>
          <w:color w:val="000000" w:themeColor="text1"/>
        </w:rPr>
        <w:t>The UK Biobank project is a population-based prospective cohort that recruited approximately 500,000 people aged between 40–69 years from 2006 to 2010 from across the United Kingdom. Deep phenotype data, such as electronic medical records, lifestyle indicators and bioassays</w:t>
      </w:r>
      <w:r w:rsidR="004774DE">
        <w:rPr>
          <w:rFonts w:ascii="Arial" w:hAnsi="Arial" w:cs="Arial"/>
          <w:color w:val="000000" w:themeColor="text1"/>
        </w:rPr>
        <w:t xml:space="preserve"> (e.g., biochemistry, </w:t>
      </w:r>
      <w:r w:rsidR="004774DE" w:rsidRPr="004774DE">
        <w:rPr>
          <w:rFonts w:ascii="Arial" w:hAnsi="Arial" w:cs="Arial"/>
          <w:color w:val="000000" w:themeColor="text1"/>
        </w:rPr>
        <w:t>proteomic and metabonomic analyses</w:t>
      </w:r>
      <w:r w:rsidR="004774DE">
        <w:rPr>
          <w:rFonts w:ascii="Arial" w:hAnsi="Arial" w:cs="Arial"/>
          <w:color w:val="000000" w:themeColor="text1"/>
        </w:rPr>
        <w:t>)</w:t>
      </w:r>
      <w:r w:rsidRPr="006A18F7">
        <w:rPr>
          <w:rFonts w:ascii="Arial" w:hAnsi="Arial" w:cs="Arial"/>
          <w:color w:val="000000" w:themeColor="text1"/>
        </w:rPr>
        <w:t>, and genotype data were available for most of the participants.</w:t>
      </w:r>
      <w:r w:rsidR="00A01A2D">
        <w:rPr>
          <w:rFonts w:ascii="Arial" w:hAnsi="Arial" w:cs="Arial"/>
          <w:color w:val="000000" w:themeColor="text1"/>
        </w:rPr>
        <w:t xml:space="preserve"> </w:t>
      </w:r>
      <w:r w:rsidR="00A01A2D" w:rsidRPr="00DE2AAF">
        <w:rPr>
          <w:rFonts w:ascii="Arial" w:hAnsi="Arial" w:cs="Arial"/>
          <w:color w:val="000000" w:themeColor="text1"/>
        </w:rPr>
        <w:t>The detailed characteristics of the cohort were extensively described elsewhere</w:t>
      </w:r>
      <w:r w:rsidR="00A01A2D" w:rsidRPr="00DE2AAF">
        <w:rPr>
          <w:rFonts w:ascii="Arial" w:hAnsi="Arial" w:cs="Arial"/>
          <w:color w:val="000000" w:themeColor="text1"/>
        </w:rPr>
        <w:fldChar w:fldCharType="begin" w:fldLock="1"/>
      </w:r>
      <w:r w:rsidR="00ED16E3">
        <w:rPr>
          <w:rFonts w:ascii="Arial" w:hAnsi="Arial" w:cs="Arial"/>
          <w:color w:val="000000" w:themeColor="text1"/>
        </w:rPr>
        <w:instrText>ADDIN CSL_CITATION {"citationItems":[{"id":"ITEM-1","itemData":{"DOI":"10.1038/s41586-018-0579-z","ISSN":"0028-0836","abstract":"The UK Biobank project is a prospective cohort study with deep genetic and phenotypic data collected on approximately 500,000 individuals from across the United Kingdom, aged between 40 and 69 at recruitment. The open resource is unique in its size and scope. A rich variety of phenotypic and health-related information is available on each participant, including biological measurements, lifestyle indicators, biomarkers in blood and urine, and imaging of the body and brain. Follow-up information is provided by linking health and medical records. Genome-wide genotype data have been collected on all participants, providing many opportunities for the discovery of new genetic associations and the genetic bases of complex traits. Here we describe the centralized analysis of the genetic data, including genotype quality, properties of population structure and relatedness of the genetic data, and efficient phasing and genotype imputation that increases the number of testable variants to around 96 million. Classical allelic variation at 11 human leukocyte antigen genes was imputed, resulting in the recovery of signals with known associations between human leukocyte antigen alleles and many diseases.","author":[{"dropping-particle":"","family":"Bycroft","given":"Clare","non-dropping-particle":"","parse-names":false,"suffix":""},{"dropping-particle":"","family":"Freeman","given":"Colin","non-dropping-particle":"","parse-names":false,"suffix":""},{"dropping-particle":"","family":"Petkova","given":"Desislava","non-dropping-particle":"","parse-names":false,"suffix":""},{"dropping-particle":"","family":"Band","given":"Gavin","non-dropping-particle":"","parse-names":false,"suffix":""},{"dropping-particle":"","family":"Elliott","given":"Lloyd T.","non-dropping-particle":"","parse-names":false,"suffix":""},{"dropping-particle":"","family":"Sharp","given":"Kevin","non-dropping-particle":"","parse-names":false,"suffix":""},{"dropping-particle":"","family":"Motyer","given":"Allan","non-dropping-particle":"","parse-names":false,"suffix":""},{"dropping-particle":"","family":"Vukcevic","given":"Damjan","non-dropping-particle":"","parse-names":false,"suffix":""},{"dropping-particle":"","family":"Delaneau","given":"Olivier","non-dropping-particle":"","parse-names":false,"suffix":""},{"dropping-particle":"","family":"O’Connell","given":"Jared","non-dropping-particle":"","parse-names":false,"suffix":""},{"dropping-particle":"","family":"Cortes","given":"Adrian","non-dropping-particle":"","parse-names":false,"suffix":""},{"dropping-particle":"","family":"Welsh","given":"Samantha","non-dropping-particle":"","parse-names":false,"suffix":""},{"dropping-particle":"","family":"Young","given":"Alan","non-dropping-particle":"","parse-names":false,"suffix":""},{"dropping-particle":"","family":"Effingham","given":"Mark","non-dropping-particle":"","parse-names":false,"suffix":""},{"dropping-particle":"","family":"McVean","given":"Gil","non-dropping-particle":"","parse-names":false,"suffix":""},{"dropping-particle":"","family":"Leslie","given":"Stephen","non-dropping-particle":"","parse-names":false,"suffix":""},{"dropping-particle":"","family":"Allen","given":"Naomi","non-dropping-particle":"","parse-names":false,"suffix":""},{"dropping-particle":"","family":"Donnelly","given":"Peter","non-dropping-particle":"","parse-names":false,"suffix":""},{"dropping-particle":"","family":"Marchini","given":"Jonathan","non-dropping-particle":"","parse-names":false,"suffix":""}],"container-title":"Nature","id":"ITEM-1","issue":"7726","issued":{"date-parts":[["2018","10","10"]]},"page":"203-209","publisher":"Nature Publishing Group","title":"The UK Biobank resource with deep phenotyping and genomic data","type":"article-journal","volume":"562"},"uris":["http://www.mendeley.com/documents/?uuid=9f6a7f5d-d208-301d-aa82-7c7701b0d930"]}],"mendeley":{"formattedCitation":"&lt;sup&gt;1&lt;/sup&gt;","plainTextFormattedCitation":"1","previouslyFormattedCitation":"&lt;sup&gt;5&lt;/sup&gt;"},"properties":{"noteIndex":0},"schema":"https://github.com/citation-style-language/schema/raw/master/csl-citation.json"}</w:instrText>
      </w:r>
      <w:r w:rsidR="00A01A2D" w:rsidRPr="00DE2AAF">
        <w:rPr>
          <w:rFonts w:ascii="Arial" w:hAnsi="Arial" w:cs="Arial"/>
          <w:color w:val="000000" w:themeColor="text1"/>
        </w:rPr>
        <w:fldChar w:fldCharType="separate"/>
      </w:r>
      <w:r w:rsidR="00ED16E3" w:rsidRPr="00ED16E3">
        <w:rPr>
          <w:rFonts w:ascii="Arial" w:hAnsi="Arial" w:cs="Arial"/>
          <w:noProof/>
          <w:color w:val="000000" w:themeColor="text1"/>
          <w:vertAlign w:val="superscript"/>
        </w:rPr>
        <w:t>1</w:t>
      </w:r>
      <w:r w:rsidR="00A01A2D" w:rsidRPr="00DE2AAF">
        <w:rPr>
          <w:rFonts w:ascii="Arial" w:hAnsi="Arial" w:cs="Arial"/>
          <w:color w:val="000000" w:themeColor="text1"/>
        </w:rPr>
        <w:fldChar w:fldCharType="end"/>
      </w:r>
      <w:r w:rsidR="00A01A2D" w:rsidRPr="00DE2AAF">
        <w:rPr>
          <w:rFonts w:ascii="Arial" w:hAnsi="Arial" w:cs="Arial"/>
          <w:color w:val="000000" w:themeColor="text1"/>
        </w:rPr>
        <w:t>.</w:t>
      </w:r>
    </w:p>
    <w:p w:rsidR="00D95B72" w:rsidRDefault="00D95B72" w:rsidP="00633AC2">
      <w:pPr>
        <w:rPr>
          <w:rFonts w:ascii="Arial" w:hAnsi="Arial" w:cs="Arial"/>
          <w:szCs w:val="21"/>
        </w:rPr>
      </w:pPr>
    </w:p>
    <w:p w:rsidR="00ED16E3" w:rsidRPr="00F30565" w:rsidRDefault="00ED16E3" w:rsidP="00633AC2">
      <w:pPr>
        <w:rPr>
          <w:rFonts w:ascii="Arial" w:hAnsi="Arial" w:cs="Arial"/>
          <w:i/>
          <w:szCs w:val="21"/>
        </w:rPr>
      </w:pPr>
      <w:r w:rsidRPr="00F30565">
        <w:rPr>
          <w:rFonts w:ascii="Arial" w:hAnsi="Arial" w:cs="Arial"/>
          <w:i/>
          <w:szCs w:val="21"/>
        </w:rPr>
        <w:t>FinnGen</w:t>
      </w:r>
    </w:p>
    <w:p w:rsidR="00ED16E3" w:rsidRPr="004D6C4B" w:rsidRDefault="00C60963" w:rsidP="00633AC2">
      <w:pPr>
        <w:rPr>
          <w:rFonts w:ascii="Arial" w:hAnsi="Arial" w:cs="Arial"/>
          <w:szCs w:val="21"/>
        </w:rPr>
      </w:pPr>
      <w:r w:rsidRPr="00DE2AAF">
        <w:rPr>
          <w:rFonts w:ascii="Arial" w:hAnsi="Arial" w:cs="Arial"/>
          <w:color w:val="000000" w:themeColor="text1"/>
        </w:rPr>
        <w:t>FinnGen is a public–private partnership project</w:t>
      </w:r>
      <w:r>
        <w:rPr>
          <w:rFonts w:ascii="Arial" w:hAnsi="Arial" w:cs="Arial"/>
          <w:color w:val="000000" w:themeColor="text1"/>
        </w:rPr>
        <w:t xml:space="preserve">. </w:t>
      </w:r>
      <w:r w:rsidR="00D80B4F" w:rsidRPr="00DE2AAF">
        <w:rPr>
          <w:rFonts w:ascii="Arial" w:hAnsi="Arial" w:cs="Arial"/>
          <w:color w:val="000000" w:themeColor="text1"/>
        </w:rPr>
        <w:t>Six regional and three country-wide Finnish biobanks participate in FinnGen. Additionally, data from previously established population and disease-based cohorts are utilized.</w:t>
      </w:r>
      <w:r w:rsidR="00B35000" w:rsidRPr="00B35000">
        <w:rPr>
          <w:rFonts w:ascii="Arial" w:hAnsi="Arial" w:cs="Arial"/>
          <w:color w:val="000000" w:themeColor="text1"/>
        </w:rPr>
        <w:t xml:space="preserve"> </w:t>
      </w:r>
      <w:r w:rsidR="00B35000" w:rsidRPr="006A18F7">
        <w:rPr>
          <w:rFonts w:ascii="Arial" w:hAnsi="Arial" w:cs="Arial"/>
          <w:color w:val="000000" w:themeColor="text1"/>
        </w:rPr>
        <w:t>Participants’ health outcomes are followed up by linking to the national health registries (1969–2016), which collect information from birth to death.</w:t>
      </w:r>
      <w:r w:rsidR="00016F14">
        <w:rPr>
          <w:rFonts w:ascii="Arial" w:hAnsi="Arial" w:cs="Arial"/>
          <w:color w:val="000000" w:themeColor="text1"/>
        </w:rPr>
        <w:t xml:space="preserve"> </w:t>
      </w:r>
      <w:r w:rsidR="00016F14" w:rsidRPr="00DE2AAF">
        <w:rPr>
          <w:rFonts w:ascii="Arial" w:hAnsi="Arial" w:cs="Arial"/>
          <w:color w:val="000000" w:themeColor="text1"/>
        </w:rPr>
        <w:t>A list of FinnGen contributors is</w:t>
      </w:r>
      <w:r w:rsidR="0052129C">
        <w:rPr>
          <w:rFonts w:ascii="Arial" w:hAnsi="Arial" w:cs="Arial"/>
          <w:color w:val="000000" w:themeColor="text1"/>
        </w:rPr>
        <w:t xml:space="preserve"> </w:t>
      </w:r>
      <w:r w:rsidR="00BD3114">
        <w:rPr>
          <w:rFonts w:ascii="Arial" w:hAnsi="Arial" w:cs="Arial"/>
          <w:color w:val="000000" w:themeColor="text1"/>
        </w:rPr>
        <w:t>presented</w:t>
      </w:r>
      <w:r w:rsidR="00DE646F">
        <w:rPr>
          <w:rFonts w:ascii="Arial" w:hAnsi="Arial" w:cs="Arial"/>
          <w:color w:val="000000" w:themeColor="text1"/>
        </w:rPr>
        <w:t xml:space="preserve"> </w:t>
      </w:r>
      <w:r w:rsidR="00016F14">
        <w:rPr>
          <w:rFonts w:ascii="Arial" w:hAnsi="Arial" w:cs="Arial"/>
          <w:color w:val="000000" w:themeColor="text1"/>
        </w:rPr>
        <w:t>below.</w:t>
      </w:r>
    </w:p>
    <w:p w:rsidR="004D6C4B" w:rsidRPr="004D6C4B" w:rsidRDefault="004D6C4B" w:rsidP="00633AC2">
      <w:pPr>
        <w:rPr>
          <w:rFonts w:ascii="Arial" w:hAnsi="Arial" w:cs="Arial"/>
          <w:szCs w:val="21"/>
        </w:rPr>
      </w:pPr>
    </w:p>
    <w:p w:rsidR="0048076E" w:rsidRPr="00325742" w:rsidRDefault="0048076E" w:rsidP="00633AC2">
      <w:pPr>
        <w:rPr>
          <w:rFonts w:ascii="Arial" w:hAnsi="Arial" w:cs="Arial"/>
          <w:i/>
          <w:szCs w:val="21"/>
        </w:rPr>
      </w:pPr>
      <w:r w:rsidRPr="00325742">
        <w:rPr>
          <w:rFonts w:ascii="Arial" w:hAnsi="Arial" w:cs="Arial"/>
          <w:i/>
          <w:szCs w:val="21"/>
        </w:rPr>
        <w:t>The Tohoku Medical Megabank (TMM)</w:t>
      </w:r>
    </w:p>
    <w:p w:rsidR="00CA348D" w:rsidRDefault="0048076E" w:rsidP="00633AC2">
      <w:pPr>
        <w:rPr>
          <w:rFonts w:ascii="Arial" w:hAnsi="Arial" w:cs="Arial"/>
          <w:szCs w:val="21"/>
        </w:rPr>
      </w:pPr>
      <w:r w:rsidRPr="0048076E">
        <w:rPr>
          <w:rFonts w:ascii="Arial" w:hAnsi="Arial" w:cs="Arial"/>
          <w:szCs w:val="21"/>
        </w:rPr>
        <w:t>The Tohoku Medical Megabank (TMM) Project was launched for the purpose of reconstruction from the Great East Japan Earthquake on 11 March 2011 and establishment of personalized healthcare and medicine</w:t>
      </w:r>
      <w:r w:rsidR="000543E2">
        <w:rPr>
          <w:rFonts w:ascii="Arial" w:hAnsi="Arial" w:cs="Arial"/>
          <w:szCs w:val="21"/>
        </w:rPr>
        <w:fldChar w:fldCharType="begin" w:fldLock="1"/>
      </w:r>
      <w:r w:rsidR="00ED16E3">
        <w:rPr>
          <w:rFonts w:ascii="Arial" w:hAnsi="Arial" w:cs="Arial"/>
          <w:szCs w:val="21"/>
        </w:rPr>
        <w:instrText>ADDIN CSL_CITATION {"citationItems":[{"id":"ITEM-1","itemData":{"DOI":"10.2188/jea.JE20150268","ISSN":"13499092","PMID":"27374138","abstract":"The Great East Japan Earthquake (GEJE) and resulting tsunami of March 11, 2011 gave rise to devastating damage on the Pacific coast of the Tohoku region. The Tohoku Medical Megabank Project (TMM), which is being conducted by Tohoku University Tohoku Medical Megabank Organization (ToMMo) and Iwate Medical University Iwate Tohoku Medical Megabank Organization (IMM), has been launched to realize creative reconstruction and to solve medical problems in the aftermath of this disaster. We started two prospective cohort studies in Miyagi and Iwate Prefectures: a population-based adult cohort study, the TMM Community-Based Cohort Study (TMM CommCohort Study), which will recruit 80 000 participants, and a birth and three-generation cohort study, the TMM Birth and Three-Generation Cohort Study (TMM BirThree Cohort Study), which will recruit 70 000 participants, including fetuses and their parents, siblings, grandparents, and extended family members. The TMM CommCohort Study will recruit participants from 2013 to 2016 and follow them for at least 5 years. The TMM BirThree Cohort Study will recruit participants from 2013 to 2017 and follow them for at least 4 years. For children, the ToMMo Child Health Study, which adopted a cross-sectional design, was also started in November 2012 in Miyagi Prefecture. An integrated biobank will be constructed based on the two prospective cohort studies, and ToMMo and IMM will investigate the chronic medical impacts of the GEJE. The integrated biobank of TMM consists of health and clinical information, biospecimens, and genome and omics data. The biobank aims to establish a firm basis for personalized healthcare and medicine, mainly for diseases aggravated by the GEJE in the two prefectures. Biospecimens and related information in the biobank will be distributed to the research community. TMM itself will also undertake genomic and omics research. The aims of the genomic studies are: 1) to construct an integrated biobank; 2) to return genomic research results to the participants of the cohort studies, which will lead to the implementation of personalized healthcare and medicine in the affected areas in the near future; and 3) to contribute the development of personalized healthcare and medicine worldwide. Through the activities of TMM, we will clarify how to approach prolonged healthcare problems in areas damaged by large-scale disasters and how useful genomic information is for disease prevention.","author":[{"dropping-particle":"","family":"Kuriyama","given":"Shinichi","non-dropping-particle":"","parse-names":false,"suffix":""},{"dropping-particle":"","family":"Yaegashi","given":"Nobuo","non-dropping-particle":"","parse-names":false,"suffix":""},{"dropping-particle":"","family":"Nagami","given":"Fuji","non-dropping-particle":"","parse-names":false,"suffix":""},{"dropping-particle":"","family":"Arai","given":"Tomohiko","non-dropping-particle":"","parse-names":false,"suffix":""},{"dropping-particle":"","family":"Kawaguchi","given":"Yoshio","non-dropping-particle":"","parse-names":false,"suffix":""},{"dropping-particle":"","family":"Osumi","given":"Noriko","non-dropping-particle":"","parse-names":false,"suffix":""},{"dropping-particle":"","family":"Sakaida","given":"Masaki","non-dropping-particle":"","parse-names":false,"suffix":""},{"dropping-particle":"","family":"Suzuki","given":"Yoichi","non-dropping-particle":"","parse-names":false,"suffix":""},{"dropping-particle":"","family":"Nakayama","given":"Keiko","non-dropping-particle":"","parse-names":false,"suffix":""},{"dropping-particle":"","family":"Hashizume","given":"Hiroaki","non-dropping-particle":"","parse-names":false,"suffix":""},{"dropping-particle":"","family":"Tamiya","given":"Gen","non-dropping-particle":"","parse-names":false,"suffix":""},{"dropping-particle":"","family":"Kawame","given":"Hiroshi","non-dropping-particle":"","parse-names":false,"suffix":""},{"dropping-particle":"","family":"Suzuki","given":"Kichiya","non-dropping-particle":"","parse-names":false,"suffix":""},{"dropping-particle":"","family":"Hozawa","given":"Atsushi","non-dropping-particle":"","parse-names":false,"suffix":""},{"dropping-particle":"","family":"Nakaya","given":"Naoki","non-dropping-particle":"","parse-names":false,"suffix":""},{"dropping-particle":"","family":"Kikuya","given":"Masahiro","non-dropping-particle":"","parse-names":false,"suffix":""},{"dropping-particle":"","family":"Metoki","given":"Hirohito","non-dropping-particle":"","parse-names":false,"suffix":""},{"dropping-particle":"","family":"Tsuji","given":"Ichiro","non-dropping-particle":"","parse-names":false,"suffix":""},{"dropping-particle":"","family":"Fuse","given":"Nobuo","non-dropping-particle":"","parse-names":false,"suffix":""},{"dropping-particle":"","family":"Kiyomoto","given":"Hideyasu","non-dropping-particle":"","parse-names":false,"suffix":""},{"dropping-particle":"","family":"Sugawara","given":"Junichi","non-dropping-particle":"","parse-names":false,"suffix":""},{"dropping-particle":"","family":"Tsuboi","given":"Akito","non-dropping-particle":"","parse-names":false,"suffix":""},{"dropping-particle":"","family":"Egawa","given":"Shinichi","non-dropping-particle":"","parse-names":false,"suffix":""},{"dropping-particle":"","family":"Ito","given":"Kiyoshi","non-dropping-particle":"","parse-names":false,"suffix":""},{"dropping-particle":"","family":"Chida","given":"Koichi","non-dropping-particle":"","parse-names":false,"suffix":""},{"dropping-particle":"","family":"Ishii","given":"Tadashi","non-dropping-particle":"","parse-names":false,"suffix":""},{"dropping-particle":"","family":"Tomita","given":"Hiroaki","non-dropping-particle":"","parse-names":false,"suffix":""},{"dropping-particle":"","family":"Taki","given":"Yasuyuki","non-dropping-particle":"","parse-names":false,"suffix":""},{"dropping-particle":"","family":"Minegishi","given":"Naoko","non-dropping-particle":"","parse-names":false,"suffix":""},{"dropping-particle":"","family":"Ishii","given":"Naoto","non-dropping-particle":"","parse-names":false,"suffix":""},{"dropping-particle":"","family":"Yasuda","given":"Jun","non-dropping-particle":"","parse-names":false,"suffix":""},{"dropping-particle":"","family":"Igarashi","given":"Kazuhiko","non-dropping-particle":"","parse-names":false,"suffix":""},{"dropping-particle":"","family":"Shimizu","given":"Ritsuko","non-dropping-particle":"","parse-names":false,"suffix":""},{"dropping-particle":"","family":"Nagasaki","given":"Masao","non-dropping-particle":"","parse-names":false,"suffix":""},{"dropping-particle":"","family":"Koshiba","given":"Seizo","non-dropping-particle":"","parse-names":false,"suffix":""},{"dropping-particle":"","family":"Kinoshita","given":"Kengo","non-dropping-particle":"","parse-names":false,"suffix":""},{"dropping-particle":"","family":"Ogishima","given":"Soichi","non-dropping-particle":"","parse-names":false,"suffix":""},{"dropping-particle":"","family":"Takai-Igarashi","given":"Takako","non-dropping-particle":"","parse-names":false,"suffix":""},{"dropping-particle":"","family":"Tominaga","given":"Teiji","non-dropping-particle":"","parse-names":false,"suffix":""},{"dropping-particle":"","family":"Tanabe","given":"Osamu","non-dropping-particle":"","parse-names":false,"suffix":""},{"dropping-particle":"","family":"Ohuchi","given":"Noriaki","non-dropping-particle":"","parse-names":false,"suffix":""},{"dropping-particle":"","family":"Shimosegawa","given":"Toru","non-dropping-particle":"","parse-names":false,"suffix":""},{"dropping-particle":"","family":"Kure","given":"Shigeo","non-dropping-particle":"","parse-names":false,"suffix":""},{"dropping-particle":"","family":"Tanaka","given":"Hiroshi","non-dropping-particle":"","parse-names":false,"suffix":""},{"dropping-particle":"","family":"Ito","given":"Sadayoshi","non-dropping-particle":"","parse-names":false,"suffix":""},{"dropping-particle":"","family":"Hitomi","given":"Jiro","non-dropping-particle":"","parse-names":false,"suffix":""},{"dropping-particle":"","family":"Tanno","given":"Kozo","non-dropping-particle":"","parse-names":false,"suffix":""},{"dropping-particle":"","family":"Nakamura","given":"Motoyuki","non-dropping-particle":"","parse-names":false,"suffix":""},{"dropping-particle":"","family":"Ogasawara","given":"Kuniaki","non-dropping-particle":"","parse-names":false,"suffix":""},{"dropping-particle":"","family":"Kobayashi","given":"Seiichiro","non-dropping-particle":"","parse-names":false,"suffix":""},{"dropping-particle":"","family":"Sakata","given":"Kiyomi","non-dropping-particle":"","parse-names":false,"suffix":""},{"dropping-particle":"","family":"Satoh","given":"Mamoru","non-dropping-particle":"","parse-names":false,"suffix":""},{"dropping-particle":"","family":"Shimizu","given":"Atsushi","non-dropping-particle":"","parse-names":false,"suffix":""},{"dropping-particle":"","family":"Sasaki","given":"Makoto","non-dropping-particle":"","parse-names":false,"suffix":""},{"dropping-particle":"","family":"Endo","given":"Ryujin","non-dropping-particle":"","parse-names":false,"suffix":""},{"dropping-particle":"","family":"Sobue","given":"Kenji","non-dropping-particle":"","parse-names":false,"suffix":""},{"dropping-particle":"","family":"Yamamoto","given":"Masayuki","non-dropping-particle":"","parse-names":false,"suffix":""}],"container-title":"Journal of Epidemiology","id":"ITEM-1","issue":"9","issued":{"date-parts":[["2016"]]},"page":"493-511","publisher":"Japan Epidemiology Association","title":"The Tohoku Medical Megabank Project: Design and mission","type":"article-journal","volume":"26"},"uris":["http://www.mendeley.com/documents/?uuid=cf78cf6b-1ef1-3cd5-b159-abb33a23a2d8"]}],"mendeley":{"formattedCitation":"&lt;sup&gt;2&lt;/sup&gt;","plainTextFormattedCitation":"2","previouslyFormattedCitation":"&lt;sup&gt;1&lt;/sup&gt;"},"properties":{"noteIndex":0},"schema":"https://github.com/citation-style-language/schema/raw/master/csl-citation.json"}</w:instrText>
      </w:r>
      <w:r w:rsidR="000543E2">
        <w:rPr>
          <w:rFonts w:ascii="Arial" w:hAnsi="Arial" w:cs="Arial"/>
          <w:szCs w:val="21"/>
        </w:rPr>
        <w:fldChar w:fldCharType="separate"/>
      </w:r>
      <w:r w:rsidR="00ED16E3" w:rsidRPr="00ED16E3">
        <w:rPr>
          <w:rFonts w:ascii="Arial" w:hAnsi="Arial" w:cs="Arial"/>
          <w:noProof/>
          <w:szCs w:val="21"/>
          <w:vertAlign w:val="superscript"/>
        </w:rPr>
        <w:t>2</w:t>
      </w:r>
      <w:r w:rsidR="000543E2">
        <w:rPr>
          <w:rFonts w:ascii="Arial" w:hAnsi="Arial" w:cs="Arial"/>
          <w:szCs w:val="21"/>
        </w:rPr>
        <w:fldChar w:fldCharType="end"/>
      </w:r>
      <w:r w:rsidRPr="0048076E">
        <w:rPr>
          <w:rFonts w:ascii="Arial" w:hAnsi="Arial" w:cs="Arial"/>
          <w:szCs w:val="21"/>
        </w:rPr>
        <w:t>. In the project, an integrated biobank has been established based on two prospective genome cohort studies ("the TMM Community-Based Cohort Study" and "Birth and Three-Generation Cohort Study"). Although the cohort studies recruited residents in Miyagi or Iwate Prefecture, only the participants living in Miyagi Prefecture, whose measurements on metabolites were available, were used in the study.</w:t>
      </w:r>
    </w:p>
    <w:p w:rsidR="0048076E" w:rsidRDefault="0048076E" w:rsidP="00633AC2">
      <w:pPr>
        <w:rPr>
          <w:rFonts w:ascii="Arial" w:hAnsi="Arial" w:cs="Arial"/>
          <w:szCs w:val="21"/>
        </w:rPr>
      </w:pPr>
    </w:p>
    <w:p w:rsidR="00F26E82" w:rsidRPr="003C20EA" w:rsidRDefault="00A2103C" w:rsidP="00633AC2">
      <w:pPr>
        <w:rPr>
          <w:rFonts w:ascii="Arial" w:hAnsi="Arial" w:cs="Arial"/>
          <w:b/>
          <w:i/>
          <w:szCs w:val="21"/>
        </w:rPr>
      </w:pPr>
      <w:r>
        <w:rPr>
          <w:rFonts w:ascii="Arial" w:hAnsi="Arial" w:cs="Arial"/>
          <w:b/>
          <w:i/>
          <w:szCs w:val="21"/>
        </w:rPr>
        <w:t xml:space="preserve">2. </w:t>
      </w:r>
      <w:r w:rsidR="00F26E82" w:rsidRPr="003C20EA">
        <w:rPr>
          <w:rFonts w:ascii="Arial" w:hAnsi="Arial" w:cs="Arial" w:hint="eastAsia"/>
          <w:b/>
          <w:i/>
          <w:szCs w:val="21"/>
        </w:rPr>
        <w:t>C</w:t>
      </w:r>
      <w:r w:rsidR="00F26E82" w:rsidRPr="003C20EA">
        <w:rPr>
          <w:rFonts w:ascii="Arial" w:hAnsi="Arial" w:cs="Arial"/>
          <w:b/>
          <w:i/>
          <w:szCs w:val="21"/>
        </w:rPr>
        <w:t>ontributors of FinnGen</w:t>
      </w:r>
    </w:p>
    <w:p w:rsidR="00CA348D" w:rsidRPr="00CA348D" w:rsidRDefault="00CA348D" w:rsidP="00633AC2">
      <w:pPr>
        <w:keepNext/>
        <w:keepLines/>
        <w:spacing w:line="240" w:lineRule="exact"/>
        <w:outlineLvl w:val="0"/>
        <w:rPr>
          <w:rFonts w:ascii="Calibri" w:hAnsi="Calibri" w:cs="Calibri"/>
          <w:b/>
          <w:noProof/>
          <w:color w:val="0033CC"/>
          <w:sz w:val="20"/>
          <w:szCs w:val="20"/>
        </w:rPr>
      </w:pPr>
      <w:r w:rsidRPr="00CA348D">
        <w:rPr>
          <w:rFonts w:ascii="Calibri" w:hAnsi="Calibri" w:cs="Calibri"/>
          <w:b/>
          <w:noProof/>
          <w:color w:val="0033CC"/>
          <w:sz w:val="20"/>
          <w:szCs w:val="20"/>
        </w:rPr>
        <w:t>Steering Committee</w:t>
      </w:r>
      <w:r w:rsidRPr="00CA348D">
        <w:rPr>
          <w:rFonts w:ascii="Calibri" w:hAnsi="Calibri" w:cs="Calibri"/>
          <w:b/>
          <w:noProof/>
          <w:color w:val="0033CC"/>
          <w:sz w:val="20"/>
          <w:szCs w:val="20"/>
        </w:rPr>
        <w:tab/>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Aarno Palotie </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Mark Daly</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F96383">
        <w:rPr>
          <w:rFonts w:ascii="Calibri" w:eastAsia="Calibri" w:hAnsi="Calibri" w:cs="Calibri"/>
          <w:noProof/>
          <w:sz w:val="20"/>
          <w:szCs w:val="20"/>
        </w:rPr>
        <w:tab/>
      </w:r>
      <w:r w:rsidRPr="00CA348D">
        <w:rPr>
          <w:rFonts w:ascii="Calibri" w:eastAsia="Calibri" w:hAnsi="Calibri" w:cs="Calibri"/>
          <w:noProof/>
          <w:sz w:val="20"/>
          <w:szCs w:val="20"/>
        </w:rPr>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rPr>
          <w:rFonts w:ascii="Calibri" w:eastAsia="Calibri" w:hAnsi="Calibri" w:cs="Calibri"/>
          <w:b/>
          <w:noProof/>
          <w:sz w:val="20"/>
          <w:szCs w:val="20"/>
        </w:rPr>
      </w:pPr>
      <w:r w:rsidRPr="00CA348D">
        <w:rPr>
          <w:rFonts w:ascii="Calibri" w:eastAsia="Calibri" w:hAnsi="Calibri" w:cs="Calibri"/>
          <w:b/>
          <w:noProof/>
          <w:sz w:val="20"/>
          <w:szCs w:val="20"/>
        </w:rPr>
        <w:t>Pharmaceutical companies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Howard Jacob</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Athena Matakidou </w:t>
      </w:r>
      <w:r w:rsidRPr="00CA348D">
        <w:rPr>
          <w:rFonts w:ascii="Calibri" w:eastAsia="Calibri" w:hAnsi="Calibri" w:cs="Calibri"/>
          <w:noProof/>
          <w:sz w:val="20"/>
          <w:szCs w:val="20"/>
        </w:rPr>
        <w:tab/>
      </w:r>
      <w:r w:rsidRPr="00CA348D">
        <w:rPr>
          <w:rFonts w:ascii="Calibri" w:eastAsia="Calibri" w:hAnsi="Calibri" w:cs="Calibri"/>
          <w:noProof/>
          <w:sz w:val="20"/>
          <w:szCs w:val="20"/>
        </w:rPr>
        <w:tab/>
        <w:t>Astra Zeneca, Cambridge,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lastRenderedPageBreak/>
        <w:t>Heiko Runz</w:t>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Sally John</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Robert Plenge</w:t>
      </w:r>
      <w:r w:rsidRPr="00CA348D">
        <w:rPr>
          <w:rFonts w:ascii="Calibri" w:eastAsia="Calibri" w:hAnsi="Calibri" w:cs="Calibri"/>
          <w:noProof/>
          <w:sz w:val="20"/>
          <w:szCs w:val="20"/>
        </w:rPr>
        <w:tab/>
      </w:r>
      <w:r w:rsidRPr="00CA348D">
        <w:rPr>
          <w:rFonts w:ascii="Calibri" w:eastAsia="Calibri" w:hAnsi="Calibri" w:cs="Calibri"/>
          <w:noProof/>
          <w:sz w:val="20"/>
          <w:szCs w:val="20"/>
        </w:rPr>
        <w:tab/>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Mark McCarthy </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Julie Hunkapiller </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Meg Ehm </w:t>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Dawn Waterworth</w:t>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Caroline Fox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Anders Malarstig </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Kathy Klinger</w:t>
      </w:r>
      <w:r w:rsidRPr="00CA348D">
        <w:rPr>
          <w:rFonts w:ascii="Calibri" w:eastAsia="Calibri" w:hAnsi="Calibri" w:cs="Calibri"/>
          <w:noProof/>
          <w:sz w:val="20"/>
          <w:szCs w:val="20"/>
        </w:rPr>
        <w:tab/>
      </w:r>
      <w:r w:rsidRPr="00CA348D">
        <w:rPr>
          <w:rFonts w:ascii="Calibri" w:eastAsia="Calibri" w:hAnsi="Calibri" w:cs="Calibri"/>
          <w:noProof/>
          <w:sz w:val="20"/>
          <w:szCs w:val="20"/>
        </w:rPr>
        <w:tab/>
        <w:t>Sanofi, Paris, France</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Kathy Call</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Sanofi, Paris, France</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University of Helsinki &amp; Biobanks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Tomi Mäkelä</w:t>
      </w:r>
      <w:r w:rsidRPr="00CA348D">
        <w:rPr>
          <w:rFonts w:ascii="Calibri" w:eastAsia="Calibri" w:hAnsi="Calibri" w:cs="Calibri"/>
          <w:noProof/>
          <w:sz w:val="20"/>
          <w:szCs w:val="20"/>
        </w:rPr>
        <w:tab/>
      </w:r>
      <w:r w:rsidRPr="00CA348D">
        <w:rPr>
          <w:rFonts w:ascii="Calibri" w:eastAsia="Calibri" w:hAnsi="Calibri" w:cs="Calibri"/>
          <w:noProof/>
          <w:sz w:val="20"/>
          <w:szCs w:val="20"/>
        </w:rPr>
        <w:tab/>
        <w:t>HiLIFE, University of Helsinki, Finland,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Jaakko Kaprio</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Helsinki, Finland,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Petri Virolainen </w:t>
      </w:r>
      <w:r w:rsidRPr="00CA348D">
        <w:rPr>
          <w:rFonts w:ascii="Calibri" w:eastAsia="Calibri" w:hAnsi="Calibri" w:cs="Calibri"/>
          <w:noProof/>
          <w:sz w:val="20"/>
          <w:szCs w:val="20"/>
        </w:rPr>
        <w:tab/>
      </w:r>
      <w:r w:rsidRPr="00CA348D">
        <w:rPr>
          <w:rFonts w:ascii="Calibri" w:eastAsia="Calibri" w:hAnsi="Calibri" w:cs="Calibri"/>
          <w:noProof/>
          <w:sz w:val="20"/>
          <w:szCs w:val="20"/>
        </w:rPr>
        <w:tab/>
        <w:t>Auria Biobank / Univ. of Turku / 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Kari Pulkki</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Auria Biobank / Univ. of Turku / 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Terhi Kilpi </w:t>
      </w:r>
      <w:r w:rsidRPr="00CA348D">
        <w:rPr>
          <w:rFonts w:ascii="Calibri" w:eastAsia="Calibri" w:hAnsi="Calibri" w:cs="Calibri"/>
          <w:noProof/>
          <w:sz w:val="20"/>
          <w:szCs w:val="20"/>
        </w:rPr>
        <w:tab/>
      </w:r>
      <w:r w:rsidRPr="00CA348D">
        <w:rPr>
          <w:rFonts w:ascii="Calibri" w:eastAsia="Calibri" w:hAnsi="Calibri" w:cs="Calibri"/>
          <w:noProof/>
          <w:sz w:val="20"/>
          <w:szCs w:val="20"/>
        </w:rPr>
        <w:tab/>
        <w:t>THL Biobank / The National Institute of Health and Welfare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Markus Perola</w:t>
      </w:r>
      <w:r w:rsidRPr="00CA348D">
        <w:rPr>
          <w:rFonts w:ascii="Calibri" w:eastAsia="Calibri" w:hAnsi="Calibri" w:cs="Calibri"/>
          <w:noProof/>
          <w:sz w:val="20"/>
          <w:szCs w:val="20"/>
        </w:rPr>
        <w:tab/>
      </w:r>
      <w:r w:rsidRPr="00CA348D">
        <w:rPr>
          <w:rFonts w:ascii="Calibri" w:eastAsia="Calibri" w:hAnsi="Calibri" w:cs="Calibri"/>
          <w:noProof/>
          <w:sz w:val="20"/>
          <w:szCs w:val="20"/>
        </w:rPr>
        <w:tab/>
        <w:t>THL Biobank / The National Institute of Health and Welfare Helsinki, Finland</w:t>
      </w:r>
    </w:p>
    <w:p w:rsidR="00CA348D" w:rsidRPr="00CA348D" w:rsidRDefault="00CA348D" w:rsidP="00633AC2">
      <w:pPr>
        <w:spacing w:line="240" w:lineRule="exact"/>
        <w:ind w:left="2552" w:hanging="2551"/>
        <w:rPr>
          <w:rFonts w:ascii="Calibri" w:eastAsia="Calibri" w:hAnsi="Calibri" w:cs="Calibri"/>
          <w:noProof/>
          <w:sz w:val="20"/>
          <w:szCs w:val="20"/>
        </w:rPr>
      </w:pPr>
      <w:r w:rsidRPr="00CA348D">
        <w:rPr>
          <w:rFonts w:ascii="Calibri" w:eastAsia="Calibri" w:hAnsi="Calibri" w:cs="Calibri"/>
          <w:noProof/>
          <w:sz w:val="20"/>
          <w:szCs w:val="20"/>
        </w:rPr>
        <w:t xml:space="preserve">Jukka Partanen </w:t>
      </w:r>
      <w:r w:rsidRPr="00CA348D">
        <w:rPr>
          <w:rFonts w:ascii="Calibri" w:eastAsia="Calibri" w:hAnsi="Calibri" w:cs="Calibri"/>
          <w:noProof/>
          <w:sz w:val="20"/>
          <w:szCs w:val="20"/>
        </w:rPr>
        <w:tab/>
        <w:t xml:space="preserve">Finnish Red Cross Blood Service / Finnish Hematology Registry and Clinical Biobank,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Anne Pitkäranta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Hospital District of Helsinki and Uusimaa, Helsinki, Finland </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Riitta Kaarteenaho </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Seppo Vainio</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b/>
          <w:noProof/>
          <w:sz w:val="20"/>
          <w:szCs w:val="20"/>
        </w:rPr>
      </w:pPr>
      <w:r w:rsidRPr="00CA348D">
        <w:rPr>
          <w:rFonts w:ascii="Calibri" w:eastAsia="Calibri" w:hAnsi="Calibri" w:cs="Calibri"/>
          <w:noProof/>
          <w:sz w:val="20"/>
          <w:szCs w:val="20"/>
        </w:rPr>
        <w:t xml:space="preserve">Kimmo Savinainen </w:t>
      </w:r>
      <w:r w:rsidRPr="00CA348D">
        <w:rPr>
          <w:rFonts w:ascii="Calibri" w:eastAsia="Calibri" w:hAnsi="Calibri" w:cs="Calibri"/>
          <w:noProof/>
          <w:sz w:val="20"/>
          <w:szCs w:val="20"/>
        </w:rPr>
        <w:tab/>
        <w:t>Finnish Clinical Biobank Tampere</w:t>
      </w:r>
      <w:r w:rsidRPr="00CA348D">
        <w:rPr>
          <w:rFonts w:ascii="Calibri" w:eastAsia="Calibri" w:hAnsi="Calibri" w:cs="Calibri"/>
          <w:b/>
          <w:noProof/>
          <w:sz w:val="20"/>
          <w:szCs w:val="20"/>
        </w:rPr>
        <w:t xml:space="preserve"> / </w:t>
      </w:r>
      <w:r w:rsidRPr="00CA348D">
        <w:rPr>
          <w:rFonts w:ascii="Calibri" w:eastAsia="Calibri" w:hAnsi="Calibri" w:cs="Calibri"/>
          <w:noProof/>
          <w:sz w:val="20"/>
          <w:szCs w:val="20"/>
        </w:rPr>
        <w:t>University of Tampere / Pirkanmaa Hospital District, Tampere, Finland</w:t>
      </w:r>
    </w:p>
    <w:p w:rsidR="00CA348D" w:rsidRPr="00CA348D" w:rsidRDefault="00CA348D" w:rsidP="00633AC2">
      <w:pPr>
        <w:spacing w:line="240" w:lineRule="exact"/>
        <w:ind w:left="2552" w:hanging="2552"/>
        <w:rPr>
          <w:rFonts w:ascii="Calibri" w:eastAsia="Calibri" w:hAnsi="Calibri" w:cs="Calibri"/>
          <w:b/>
          <w:noProof/>
          <w:sz w:val="20"/>
          <w:szCs w:val="20"/>
        </w:rPr>
      </w:pPr>
      <w:r w:rsidRPr="00CA348D">
        <w:rPr>
          <w:rFonts w:ascii="Calibri" w:eastAsia="Calibri" w:hAnsi="Calibri" w:cs="Calibri"/>
          <w:noProof/>
          <w:sz w:val="20"/>
          <w:szCs w:val="20"/>
        </w:rPr>
        <w:t xml:space="preserve">Veli-Matti Kosma </w:t>
      </w:r>
      <w:r w:rsidRPr="00CA348D">
        <w:rPr>
          <w:rFonts w:ascii="Calibri" w:eastAsia="Calibri" w:hAnsi="Calibri" w:cs="Calibri"/>
          <w:noProof/>
          <w:sz w:val="20"/>
          <w:szCs w:val="20"/>
        </w:rPr>
        <w:tab/>
        <w:t>Biobank of Eastern Finland / University of Eastern Finland / Northern Savo Hospital District, Kuopio,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Urho Kujala </w:t>
      </w:r>
      <w:r w:rsidRPr="00CA348D">
        <w:rPr>
          <w:rFonts w:ascii="Calibri" w:eastAsia="Calibri" w:hAnsi="Calibri" w:cs="Calibri"/>
          <w:noProof/>
          <w:sz w:val="20"/>
          <w:szCs w:val="20"/>
        </w:rPr>
        <w:tab/>
        <w:t>Central Finland Biobank /</w:t>
      </w:r>
      <w:r w:rsidRPr="00CA348D">
        <w:rPr>
          <w:rFonts w:ascii="Calibri" w:eastAsia="Calibri" w:hAnsi="Calibri" w:cs="Calibri"/>
          <w:noProof/>
          <w:color w:val="000000"/>
          <w:sz w:val="20"/>
          <w:szCs w:val="20"/>
        </w:rPr>
        <w:t xml:space="preserve"> University of Jyväskylä / Central Finland Health Care District, Jyväskylä,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 xml:space="preserve">Other Experts/ Non-Voting Members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Outi Tuovila </w:t>
      </w:r>
      <w:r w:rsidRPr="00CA348D">
        <w:rPr>
          <w:rFonts w:ascii="Calibri" w:eastAsia="Calibri" w:hAnsi="Calibri" w:cs="Calibri"/>
          <w:noProof/>
          <w:sz w:val="20"/>
          <w:szCs w:val="20"/>
        </w:rPr>
        <w:tab/>
      </w:r>
      <w:r w:rsidRPr="00CA348D">
        <w:rPr>
          <w:rFonts w:ascii="Calibri" w:eastAsia="Calibri" w:hAnsi="Calibri" w:cs="Calibri"/>
          <w:noProof/>
          <w:sz w:val="20"/>
          <w:szCs w:val="20"/>
        </w:rPr>
        <w:tab/>
        <w:t>Business Finland,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Minna Hendolin </w:t>
      </w:r>
      <w:r w:rsidRPr="00CA348D">
        <w:rPr>
          <w:rFonts w:ascii="Calibri" w:eastAsia="Calibri" w:hAnsi="Calibri" w:cs="Calibri"/>
          <w:noProof/>
          <w:sz w:val="20"/>
          <w:szCs w:val="20"/>
        </w:rPr>
        <w:tab/>
      </w:r>
      <w:r w:rsidRPr="00CA348D">
        <w:rPr>
          <w:rFonts w:ascii="Calibri" w:eastAsia="Calibri" w:hAnsi="Calibri" w:cs="Calibri"/>
          <w:noProof/>
          <w:sz w:val="20"/>
          <w:szCs w:val="20"/>
        </w:rPr>
        <w:tab/>
        <w:t>Business Finland,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Raimo Pakkanen </w:t>
      </w:r>
      <w:r w:rsidRPr="00CA348D">
        <w:rPr>
          <w:rFonts w:ascii="Calibri" w:eastAsia="Calibri" w:hAnsi="Calibri" w:cs="Calibri"/>
          <w:noProof/>
          <w:sz w:val="20"/>
          <w:szCs w:val="20"/>
        </w:rPr>
        <w:tab/>
      </w:r>
      <w:r w:rsidRPr="00CA348D">
        <w:rPr>
          <w:rFonts w:ascii="Calibri" w:eastAsia="Calibri" w:hAnsi="Calibri" w:cs="Calibri"/>
          <w:noProof/>
          <w:sz w:val="20"/>
          <w:szCs w:val="20"/>
        </w:rPr>
        <w:tab/>
        <w:t>Business Finland,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keepNext/>
        <w:keepLines/>
        <w:spacing w:line="240" w:lineRule="exact"/>
        <w:outlineLvl w:val="0"/>
        <w:rPr>
          <w:rFonts w:ascii="Calibri" w:hAnsi="Calibri" w:cs="Calibri"/>
          <w:b/>
          <w:noProof/>
          <w:color w:val="0033CC"/>
          <w:sz w:val="20"/>
          <w:szCs w:val="20"/>
        </w:rPr>
      </w:pPr>
      <w:r w:rsidRPr="00CA348D">
        <w:rPr>
          <w:rFonts w:ascii="Calibri" w:hAnsi="Calibri" w:cs="Calibri"/>
          <w:b/>
          <w:noProof/>
          <w:color w:val="0033CC"/>
          <w:sz w:val="20"/>
          <w:szCs w:val="20"/>
        </w:rPr>
        <w:t>Scientific Committee</w:t>
      </w: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Pharmaceutical companies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Jeff Waring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Abbvie, Chicago, IL, United States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Bridget Riley-Gillis</w:t>
      </w:r>
      <w:r w:rsidRPr="00CA348D">
        <w:rPr>
          <w:rFonts w:ascii="Calibri" w:eastAsia="Calibri" w:hAnsi="Calibri" w:cs="Calibri"/>
          <w:noProof/>
          <w:sz w:val="20"/>
          <w:szCs w:val="20"/>
        </w:rPr>
        <w:tab/>
      </w:r>
      <w:r w:rsidR="00F436F5">
        <w:rPr>
          <w:rFonts w:ascii="Calibri" w:eastAsia="Calibri" w:hAnsi="Calibri" w:cs="Calibri"/>
          <w:noProof/>
          <w:sz w:val="20"/>
          <w:szCs w:val="20"/>
        </w:rPr>
        <w:tab/>
      </w:r>
      <w:r w:rsidRPr="00CA348D">
        <w:rPr>
          <w:rFonts w:ascii="Calibri" w:eastAsia="Calibri" w:hAnsi="Calibri" w:cs="Calibri"/>
          <w:noProof/>
          <w:sz w:val="20"/>
          <w:szCs w:val="20"/>
        </w:rPr>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Athena Matakidou</w:t>
      </w:r>
      <w:r w:rsidRPr="00CA348D">
        <w:rPr>
          <w:rFonts w:ascii="Calibri" w:eastAsia="Calibri" w:hAnsi="Calibri" w:cs="Calibri"/>
          <w:noProof/>
          <w:sz w:val="20"/>
          <w:szCs w:val="20"/>
        </w:rPr>
        <w:tab/>
      </w:r>
      <w:r w:rsidR="00F436F5">
        <w:rPr>
          <w:rFonts w:ascii="Calibri" w:eastAsia="Calibri" w:hAnsi="Calibri" w:cs="Calibri"/>
          <w:noProof/>
          <w:sz w:val="20"/>
          <w:szCs w:val="20"/>
        </w:rPr>
        <w:tab/>
      </w:r>
      <w:r w:rsidRPr="00CA348D">
        <w:rPr>
          <w:rFonts w:ascii="Calibri" w:eastAsia="Calibri" w:hAnsi="Calibri" w:cs="Calibri"/>
          <w:noProof/>
          <w:sz w:val="20"/>
          <w:szCs w:val="20"/>
        </w:rPr>
        <w:t>Astra Zeneca, Cambridge,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Heiko Runz</w:t>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Jimmy Liu</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F436F5">
        <w:rPr>
          <w:rFonts w:ascii="Calibri" w:eastAsia="Calibri" w:hAnsi="Calibri" w:cs="Calibri"/>
          <w:noProof/>
          <w:sz w:val="20"/>
          <w:szCs w:val="20"/>
        </w:rPr>
        <w:tab/>
      </w:r>
      <w:r w:rsidRPr="00CA348D">
        <w:rPr>
          <w:rFonts w:ascii="Calibri" w:eastAsia="Calibri" w:hAnsi="Calibri" w:cs="Calibri"/>
          <w:noProof/>
          <w:sz w:val="20"/>
          <w:szCs w:val="20"/>
        </w:rPr>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Shameek Biswas</w:t>
      </w:r>
      <w:r w:rsidRPr="00CA348D">
        <w:rPr>
          <w:rFonts w:ascii="Calibri" w:eastAsia="Calibri" w:hAnsi="Calibri" w:cs="Calibri"/>
          <w:noProof/>
          <w:sz w:val="20"/>
          <w:szCs w:val="20"/>
        </w:rPr>
        <w:tab/>
      </w:r>
      <w:r w:rsidRPr="00CA348D">
        <w:rPr>
          <w:rFonts w:ascii="Calibri" w:eastAsia="Calibri" w:hAnsi="Calibri" w:cs="Calibri"/>
          <w:noProof/>
          <w:sz w:val="20"/>
          <w:szCs w:val="20"/>
        </w:rPr>
        <w:tab/>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Julie Hunkapiller </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Dawn Waterworth</w:t>
      </w:r>
      <w:r w:rsidRPr="00CA348D">
        <w:rPr>
          <w:rFonts w:ascii="Calibri" w:eastAsia="Calibri" w:hAnsi="Calibri" w:cs="Calibri"/>
          <w:noProof/>
          <w:sz w:val="20"/>
          <w:szCs w:val="20"/>
        </w:rPr>
        <w:tab/>
      </w:r>
      <w:r w:rsidR="00F436F5">
        <w:rPr>
          <w:rFonts w:ascii="Calibri" w:eastAsia="Calibri" w:hAnsi="Calibri" w:cs="Calibri"/>
          <w:noProof/>
          <w:sz w:val="20"/>
          <w:szCs w:val="20"/>
        </w:rPr>
        <w:tab/>
      </w:r>
      <w:r w:rsidRPr="00CA348D">
        <w:rPr>
          <w:rFonts w:ascii="Calibri" w:eastAsia="Calibri" w:hAnsi="Calibri" w:cs="Calibri"/>
          <w:noProof/>
          <w:sz w:val="20"/>
          <w:szCs w:val="20"/>
        </w:rPr>
        <w:t>GlaxoSmithKline, Brentford,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Meg Ehm</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F436F5">
        <w:rPr>
          <w:rFonts w:ascii="Calibri" w:eastAsia="Calibri" w:hAnsi="Calibri" w:cs="Calibri"/>
          <w:noProof/>
          <w:sz w:val="20"/>
          <w:szCs w:val="20"/>
        </w:rPr>
        <w:tab/>
      </w:r>
      <w:r w:rsidRPr="00CA348D">
        <w:rPr>
          <w:rFonts w:ascii="Calibri" w:eastAsia="Calibri" w:hAnsi="Calibri" w:cs="Calibri"/>
          <w:noProof/>
          <w:sz w:val="20"/>
          <w:szCs w:val="20"/>
        </w:rPr>
        <w:t xml:space="preserve">GlaxoSmithKline, Brentford, United Kingdom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Dorothee Diogo</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Caroline Fox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Anders Malarstig</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Catherine Marshall</w:t>
      </w:r>
      <w:r w:rsidRPr="00CA348D">
        <w:rPr>
          <w:rFonts w:ascii="Calibri" w:eastAsia="Calibri" w:hAnsi="Calibri" w:cs="Calibri"/>
          <w:noProof/>
          <w:sz w:val="20"/>
          <w:szCs w:val="20"/>
        </w:rPr>
        <w:tab/>
      </w:r>
      <w:r w:rsidR="00F436F5">
        <w:rPr>
          <w:rFonts w:ascii="Calibri" w:eastAsia="Calibri" w:hAnsi="Calibri" w:cs="Calibri"/>
          <w:noProof/>
          <w:sz w:val="20"/>
          <w:szCs w:val="20"/>
        </w:rPr>
        <w:tab/>
      </w:r>
      <w:r w:rsidRPr="00CA348D">
        <w:rPr>
          <w:rFonts w:ascii="Calibri" w:eastAsia="Calibri" w:hAnsi="Calibri" w:cs="Calibri"/>
          <w:noProof/>
          <w:sz w:val="20"/>
          <w:szCs w:val="20"/>
        </w:rPr>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Xinli Hu </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Kathy Call</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F436F5">
        <w:rPr>
          <w:rFonts w:ascii="Calibri" w:eastAsia="Calibri" w:hAnsi="Calibri" w:cs="Calibri"/>
          <w:noProof/>
          <w:sz w:val="20"/>
          <w:szCs w:val="20"/>
        </w:rPr>
        <w:tab/>
      </w:r>
      <w:r w:rsidRPr="00CA348D">
        <w:rPr>
          <w:rFonts w:ascii="Calibri" w:eastAsia="Calibri" w:hAnsi="Calibri" w:cs="Calibri"/>
          <w:noProof/>
          <w:sz w:val="20"/>
          <w:szCs w:val="20"/>
        </w:rPr>
        <w:t>Sanofi, Paris, France</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Kathy Klinger</w:t>
      </w:r>
      <w:r w:rsidRPr="00CA348D">
        <w:rPr>
          <w:rFonts w:ascii="Calibri" w:eastAsia="Calibri" w:hAnsi="Calibri" w:cs="Calibri"/>
          <w:noProof/>
          <w:sz w:val="20"/>
          <w:szCs w:val="20"/>
        </w:rPr>
        <w:tab/>
      </w:r>
      <w:r w:rsidRPr="00CA348D">
        <w:rPr>
          <w:rFonts w:ascii="Calibri" w:eastAsia="Calibri" w:hAnsi="Calibri" w:cs="Calibri"/>
          <w:noProof/>
          <w:sz w:val="20"/>
          <w:szCs w:val="20"/>
        </w:rPr>
        <w:tab/>
        <w:t>Sanofi, Paris, France</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Matthias Gossel</w:t>
      </w:r>
      <w:r w:rsidRPr="00CA348D">
        <w:rPr>
          <w:rFonts w:ascii="Calibri" w:eastAsia="Calibri" w:hAnsi="Calibri" w:cs="Calibri"/>
          <w:noProof/>
          <w:sz w:val="20"/>
          <w:szCs w:val="20"/>
        </w:rPr>
        <w:tab/>
      </w:r>
      <w:r w:rsidRPr="00CA348D">
        <w:rPr>
          <w:rFonts w:ascii="Calibri" w:eastAsia="Calibri" w:hAnsi="Calibri" w:cs="Calibri"/>
          <w:noProof/>
          <w:sz w:val="20"/>
          <w:szCs w:val="20"/>
        </w:rPr>
        <w:tab/>
        <w:t>Sanofi, Paris, France</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lastRenderedPageBreak/>
        <w:t>University of Helsinki &amp; Biobanks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Samuli Ripatti</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Helsinki, Finland</w:t>
      </w:r>
    </w:p>
    <w:p w:rsidR="00CA348D" w:rsidRPr="00CA348D" w:rsidRDefault="00CA348D" w:rsidP="00633AC2">
      <w:pPr>
        <w:spacing w:line="240" w:lineRule="exact"/>
        <w:ind w:left="2552" w:hanging="32"/>
        <w:rPr>
          <w:rFonts w:ascii="Calibri" w:eastAsia="Calibri" w:hAnsi="Calibri" w:cs="Calibri"/>
          <w:noProof/>
          <w:sz w:val="20"/>
          <w:szCs w:val="20"/>
        </w:rPr>
      </w:pPr>
      <w:r w:rsidRPr="00CA348D">
        <w:rPr>
          <w:rFonts w:ascii="Calibri" w:eastAsia="Calibri" w:hAnsi="Calibri" w:cs="Calibri"/>
          <w:noProof/>
          <w:sz w:val="20"/>
          <w:szCs w:val="20"/>
        </w:rPr>
        <w:t xml:space="preserve">Johanna Schleutker </w:t>
      </w:r>
      <w:r w:rsidRPr="00CA348D">
        <w:rPr>
          <w:rFonts w:ascii="Calibri" w:eastAsia="Calibri" w:hAnsi="Calibri" w:cs="Calibri"/>
          <w:noProof/>
          <w:sz w:val="20"/>
          <w:szCs w:val="20"/>
        </w:rPr>
        <w:tab/>
        <w:t>Auria Biobank / Univ. of Turku / 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Markus Perola </w:t>
      </w:r>
      <w:r w:rsidRPr="00CA348D">
        <w:rPr>
          <w:rFonts w:ascii="Calibri" w:eastAsia="Calibri" w:hAnsi="Calibri" w:cs="Calibri"/>
          <w:noProof/>
          <w:sz w:val="20"/>
          <w:szCs w:val="20"/>
        </w:rPr>
        <w:tab/>
      </w:r>
      <w:r w:rsidRPr="00CA348D">
        <w:rPr>
          <w:rFonts w:ascii="Calibri" w:eastAsia="Calibri" w:hAnsi="Calibri" w:cs="Calibri"/>
          <w:noProof/>
          <w:sz w:val="20"/>
          <w:szCs w:val="20"/>
        </w:rPr>
        <w:tab/>
        <w:t>THL Biobank / The National Institute of Health and Welfare Helsinki,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Mikko Arvas</w:t>
      </w:r>
      <w:r w:rsidRPr="00CA348D">
        <w:rPr>
          <w:rFonts w:ascii="Calibri" w:eastAsia="Calibri" w:hAnsi="Calibri" w:cs="Calibri"/>
          <w:noProof/>
          <w:sz w:val="20"/>
          <w:szCs w:val="20"/>
        </w:rPr>
        <w:tab/>
        <w:t>Finnish Red Cross Blood Service / Finnish Hematology Registry and Clinical Biobank,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Olli Carpen</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Reetta Hinttala</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Johannes Kettunen</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b/>
          <w:noProof/>
          <w:sz w:val="20"/>
          <w:szCs w:val="20"/>
        </w:rPr>
      </w:pPr>
      <w:r w:rsidRPr="00CA348D">
        <w:rPr>
          <w:rFonts w:ascii="Calibri" w:eastAsia="Calibri" w:hAnsi="Calibri" w:cs="Calibri"/>
          <w:noProof/>
          <w:sz w:val="20"/>
          <w:szCs w:val="20"/>
        </w:rPr>
        <w:t xml:space="preserve">Reijo Laaksonen </w:t>
      </w:r>
      <w:r w:rsidRPr="00CA348D">
        <w:rPr>
          <w:rFonts w:ascii="Calibri" w:eastAsia="Calibri" w:hAnsi="Calibri" w:cs="Calibri"/>
          <w:noProof/>
          <w:sz w:val="20"/>
          <w:szCs w:val="20"/>
        </w:rPr>
        <w:tab/>
        <w:t>Finnish Clinical Biobank Tampere</w:t>
      </w:r>
      <w:r w:rsidRPr="00CA348D">
        <w:rPr>
          <w:rFonts w:ascii="Calibri" w:eastAsia="Calibri" w:hAnsi="Calibri" w:cs="Calibri"/>
          <w:b/>
          <w:noProof/>
          <w:sz w:val="20"/>
          <w:szCs w:val="20"/>
        </w:rPr>
        <w:t xml:space="preserve"> / </w:t>
      </w:r>
      <w:r w:rsidRPr="00CA348D">
        <w:rPr>
          <w:rFonts w:ascii="Calibri" w:eastAsia="Calibri" w:hAnsi="Calibri" w:cs="Calibri"/>
          <w:noProof/>
          <w:sz w:val="20"/>
          <w:szCs w:val="20"/>
        </w:rPr>
        <w:t>University of Tampere / Pirkanmaa Hospital District, Tampere,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Arto Mannermaa</w:t>
      </w:r>
      <w:r w:rsidRPr="00CA348D">
        <w:rPr>
          <w:rFonts w:ascii="Calibri" w:eastAsia="Calibri" w:hAnsi="Calibri" w:cs="Calibri"/>
          <w:noProof/>
          <w:sz w:val="20"/>
          <w:szCs w:val="20"/>
        </w:rPr>
        <w:tab/>
        <w:t>Biobank of Eastern Finland / University of Eastern Finland / Northern Savo Hospital District, Kuopio,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Juha Paloneva</w:t>
      </w:r>
      <w:r w:rsidRPr="00CA348D">
        <w:rPr>
          <w:rFonts w:ascii="Calibri" w:eastAsia="Calibri" w:hAnsi="Calibri" w:cs="Calibri"/>
          <w:noProof/>
          <w:sz w:val="20"/>
          <w:szCs w:val="20"/>
        </w:rPr>
        <w:tab/>
        <w:t>Central Finland Biobank /</w:t>
      </w:r>
      <w:r w:rsidRPr="00CA348D">
        <w:rPr>
          <w:rFonts w:ascii="Calibri" w:eastAsia="Calibri" w:hAnsi="Calibri" w:cs="Calibri"/>
          <w:noProof/>
          <w:color w:val="000000"/>
          <w:sz w:val="20"/>
          <w:szCs w:val="20"/>
        </w:rPr>
        <w:t xml:space="preserve"> University of Jyväskylä / Central Finland Health Care District, Jyväskylä,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Urho Kujala</w:t>
      </w:r>
      <w:r w:rsidRPr="00CA348D">
        <w:rPr>
          <w:rFonts w:ascii="Calibri" w:eastAsia="Calibri" w:hAnsi="Calibri" w:cs="Calibri"/>
          <w:noProof/>
          <w:sz w:val="20"/>
          <w:szCs w:val="20"/>
        </w:rPr>
        <w:tab/>
        <w:t>Central Finland Biobank /</w:t>
      </w:r>
      <w:r w:rsidRPr="00CA348D">
        <w:rPr>
          <w:rFonts w:ascii="Calibri" w:eastAsia="Calibri" w:hAnsi="Calibri" w:cs="Calibri"/>
          <w:noProof/>
          <w:color w:val="000000"/>
          <w:sz w:val="20"/>
          <w:szCs w:val="20"/>
        </w:rPr>
        <w:t xml:space="preserve"> University of Jyväskylä / Central Finland Health Care District, Jyväskylä,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 xml:space="preserve">Other Experts/ Non-Voting Members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Outi Tuovila</w:t>
      </w:r>
      <w:r w:rsidRPr="00CA348D">
        <w:rPr>
          <w:rFonts w:ascii="Calibri" w:eastAsia="Calibri" w:hAnsi="Calibri" w:cs="Calibri"/>
          <w:noProof/>
          <w:sz w:val="20"/>
          <w:szCs w:val="20"/>
        </w:rPr>
        <w:tab/>
      </w:r>
      <w:r w:rsidRPr="00CA348D">
        <w:rPr>
          <w:rFonts w:ascii="Calibri" w:eastAsia="Calibri" w:hAnsi="Calibri" w:cs="Calibri"/>
          <w:noProof/>
          <w:sz w:val="20"/>
          <w:szCs w:val="20"/>
        </w:rPr>
        <w:tab/>
        <w:t>Business Finland,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Minna Hendolin </w:t>
      </w:r>
      <w:r w:rsidRPr="00CA348D">
        <w:rPr>
          <w:rFonts w:ascii="Calibri" w:eastAsia="Calibri" w:hAnsi="Calibri" w:cs="Calibri"/>
          <w:noProof/>
          <w:sz w:val="20"/>
          <w:szCs w:val="20"/>
        </w:rPr>
        <w:tab/>
      </w:r>
      <w:r w:rsidRPr="00CA348D">
        <w:rPr>
          <w:rFonts w:ascii="Calibri" w:eastAsia="Calibri" w:hAnsi="Calibri" w:cs="Calibri"/>
          <w:noProof/>
          <w:sz w:val="20"/>
          <w:szCs w:val="20"/>
        </w:rPr>
        <w:tab/>
        <w:t>Business Finland,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Raimo Pakkanen </w:t>
      </w:r>
      <w:r w:rsidRPr="00CA348D">
        <w:rPr>
          <w:rFonts w:ascii="Calibri" w:eastAsia="Calibri" w:hAnsi="Calibri" w:cs="Calibri"/>
          <w:noProof/>
          <w:sz w:val="20"/>
          <w:szCs w:val="20"/>
        </w:rPr>
        <w:tab/>
      </w:r>
      <w:r w:rsidRPr="00CA348D">
        <w:rPr>
          <w:rFonts w:ascii="Calibri" w:eastAsia="Calibri" w:hAnsi="Calibri" w:cs="Calibri"/>
          <w:noProof/>
          <w:sz w:val="20"/>
          <w:szCs w:val="20"/>
        </w:rPr>
        <w:tab/>
        <w:t>Business Finland, Helsinki, Finland</w:t>
      </w:r>
    </w:p>
    <w:p w:rsidR="00962694" w:rsidRDefault="00962694" w:rsidP="00962694">
      <w:pPr>
        <w:spacing w:line="240" w:lineRule="exact"/>
        <w:rPr>
          <w:rFonts w:ascii="Calibri" w:eastAsia="Calibri" w:hAnsi="Calibri" w:cs="Calibri"/>
          <w:noProof/>
          <w:sz w:val="20"/>
          <w:szCs w:val="20"/>
        </w:rPr>
      </w:pPr>
    </w:p>
    <w:p w:rsidR="00CA348D" w:rsidRPr="00962694" w:rsidRDefault="00CA348D" w:rsidP="00962694">
      <w:pPr>
        <w:spacing w:line="240" w:lineRule="exact"/>
        <w:rPr>
          <w:rFonts w:ascii="Calibri" w:eastAsia="Calibri" w:hAnsi="Calibri" w:cs="Calibri"/>
          <w:noProof/>
          <w:sz w:val="20"/>
          <w:szCs w:val="20"/>
        </w:rPr>
      </w:pPr>
      <w:r w:rsidRPr="00CA348D">
        <w:rPr>
          <w:rFonts w:ascii="Calibri" w:hAnsi="Calibri" w:cs="Calibri"/>
          <w:b/>
          <w:noProof/>
          <w:color w:val="0033CC"/>
          <w:sz w:val="20"/>
          <w:szCs w:val="20"/>
        </w:rPr>
        <w:t>Clinical Groups</w:t>
      </w: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Neurology Group</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Hilkka Soininen</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Valtteri Julkunen</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Anne Remes</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Reetta Kälviäinen</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Mikko Hiltunen</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Jukka Peltola</w:t>
      </w:r>
      <w:r w:rsidRPr="00CA348D">
        <w:rPr>
          <w:rFonts w:ascii="Calibri" w:eastAsia="Calibri" w:hAnsi="Calibri" w:cs="Calibri"/>
          <w:noProof/>
          <w:sz w:val="20"/>
          <w:szCs w:val="20"/>
        </w:rPr>
        <w:tab/>
      </w:r>
      <w:r w:rsidRPr="00CA348D">
        <w:rPr>
          <w:rFonts w:ascii="Calibri" w:eastAsia="Calibri" w:hAnsi="Calibri" w:cs="Calibri"/>
          <w:noProof/>
          <w:sz w:val="20"/>
          <w:szCs w:val="20"/>
        </w:rPr>
        <w:tab/>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Pentti Tienari</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Juha Rinne </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Adam Ziemann</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Jeffrey Waring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Sahar Esmaeeli</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Nizar Smaoui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Anne Lehtonen</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Susan Eaton</w:t>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Heiko Runz</w:t>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Sanni Lahdenperä</w:t>
      </w:r>
      <w:r w:rsidRPr="00CA348D">
        <w:rPr>
          <w:rFonts w:ascii="Calibri" w:eastAsia="Calibri" w:hAnsi="Calibri" w:cs="Calibri"/>
          <w:noProof/>
          <w:sz w:val="20"/>
          <w:szCs w:val="20"/>
        </w:rPr>
        <w:tab/>
      </w:r>
      <w:r w:rsidR="00171BD8">
        <w:rPr>
          <w:rFonts w:ascii="Calibri" w:eastAsia="Calibri" w:hAnsi="Calibri" w:cs="Calibri"/>
          <w:noProof/>
          <w:sz w:val="20"/>
          <w:szCs w:val="20"/>
        </w:rPr>
        <w:tab/>
      </w:r>
      <w:r w:rsidRPr="00CA348D">
        <w:rPr>
          <w:rFonts w:ascii="Calibri" w:eastAsia="Calibri" w:hAnsi="Calibri" w:cs="Calibri"/>
          <w:noProof/>
          <w:sz w:val="20"/>
          <w:szCs w:val="20"/>
        </w:rPr>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Shameek Biswas</w:t>
      </w:r>
      <w:r w:rsidRPr="00CA348D">
        <w:rPr>
          <w:rFonts w:ascii="Calibri" w:eastAsia="Calibri" w:hAnsi="Calibri" w:cs="Calibri"/>
          <w:noProof/>
          <w:sz w:val="20"/>
          <w:szCs w:val="20"/>
        </w:rPr>
        <w:tab/>
      </w:r>
      <w:r w:rsidRPr="00CA348D">
        <w:rPr>
          <w:rFonts w:ascii="Calibri" w:eastAsia="Calibri" w:hAnsi="Calibri" w:cs="Calibri"/>
          <w:noProof/>
          <w:sz w:val="20"/>
          <w:szCs w:val="20"/>
        </w:rPr>
        <w:tab/>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Michon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Geoff Kerchner</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Julie Hunkapiller</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Natalie Bowers</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Edmond Teng</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Eicher</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Vinay Mehta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Padhraig Gormley</w:t>
      </w:r>
      <w:r w:rsidRPr="00CA348D">
        <w:rPr>
          <w:rFonts w:ascii="Calibri" w:eastAsia="Calibri" w:hAnsi="Calibri" w:cs="Calibri"/>
          <w:noProof/>
          <w:sz w:val="20"/>
          <w:szCs w:val="20"/>
        </w:rPr>
        <w:tab/>
      </w:r>
      <w:r w:rsidR="00171BD8">
        <w:rPr>
          <w:rFonts w:ascii="Calibri" w:eastAsia="Calibri" w:hAnsi="Calibri" w:cs="Calibri"/>
          <w:noProof/>
          <w:sz w:val="20"/>
          <w:szCs w:val="20"/>
        </w:rPr>
        <w:tab/>
      </w:r>
      <w:r w:rsidRPr="00CA348D">
        <w:rPr>
          <w:rFonts w:ascii="Calibri" w:eastAsia="Calibri" w:hAnsi="Calibri" w:cs="Calibri"/>
          <w:noProof/>
          <w:sz w:val="20"/>
          <w:szCs w:val="20"/>
        </w:rPr>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Kari Linden</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Christopher Whelan </w:t>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Fanli Xu</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David Pulford</w:t>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lastRenderedPageBreak/>
        <w:t>Gastroenterology Group</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Martti Färkkilä</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ind w:left="1680" w:firstLine="840"/>
        <w:rPr>
          <w:rFonts w:ascii="Calibri" w:eastAsia="Calibri" w:hAnsi="Calibri" w:cs="Calibri"/>
          <w:noProof/>
          <w:sz w:val="20"/>
          <w:szCs w:val="20"/>
        </w:rPr>
      </w:pPr>
      <w:r w:rsidRPr="00CA348D">
        <w:rPr>
          <w:rFonts w:ascii="Calibri" w:eastAsia="Calibri" w:hAnsi="Calibri" w:cs="Calibri"/>
          <w:noProof/>
          <w:sz w:val="20"/>
          <w:szCs w:val="20"/>
        </w:rPr>
        <w:t>Sampsa Pikkarainen</w:t>
      </w:r>
      <w:r w:rsidRPr="00CA348D">
        <w:rPr>
          <w:rFonts w:ascii="Calibri" w:eastAsia="Calibri" w:hAnsi="Calibri" w:cs="Calibri"/>
          <w:noProof/>
          <w:sz w:val="20"/>
          <w:szCs w:val="20"/>
        </w:rPr>
        <w:tab/>
        <w:t xml:space="preserve">Hospital District of Helsinki and Uusimaa,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Airi Jussila</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171BD8">
        <w:rPr>
          <w:rFonts w:ascii="Calibri" w:eastAsia="Calibri" w:hAnsi="Calibri" w:cs="Calibri"/>
          <w:noProof/>
          <w:sz w:val="20"/>
          <w:szCs w:val="20"/>
        </w:rPr>
        <w:tab/>
      </w:r>
      <w:r w:rsidRPr="00CA348D">
        <w:rPr>
          <w:rFonts w:ascii="Calibri" w:eastAsia="Calibri" w:hAnsi="Calibri" w:cs="Calibri"/>
          <w:noProof/>
          <w:sz w:val="20"/>
          <w:szCs w:val="20"/>
        </w:rPr>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Timo Blomster</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Mikko Kiviniemi</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ind w:left="1680" w:firstLine="840"/>
        <w:rPr>
          <w:rFonts w:ascii="Calibri" w:eastAsia="Calibri" w:hAnsi="Calibri" w:cs="Calibri"/>
          <w:noProof/>
          <w:sz w:val="20"/>
          <w:szCs w:val="20"/>
        </w:rPr>
      </w:pPr>
      <w:r w:rsidRPr="00CA348D">
        <w:rPr>
          <w:rFonts w:ascii="Calibri" w:eastAsia="Calibri" w:hAnsi="Calibri" w:cs="Calibri"/>
          <w:noProof/>
          <w:sz w:val="20"/>
          <w:szCs w:val="20"/>
        </w:rPr>
        <w:t>Markku Voutilainen</w:t>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Bob Georgantas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Graham Heap</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Jeffrey Waring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Nizar Smaoui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Fedik Rahimov</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Anne Lehtonen</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Keith Usiskin</w:t>
      </w:r>
      <w:r w:rsidRPr="00CA348D">
        <w:rPr>
          <w:rFonts w:ascii="Calibri" w:eastAsia="Calibri" w:hAnsi="Calibri" w:cs="Calibri"/>
          <w:noProof/>
          <w:sz w:val="20"/>
          <w:szCs w:val="20"/>
        </w:rPr>
        <w:tab/>
      </w:r>
      <w:r w:rsidRPr="00CA348D">
        <w:rPr>
          <w:rFonts w:ascii="Calibri" w:eastAsia="Calibri" w:hAnsi="Calibri" w:cs="Calibri"/>
          <w:noProof/>
          <w:sz w:val="20"/>
          <w:szCs w:val="20"/>
        </w:rPr>
        <w:tab/>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Joseph Maranville</w:t>
      </w:r>
      <w:r w:rsidRPr="00CA348D">
        <w:rPr>
          <w:rFonts w:ascii="Calibri" w:eastAsia="Calibri" w:hAnsi="Calibri" w:cs="Calibri"/>
          <w:noProof/>
          <w:sz w:val="20"/>
          <w:szCs w:val="20"/>
        </w:rPr>
        <w:tab/>
      </w:r>
      <w:r w:rsidR="00171BD8">
        <w:rPr>
          <w:rFonts w:ascii="Calibri" w:eastAsia="Calibri" w:hAnsi="Calibri" w:cs="Calibri"/>
          <w:noProof/>
          <w:sz w:val="20"/>
          <w:szCs w:val="20"/>
        </w:rPr>
        <w:tab/>
      </w:r>
      <w:r w:rsidRPr="00CA348D">
        <w:rPr>
          <w:rFonts w:ascii="Calibri" w:eastAsia="Calibri" w:hAnsi="Calibri" w:cs="Calibri"/>
          <w:noProof/>
          <w:sz w:val="20"/>
          <w:szCs w:val="20"/>
        </w:rPr>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Tim Lu</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Natalie Bowers</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Danny Oh</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171BD8">
        <w:rPr>
          <w:rFonts w:ascii="Calibri" w:eastAsia="Calibri" w:hAnsi="Calibri" w:cs="Calibri"/>
          <w:noProof/>
          <w:sz w:val="20"/>
          <w:szCs w:val="20"/>
        </w:rPr>
        <w:tab/>
      </w:r>
      <w:r w:rsidRPr="00CA348D">
        <w:rPr>
          <w:rFonts w:ascii="Calibri" w:eastAsia="Calibri" w:hAnsi="Calibri" w:cs="Calibri"/>
          <w:noProof/>
          <w:sz w:val="20"/>
          <w:szCs w:val="20"/>
        </w:rPr>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Michon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Vinay Mehta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Kirsi Kalpala </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Melissa Miller</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Xinli Hu</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Linda McCarthy</w:t>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b/>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Rheumatology Group</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Kari Eklund</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Antti Palomäki</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Pia Isomäki</w:t>
      </w:r>
      <w:r w:rsidRPr="00CA348D">
        <w:rPr>
          <w:rFonts w:ascii="Calibri" w:eastAsia="Calibri" w:hAnsi="Calibri" w:cs="Calibri"/>
          <w:noProof/>
          <w:sz w:val="20"/>
          <w:szCs w:val="20"/>
        </w:rPr>
        <w:tab/>
      </w:r>
      <w:r w:rsidRPr="00CA348D">
        <w:rPr>
          <w:rFonts w:ascii="Calibri" w:eastAsia="Calibri" w:hAnsi="Calibri" w:cs="Calibri"/>
          <w:noProof/>
          <w:sz w:val="20"/>
          <w:szCs w:val="20"/>
        </w:rPr>
        <w:tab/>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Laura Pirilä</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Oili Kaipiainen-Seppänen </w:t>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Johanna Huhtakangas</w:t>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Bob Georgantas</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Jeffrey Waring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Fedik Rahimov</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ind w:left="2520"/>
        <w:rPr>
          <w:rFonts w:ascii="Calibri" w:eastAsia="Calibri" w:hAnsi="Calibri" w:cs="Calibri"/>
          <w:noProof/>
          <w:sz w:val="20"/>
          <w:szCs w:val="20"/>
        </w:rPr>
      </w:pPr>
      <w:r w:rsidRPr="00CA348D">
        <w:rPr>
          <w:rFonts w:ascii="Calibri" w:eastAsia="Calibri" w:hAnsi="Calibri" w:cs="Calibri"/>
          <w:noProof/>
          <w:sz w:val="20"/>
          <w:szCs w:val="20"/>
        </w:rPr>
        <w:t>Apinya Lertratanakul</w:t>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Nizar Smaoui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Anne Lehtonen</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David Close</w:t>
      </w:r>
      <w:r w:rsidRPr="00CA348D">
        <w:rPr>
          <w:rFonts w:ascii="Calibri" w:eastAsia="Calibri" w:hAnsi="Calibri" w:cs="Calibri"/>
          <w:noProof/>
          <w:sz w:val="20"/>
          <w:szCs w:val="20"/>
        </w:rPr>
        <w:tab/>
      </w:r>
      <w:r w:rsidRPr="00CA348D">
        <w:rPr>
          <w:rFonts w:ascii="Calibri" w:eastAsia="Calibri" w:hAnsi="Calibri" w:cs="Calibri"/>
          <w:noProof/>
          <w:sz w:val="20"/>
          <w:szCs w:val="20"/>
        </w:rPr>
        <w:tab/>
        <w:t>Astra Zeneca, Cambridge,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Marla Hochfeld</w:t>
      </w:r>
      <w:r w:rsidRPr="00CA348D">
        <w:rPr>
          <w:rFonts w:ascii="Calibri" w:eastAsia="Calibri" w:hAnsi="Calibri" w:cs="Calibri"/>
          <w:noProof/>
          <w:sz w:val="20"/>
          <w:szCs w:val="20"/>
        </w:rPr>
        <w:tab/>
      </w:r>
      <w:r w:rsidRPr="00CA348D">
        <w:rPr>
          <w:rFonts w:ascii="Calibri" w:eastAsia="Calibri" w:hAnsi="Calibri" w:cs="Calibri"/>
          <w:noProof/>
          <w:sz w:val="20"/>
          <w:szCs w:val="20"/>
        </w:rPr>
        <w:tab/>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Natalie Bowers</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Michon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Dorothee Diogo</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Vinay Mehta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Kirsi Kalpala</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Nan Bing</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Xinli Hu</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Jorge Esparza Gordillo</w:t>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Nina Mars</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Institute for Molecular Medicine Finland, HiLIFE,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Pulmonology Group</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Tarja Laitinen</w:t>
      </w:r>
      <w:r w:rsidRPr="00CA348D">
        <w:rPr>
          <w:rFonts w:ascii="Calibri" w:eastAsia="Calibri" w:hAnsi="Calibri" w:cs="Calibri"/>
          <w:noProof/>
          <w:sz w:val="20"/>
          <w:szCs w:val="20"/>
        </w:rPr>
        <w:tab/>
      </w:r>
      <w:r w:rsidRPr="00CA348D">
        <w:rPr>
          <w:rFonts w:ascii="Calibri" w:eastAsia="Calibri" w:hAnsi="Calibri" w:cs="Calibri"/>
          <w:noProof/>
          <w:sz w:val="20"/>
          <w:szCs w:val="20"/>
        </w:rPr>
        <w:tab/>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Margit Pelkonen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Paula Kauppi</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Hannu Kankaanranta</w:t>
      </w:r>
      <w:r w:rsidRPr="00CA348D">
        <w:rPr>
          <w:rFonts w:ascii="Calibri" w:eastAsia="Calibri" w:hAnsi="Calibri" w:cs="Calibri"/>
          <w:noProof/>
          <w:sz w:val="20"/>
          <w:szCs w:val="20"/>
        </w:rPr>
        <w:tab/>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Terttu Harju</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Nizar Smaoui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David Close</w:t>
      </w:r>
      <w:r w:rsidRPr="00CA348D">
        <w:rPr>
          <w:rFonts w:ascii="Calibri" w:eastAsia="Calibri" w:hAnsi="Calibri" w:cs="Calibri"/>
          <w:noProof/>
          <w:sz w:val="20"/>
          <w:szCs w:val="20"/>
        </w:rPr>
        <w:tab/>
      </w:r>
      <w:r w:rsidRPr="00CA348D">
        <w:rPr>
          <w:rFonts w:ascii="Calibri" w:eastAsia="Calibri" w:hAnsi="Calibri" w:cs="Calibri"/>
          <w:noProof/>
          <w:sz w:val="20"/>
          <w:szCs w:val="20"/>
        </w:rPr>
        <w:tab/>
        <w:t>Astra Zeneca, Cambridge,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lastRenderedPageBreak/>
        <w:t>Steven Greenberg</w:t>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Hubert Chen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Natalie Bowers</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Michon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Vinay Mehta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 Betts</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Soumitra Ghosh</w:t>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Cardiometabolic Diseases Group</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Veikko Salomaa</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Teemu Niiranen</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Markus Juonala</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Kaj Metsärinne</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Mika Kähönen</w:t>
      </w:r>
      <w:r w:rsidRPr="00CA348D">
        <w:rPr>
          <w:rFonts w:ascii="Calibri" w:eastAsia="Calibri" w:hAnsi="Calibri" w:cs="Calibri"/>
          <w:noProof/>
          <w:sz w:val="20"/>
          <w:szCs w:val="20"/>
        </w:rPr>
        <w:tab/>
      </w:r>
      <w:r w:rsidRPr="00CA348D">
        <w:rPr>
          <w:rFonts w:ascii="Calibri" w:eastAsia="Calibri" w:hAnsi="Calibri" w:cs="Calibri"/>
          <w:noProof/>
          <w:sz w:val="20"/>
          <w:szCs w:val="20"/>
        </w:rPr>
        <w:tab/>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Juhani Junttila</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Markku Laakso</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Jussi Pihlajamäki</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Juha Sinisalo</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Marja-Riitta Taskinen</w:t>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Tiinamaija Tuomi</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Jari Laukkanen</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color w:val="000000"/>
          <w:sz w:val="20"/>
          <w:szCs w:val="20"/>
        </w:rPr>
        <w:t>Central Finland Health Care District, Jyväskylä,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Ben Challis</w:t>
      </w:r>
      <w:r w:rsidRPr="00CA348D">
        <w:rPr>
          <w:rFonts w:ascii="Calibri" w:eastAsia="Calibri" w:hAnsi="Calibri" w:cs="Calibri"/>
          <w:noProof/>
          <w:sz w:val="20"/>
          <w:szCs w:val="20"/>
        </w:rPr>
        <w:tab/>
      </w:r>
      <w:r w:rsidRPr="00CA348D">
        <w:rPr>
          <w:rFonts w:ascii="Calibri" w:eastAsia="Calibri" w:hAnsi="Calibri" w:cs="Calibri"/>
          <w:noProof/>
          <w:sz w:val="20"/>
          <w:szCs w:val="20"/>
        </w:rPr>
        <w:tab/>
        <w:t>Astra Zeneca, Cambridge,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Andrew Peterson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Julie Hunkapiller</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Natalie Bowers</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Michon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Dorothee Diogo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Audrey Chu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Vinay Mehta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Jaakko Parkkinen  </w:t>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Melissa Miller</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Anthony Muslin</w:t>
      </w:r>
      <w:r w:rsidRPr="00CA348D">
        <w:rPr>
          <w:rFonts w:ascii="Calibri" w:eastAsia="Calibri" w:hAnsi="Calibri" w:cs="Calibri"/>
          <w:noProof/>
          <w:sz w:val="20"/>
          <w:szCs w:val="20"/>
        </w:rPr>
        <w:tab/>
      </w:r>
      <w:r w:rsidRPr="00CA348D">
        <w:rPr>
          <w:rFonts w:ascii="Calibri" w:eastAsia="Calibri" w:hAnsi="Calibri" w:cs="Calibri"/>
          <w:noProof/>
          <w:sz w:val="20"/>
          <w:szCs w:val="20"/>
        </w:rPr>
        <w:tab/>
        <w:t>Sanofi, Paris, France</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Dawn Waterworth</w:t>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GlaxoSmithKline, Brentford,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b/>
      </w: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Oncology Group</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Heikki Joensuu</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Tuomo Meretoja</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Olli Carpen</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Lauri Aaltonen</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Annika Auranen</w:t>
      </w:r>
      <w:r w:rsidRPr="00CA348D">
        <w:rPr>
          <w:rFonts w:ascii="Calibri" w:eastAsia="Calibri" w:hAnsi="Calibri" w:cs="Calibri"/>
          <w:noProof/>
          <w:sz w:val="20"/>
          <w:szCs w:val="20"/>
        </w:rPr>
        <w:tab/>
      </w:r>
      <w:r w:rsidRPr="00CA348D">
        <w:rPr>
          <w:rFonts w:ascii="Calibri" w:eastAsia="Calibri" w:hAnsi="Calibri" w:cs="Calibri"/>
          <w:noProof/>
          <w:sz w:val="20"/>
          <w:szCs w:val="20"/>
        </w:rPr>
        <w:tab/>
        <w:t>Pirkanmaa Hospital District ,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Peeter Karihtala</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Saila Kauppila</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Päivi Auvinen</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Klaus Elenius</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Relja Popovic</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Jeffrey Waring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Bridget Riley-Gillis</w:t>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Anne Lehtonen</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Athena Matakidou</w:t>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Astra Zeneca, Cambridge,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Jennifer Schutzman </w:t>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Julie Hunkapiller</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Natalie Bowers</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Michon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Vinay Mehta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Andrey Loboda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Aparna Chhibber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Heli Lehtonen </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Stefan McDonough </w:t>
      </w:r>
      <w:r w:rsidR="00247925">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lastRenderedPageBreak/>
        <w:t>Marika Crohns</w:t>
      </w:r>
      <w:r w:rsidRPr="00CA348D">
        <w:rPr>
          <w:rFonts w:ascii="Calibri" w:eastAsia="Calibri" w:hAnsi="Calibri" w:cs="Calibri"/>
          <w:noProof/>
          <w:sz w:val="20"/>
          <w:szCs w:val="20"/>
        </w:rPr>
        <w:tab/>
      </w:r>
      <w:r w:rsidRPr="00CA348D">
        <w:rPr>
          <w:rFonts w:ascii="Calibri" w:eastAsia="Calibri" w:hAnsi="Calibri" w:cs="Calibri"/>
          <w:noProof/>
          <w:sz w:val="20"/>
          <w:szCs w:val="20"/>
        </w:rPr>
        <w:tab/>
        <w:t>Sanofi, Paris, France</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Diptee Kulkarni</w:t>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Opthalmology Group</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Kai Kaarniranta</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Joni A Turunen</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Hospital District of Helsinki and Uusimaa,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Terhi Ollila</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Sanna Seitsonen</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Hospital District of Helsinki and Uusimaa,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Hannu Uusitalo</w:t>
      </w:r>
      <w:r w:rsidRPr="00CA348D">
        <w:rPr>
          <w:rFonts w:ascii="Calibri" w:eastAsia="Calibri" w:hAnsi="Calibri" w:cs="Calibri"/>
          <w:noProof/>
          <w:sz w:val="20"/>
          <w:szCs w:val="20"/>
        </w:rPr>
        <w:tab/>
      </w:r>
      <w:r w:rsidRPr="00CA348D">
        <w:rPr>
          <w:rFonts w:ascii="Calibri" w:eastAsia="Calibri" w:hAnsi="Calibri" w:cs="Calibri"/>
          <w:noProof/>
          <w:sz w:val="20"/>
          <w:szCs w:val="20"/>
        </w:rPr>
        <w:tab/>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Vesa Aaltonen</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ind w:left="1680" w:firstLine="840"/>
        <w:rPr>
          <w:rFonts w:ascii="Calibri" w:eastAsia="Calibri" w:hAnsi="Calibri" w:cs="Calibri"/>
          <w:noProof/>
          <w:sz w:val="20"/>
          <w:szCs w:val="20"/>
        </w:rPr>
      </w:pPr>
      <w:r w:rsidRPr="00CA348D">
        <w:rPr>
          <w:rFonts w:ascii="Calibri" w:eastAsia="Calibri" w:hAnsi="Calibri" w:cs="Calibri"/>
          <w:noProof/>
          <w:sz w:val="20"/>
          <w:szCs w:val="20"/>
        </w:rPr>
        <w:t>Hannele Uusitalo-Järvinen 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Marja Luodonpää</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Nina Hautala </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Heiko Runz</w:t>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Erich Strauss</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Natalie Bowers</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Hao Chen </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Michon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Anna Podgornaia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Vinay Mehta</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Dorothee Diogo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Joshua Hoffman</w:t>
      </w:r>
      <w:r w:rsidRPr="00CA348D">
        <w:rPr>
          <w:rFonts w:ascii="Calibri" w:eastAsia="Calibri" w:hAnsi="Calibri" w:cs="Calibri"/>
          <w:noProof/>
          <w:sz w:val="20"/>
          <w:szCs w:val="20"/>
        </w:rPr>
        <w:tab/>
      </w:r>
      <w:r w:rsidRPr="00CA348D">
        <w:rPr>
          <w:rFonts w:ascii="Calibri" w:eastAsia="Calibri" w:hAnsi="Calibri" w:cs="Calibri"/>
          <w:noProof/>
          <w:sz w:val="20"/>
          <w:szCs w:val="20"/>
        </w:rPr>
        <w:tab/>
        <w:t>GlaxoSmithKline, Brentford, United Kingdom</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Dermatology Group</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Kaisa Tasanen</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Laura Huilaja</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Ostrobothnia Hospital District,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Katariina Hannula-Jouppi  </w:t>
      </w:r>
      <w:r w:rsidRPr="00CA348D">
        <w:rPr>
          <w:rFonts w:ascii="Calibri" w:eastAsia="Calibri" w:hAnsi="Calibri" w:cs="Calibri"/>
          <w:noProof/>
          <w:sz w:val="20"/>
          <w:szCs w:val="20"/>
        </w:rPr>
        <w:tab/>
        <w:t xml:space="preserve">Hospital District of Helsinki and Uusimaa,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Teea Salmi</w:t>
      </w:r>
      <w:r w:rsidRPr="00CA348D">
        <w:rPr>
          <w:rFonts w:ascii="Calibri" w:eastAsia="Calibri" w:hAnsi="Calibri" w:cs="Calibri"/>
          <w:noProof/>
          <w:sz w:val="20"/>
          <w:szCs w:val="20"/>
        </w:rPr>
        <w:tab/>
      </w:r>
      <w:r w:rsidRPr="00CA348D">
        <w:rPr>
          <w:rFonts w:ascii="Calibri" w:eastAsia="Calibri" w:hAnsi="Calibri" w:cs="Calibri"/>
          <w:noProof/>
          <w:sz w:val="20"/>
          <w:szCs w:val="20"/>
        </w:rPr>
        <w:tab/>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Sirkku Peltonen </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Leena Koulu</w:t>
      </w:r>
      <w:r w:rsidRPr="00CA348D">
        <w:rPr>
          <w:rFonts w:ascii="Calibri" w:eastAsia="Calibri" w:hAnsi="Calibri" w:cs="Calibri"/>
          <w:noProof/>
          <w:sz w:val="20"/>
          <w:szCs w:val="20"/>
        </w:rPr>
        <w:tab/>
      </w:r>
      <w:r w:rsidRPr="00CA348D">
        <w:rPr>
          <w:rFonts w:ascii="Calibri" w:eastAsia="Calibri" w:hAnsi="Calibri" w:cs="Calibri"/>
          <w:noProof/>
          <w:sz w:val="20"/>
          <w:szCs w:val="20"/>
        </w:rPr>
        <w:tab/>
        <w:t>Hospital District of Southwest Finland,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Ilkka Harvima</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Northern Savo Hospital District, Kuopio,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Kirsi Kalpala</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Ying Wu</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David Choy</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John Michon</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Nizar Smaoui </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Fedik Rahimov</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Anne Lehtonen</w:t>
      </w:r>
      <w:r w:rsidRPr="00CA348D">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Dawn Waterworth</w:t>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GlaxoSmithKline, Brentford, United Kingdom</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keepNext/>
        <w:keepLines/>
        <w:spacing w:line="240" w:lineRule="exact"/>
        <w:outlineLvl w:val="0"/>
        <w:rPr>
          <w:rFonts w:ascii="Calibri" w:hAnsi="Calibri" w:cs="Calibri"/>
          <w:b/>
          <w:noProof/>
          <w:color w:val="0033CC"/>
          <w:sz w:val="20"/>
          <w:szCs w:val="20"/>
        </w:rPr>
      </w:pPr>
      <w:r w:rsidRPr="00CA348D">
        <w:rPr>
          <w:rFonts w:ascii="Calibri" w:hAnsi="Calibri" w:cs="Calibri"/>
          <w:b/>
          <w:noProof/>
          <w:color w:val="0033CC"/>
          <w:sz w:val="20"/>
          <w:szCs w:val="20"/>
        </w:rPr>
        <w:t>FinnGen Teams</w:t>
      </w: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Administration Team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Anu Jalanko </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Risto Kajanne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Ulrike Lyhs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before="120" w:after="120"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 xml:space="preserve">Communication </w:t>
      </w:r>
    </w:p>
    <w:p w:rsidR="00CA348D" w:rsidRPr="00CA348D" w:rsidRDefault="00CA348D" w:rsidP="00633AC2">
      <w:pPr>
        <w:spacing w:before="120" w:after="120" w:line="240" w:lineRule="exact"/>
        <w:outlineLvl w:val="1"/>
        <w:rPr>
          <w:rFonts w:ascii="Calibri" w:eastAsia="Calibri" w:hAnsi="Calibri" w:cs="Calibri"/>
          <w:b/>
          <w:noProof/>
          <w:sz w:val="20"/>
          <w:szCs w:val="20"/>
        </w:rPr>
      </w:pPr>
      <w:r w:rsidRPr="00CA348D">
        <w:rPr>
          <w:rFonts w:ascii="Calibri" w:eastAsia="Calibri" w:hAnsi="Calibri" w:cs="Calibri"/>
          <w:noProof/>
          <w:sz w:val="20"/>
          <w:szCs w:val="20"/>
        </w:rPr>
        <w:t>Mari Kaunisto</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Analysis Team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Justin Wade Davis </w:t>
      </w:r>
      <w:r w:rsidRPr="00CA348D">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Bridget Riley-Gillis </w:t>
      </w:r>
      <w:r w:rsidR="00247925">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Danjuma Quarless </w:t>
      </w:r>
      <w:r w:rsidR="00247925">
        <w:rPr>
          <w:rFonts w:ascii="Calibri" w:eastAsia="Calibri" w:hAnsi="Calibri" w:cs="Calibri"/>
          <w:noProof/>
          <w:sz w:val="20"/>
          <w:szCs w:val="20"/>
        </w:rPr>
        <w:tab/>
      </w:r>
      <w:r w:rsidRPr="00CA348D">
        <w:rPr>
          <w:rFonts w:ascii="Calibri" w:eastAsia="Calibri" w:hAnsi="Calibri" w:cs="Calibri"/>
          <w:noProof/>
          <w:sz w:val="20"/>
          <w:szCs w:val="20"/>
        </w:rPr>
        <w:tab/>
        <w:t>Abbvie, Chicago, IL, United States</w:t>
      </w:r>
    </w:p>
    <w:p w:rsidR="00CA348D" w:rsidRPr="00CA348D" w:rsidRDefault="00CA348D" w:rsidP="00633AC2">
      <w:pPr>
        <w:spacing w:line="240" w:lineRule="exact"/>
        <w:rPr>
          <w:rFonts w:ascii="Calibri" w:eastAsia="Calibri" w:hAnsi="Calibri" w:cs="Calibri"/>
          <w:b/>
          <w:noProof/>
          <w:sz w:val="20"/>
          <w:szCs w:val="20"/>
        </w:rPr>
      </w:pPr>
      <w:r w:rsidRPr="00CA348D">
        <w:rPr>
          <w:rFonts w:ascii="Calibri" w:eastAsia="Calibri" w:hAnsi="Calibri" w:cs="Calibri"/>
          <w:noProof/>
          <w:sz w:val="20"/>
          <w:szCs w:val="20"/>
        </w:rPr>
        <w:t>Slavé Petrovski</w:t>
      </w:r>
      <w:r w:rsidRPr="00CA348D">
        <w:rPr>
          <w:rFonts w:ascii="Calibri" w:eastAsia="Calibri" w:hAnsi="Calibri" w:cs="Calibri"/>
          <w:b/>
          <w:noProof/>
          <w:sz w:val="20"/>
          <w:szCs w:val="20"/>
        </w:rPr>
        <w:t xml:space="preserve"> </w:t>
      </w:r>
      <w:r w:rsidRPr="00CA348D">
        <w:rPr>
          <w:rFonts w:ascii="Calibri" w:eastAsia="Calibri" w:hAnsi="Calibri" w:cs="Calibri"/>
          <w:b/>
          <w:noProof/>
          <w:sz w:val="20"/>
          <w:szCs w:val="20"/>
        </w:rPr>
        <w:tab/>
      </w:r>
      <w:r w:rsidRPr="00CA348D">
        <w:rPr>
          <w:rFonts w:ascii="Calibri" w:eastAsia="Calibri" w:hAnsi="Calibri" w:cs="Calibri"/>
          <w:b/>
          <w:noProof/>
          <w:sz w:val="20"/>
          <w:szCs w:val="20"/>
        </w:rPr>
        <w:tab/>
      </w:r>
      <w:r w:rsidRPr="00CA348D">
        <w:rPr>
          <w:rFonts w:ascii="Calibri" w:eastAsia="Calibri" w:hAnsi="Calibri" w:cs="Calibri"/>
          <w:noProof/>
          <w:sz w:val="20"/>
          <w:szCs w:val="20"/>
        </w:rPr>
        <w:t>Astra Zeneca, Cambridge,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Jimmy Liu </w:t>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Chia-Yen Chen</w:t>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lastRenderedPageBreak/>
        <w:t xml:space="preserve">Paola Bronson </w:t>
      </w:r>
      <w:r w:rsidRPr="00CA348D">
        <w:rPr>
          <w:rFonts w:ascii="Calibri" w:eastAsia="Calibri" w:hAnsi="Calibri" w:cs="Calibri"/>
          <w:noProof/>
          <w:sz w:val="20"/>
          <w:szCs w:val="20"/>
        </w:rPr>
        <w:tab/>
      </w:r>
      <w:r w:rsidRPr="00CA348D">
        <w:rPr>
          <w:rFonts w:ascii="Calibri" w:eastAsia="Calibri" w:hAnsi="Calibri" w:cs="Calibri"/>
          <w:noProof/>
          <w:sz w:val="20"/>
          <w:szCs w:val="20"/>
        </w:rPr>
        <w:tab/>
        <w:t>Biogen,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Robert Yang </w:t>
      </w:r>
      <w:r w:rsidRPr="00CA348D">
        <w:rPr>
          <w:rFonts w:ascii="Calibri" w:eastAsia="Calibri" w:hAnsi="Calibri" w:cs="Calibri"/>
          <w:noProof/>
          <w:sz w:val="20"/>
          <w:szCs w:val="20"/>
        </w:rPr>
        <w:tab/>
      </w:r>
      <w:r w:rsidRPr="00CA348D">
        <w:rPr>
          <w:rFonts w:ascii="Calibri" w:eastAsia="Calibri" w:hAnsi="Calibri" w:cs="Calibri"/>
          <w:noProof/>
          <w:sz w:val="20"/>
          <w:szCs w:val="20"/>
        </w:rPr>
        <w:tab/>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Joseph Maranville </w:t>
      </w:r>
      <w:r w:rsidR="00247925">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Shameek Biswas </w:t>
      </w:r>
      <w:r w:rsidRPr="00CA348D">
        <w:rPr>
          <w:rFonts w:ascii="Calibri" w:eastAsia="Calibri" w:hAnsi="Calibri" w:cs="Calibri"/>
          <w:noProof/>
          <w:sz w:val="20"/>
          <w:szCs w:val="20"/>
        </w:rPr>
        <w:tab/>
      </w:r>
      <w:r w:rsidRPr="00CA348D">
        <w:rPr>
          <w:rFonts w:ascii="Calibri" w:eastAsia="Calibri" w:hAnsi="Calibri" w:cs="Calibri"/>
          <w:noProof/>
          <w:sz w:val="20"/>
          <w:szCs w:val="20"/>
        </w:rPr>
        <w:tab/>
        <w:t>Celgene, Summit,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Diana Chang </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Julie Hunkapiller </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Tushar Bhangale </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Natalie Bowers </w:t>
      </w:r>
      <w:r w:rsidRPr="00CA348D">
        <w:rPr>
          <w:rFonts w:ascii="Calibri" w:eastAsia="Calibri" w:hAnsi="Calibri" w:cs="Calibri"/>
          <w:noProof/>
          <w:sz w:val="20"/>
          <w:szCs w:val="20"/>
        </w:rPr>
        <w:tab/>
      </w:r>
      <w:r w:rsidRPr="00CA348D">
        <w:rPr>
          <w:rFonts w:ascii="Calibri" w:eastAsia="Calibri" w:hAnsi="Calibri" w:cs="Calibri"/>
          <w:noProof/>
          <w:sz w:val="20"/>
          <w:szCs w:val="20"/>
        </w:rPr>
        <w:tab/>
        <w:t>Genentech, San Francisco,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Dorothee Diogo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Emily Holzinger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Padhraig Gormley </w:t>
      </w:r>
      <w:r w:rsidR="00247925">
        <w:rPr>
          <w:rFonts w:ascii="Calibri" w:eastAsia="Calibri" w:hAnsi="Calibri" w:cs="Calibri"/>
          <w:noProof/>
          <w:sz w:val="20"/>
          <w:szCs w:val="20"/>
        </w:rPr>
        <w:tab/>
      </w:r>
      <w:r w:rsidR="00247925">
        <w:rPr>
          <w:rFonts w:ascii="Calibri" w:eastAsia="Calibri" w:hAnsi="Calibri" w:cs="Calibri"/>
          <w:noProof/>
          <w:sz w:val="20"/>
          <w:szCs w:val="20"/>
        </w:rPr>
        <w:tab/>
      </w:r>
      <w:r w:rsidRPr="00CA348D">
        <w:rPr>
          <w:rFonts w:ascii="Calibri" w:eastAsia="Calibri" w:hAnsi="Calibri" w:cs="Calibri"/>
          <w:noProof/>
          <w:sz w:val="20"/>
          <w:szCs w:val="20"/>
        </w:rPr>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Xulong Wang </w:t>
      </w:r>
      <w:r w:rsidRPr="00CA348D">
        <w:rPr>
          <w:rFonts w:ascii="Calibri" w:eastAsia="Calibri" w:hAnsi="Calibri" w:cs="Calibri"/>
          <w:noProof/>
          <w:sz w:val="20"/>
          <w:szCs w:val="20"/>
        </w:rPr>
        <w:tab/>
      </w:r>
      <w:r w:rsidRPr="00CA348D">
        <w:rPr>
          <w:rFonts w:ascii="Calibri" w:eastAsia="Calibri" w:hAnsi="Calibri" w:cs="Calibri"/>
          <w:noProof/>
          <w:sz w:val="20"/>
          <w:szCs w:val="20"/>
        </w:rPr>
        <w:tab/>
        <w:t>Merck, Kenilworth, NJ,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Xing Chen </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Åsa Hedman </w:t>
      </w:r>
      <w:r w:rsidRPr="00CA348D">
        <w:rPr>
          <w:rFonts w:ascii="Calibri" w:eastAsia="Calibri" w:hAnsi="Calibri" w:cs="Calibri"/>
          <w:noProof/>
          <w:sz w:val="20"/>
          <w:szCs w:val="20"/>
        </w:rPr>
        <w:tab/>
      </w:r>
      <w:r w:rsidRPr="00CA348D">
        <w:rPr>
          <w:rFonts w:ascii="Calibri" w:eastAsia="Calibri" w:hAnsi="Calibri" w:cs="Calibri"/>
          <w:noProof/>
          <w:sz w:val="20"/>
          <w:szCs w:val="20"/>
        </w:rPr>
        <w:tab/>
        <w:t>Pfizer, New York, NY,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Kirsi Auro</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612708">
        <w:rPr>
          <w:rFonts w:ascii="Calibri" w:eastAsia="Calibri" w:hAnsi="Calibri" w:cs="Calibri"/>
          <w:noProof/>
          <w:sz w:val="20"/>
          <w:szCs w:val="20"/>
        </w:rPr>
        <w:tab/>
      </w:r>
      <w:r w:rsidRPr="00CA348D">
        <w:rPr>
          <w:rFonts w:ascii="Calibri" w:eastAsia="Calibri" w:hAnsi="Calibri" w:cs="Calibri"/>
          <w:noProof/>
          <w:sz w:val="20"/>
          <w:szCs w:val="20"/>
        </w:rPr>
        <w:t>GlaxoSmithKline, Brentford, United Kingdom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Clarence Wang </w:t>
      </w:r>
      <w:r w:rsidRPr="00CA348D">
        <w:rPr>
          <w:rFonts w:ascii="Calibri" w:eastAsia="Calibri" w:hAnsi="Calibri" w:cs="Calibri"/>
          <w:noProof/>
          <w:sz w:val="20"/>
          <w:szCs w:val="20"/>
        </w:rPr>
        <w:tab/>
      </w:r>
      <w:r w:rsidRPr="00CA348D">
        <w:rPr>
          <w:rFonts w:ascii="Calibri" w:eastAsia="Calibri" w:hAnsi="Calibri" w:cs="Calibri"/>
          <w:noProof/>
          <w:sz w:val="20"/>
          <w:szCs w:val="20"/>
        </w:rPr>
        <w:tab/>
        <w:t>Sanofi, Paris, France</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Ethan Xu </w:t>
      </w:r>
      <w:r w:rsidRPr="00CA348D">
        <w:rPr>
          <w:rFonts w:ascii="Calibri" w:eastAsia="Calibri" w:hAnsi="Calibri" w:cs="Calibri"/>
          <w:noProof/>
          <w:sz w:val="20"/>
          <w:szCs w:val="20"/>
        </w:rPr>
        <w:tab/>
      </w:r>
      <w:r w:rsidRPr="00CA348D">
        <w:rPr>
          <w:rFonts w:ascii="Calibri" w:eastAsia="Calibri" w:hAnsi="Calibri" w:cs="Calibri"/>
          <w:noProof/>
          <w:sz w:val="20"/>
          <w:szCs w:val="20"/>
        </w:rPr>
        <w:tab/>
      </w:r>
      <w:r w:rsidR="00612708">
        <w:rPr>
          <w:rFonts w:ascii="Calibri" w:eastAsia="Calibri" w:hAnsi="Calibri" w:cs="Calibri"/>
          <w:noProof/>
          <w:sz w:val="20"/>
          <w:szCs w:val="20"/>
        </w:rPr>
        <w:tab/>
      </w:r>
      <w:r w:rsidRPr="00CA348D">
        <w:rPr>
          <w:rFonts w:ascii="Calibri" w:eastAsia="Calibri" w:hAnsi="Calibri" w:cs="Calibri"/>
          <w:noProof/>
          <w:sz w:val="20"/>
          <w:szCs w:val="20"/>
        </w:rPr>
        <w:t>Sanofi, Paris, France</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Franck Auge </w:t>
      </w:r>
      <w:r w:rsidRPr="00CA348D">
        <w:rPr>
          <w:rFonts w:ascii="Calibri" w:eastAsia="Calibri" w:hAnsi="Calibri" w:cs="Calibri"/>
          <w:noProof/>
          <w:sz w:val="20"/>
          <w:szCs w:val="20"/>
        </w:rPr>
        <w:tab/>
      </w:r>
      <w:r w:rsidRPr="00CA348D">
        <w:rPr>
          <w:rFonts w:ascii="Calibri" w:eastAsia="Calibri" w:hAnsi="Calibri" w:cs="Calibri"/>
          <w:noProof/>
          <w:sz w:val="20"/>
          <w:szCs w:val="20"/>
        </w:rPr>
        <w:tab/>
        <w:t>Sanofi, Paris, France</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Clement Chatelain </w:t>
      </w:r>
      <w:r w:rsidRPr="00CA348D">
        <w:rPr>
          <w:rFonts w:ascii="Calibri" w:eastAsia="Calibri" w:hAnsi="Calibri" w:cs="Calibri"/>
          <w:noProof/>
          <w:sz w:val="20"/>
          <w:szCs w:val="20"/>
        </w:rPr>
        <w:tab/>
      </w:r>
      <w:r w:rsidR="00612708">
        <w:rPr>
          <w:rFonts w:ascii="Calibri" w:eastAsia="Calibri" w:hAnsi="Calibri" w:cs="Calibri"/>
          <w:noProof/>
          <w:sz w:val="20"/>
          <w:szCs w:val="20"/>
        </w:rPr>
        <w:tab/>
      </w:r>
      <w:r w:rsidRPr="00CA348D">
        <w:rPr>
          <w:rFonts w:ascii="Calibri" w:eastAsia="Calibri" w:hAnsi="Calibri" w:cs="Calibri"/>
          <w:noProof/>
          <w:sz w:val="20"/>
          <w:szCs w:val="20"/>
        </w:rPr>
        <w:t>Sanofi, Paris, France</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Mitja Kurki</w:t>
      </w:r>
      <w:r w:rsidRPr="00CA348D">
        <w:rPr>
          <w:rFonts w:ascii="Calibri" w:eastAsia="Calibri" w:hAnsi="Calibri" w:cs="Calibri"/>
          <w:noProof/>
          <w:sz w:val="20"/>
          <w:szCs w:val="20"/>
        </w:rPr>
        <w:tab/>
        <w:t>Institute for Molecular Medicine Finland, HiLIFE, University of Helsinki, Finland / Broad Institute,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Samuli Ripatti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Mark Daly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Juha Karjalainen</w:t>
      </w:r>
      <w:r w:rsidRPr="00CA348D">
        <w:rPr>
          <w:rFonts w:ascii="Calibri" w:eastAsia="Calibri" w:hAnsi="Calibri" w:cs="Calibri"/>
          <w:noProof/>
          <w:sz w:val="20"/>
          <w:szCs w:val="20"/>
        </w:rPr>
        <w:tab/>
        <w:t>Institute for Molecular Medicine Finland, HiLIFE, University of Helsinki, Finland / Broad Institute,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Aki Havulinna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Anu Jalanko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Kimmo Palin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University of Helsinki,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Priit Palta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Pietro Della Briotta Parolo </w:t>
      </w:r>
      <w:r w:rsidR="00612708">
        <w:rPr>
          <w:rFonts w:ascii="Calibri" w:eastAsia="Calibri" w:hAnsi="Calibri" w:cs="Calibri"/>
          <w:noProof/>
          <w:sz w:val="20"/>
          <w:szCs w:val="20"/>
        </w:rPr>
        <w:tab/>
      </w:r>
      <w:r w:rsidRPr="00CA348D">
        <w:rPr>
          <w:rFonts w:ascii="Calibri" w:eastAsia="Calibri" w:hAnsi="Calibri" w:cs="Calibri"/>
          <w:noProof/>
          <w:sz w:val="20"/>
          <w:szCs w:val="20"/>
        </w:rPr>
        <w:t xml:space="preserve"> 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Wei Zhou </w:t>
      </w:r>
      <w:r w:rsidRPr="00CA348D">
        <w:rPr>
          <w:rFonts w:ascii="Calibri" w:eastAsia="Calibri" w:hAnsi="Calibri" w:cs="Calibri"/>
          <w:noProof/>
          <w:sz w:val="20"/>
          <w:szCs w:val="20"/>
        </w:rPr>
        <w:tab/>
      </w:r>
      <w:r w:rsidRPr="00CA348D">
        <w:rPr>
          <w:rFonts w:ascii="Calibri" w:eastAsia="Calibri" w:hAnsi="Calibri" w:cs="Calibri"/>
          <w:noProof/>
          <w:sz w:val="20"/>
          <w:szCs w:val="20"/>
        </w:rPr>
        <w:tab/>
        <w:t>Broad Institute, Cambridge, MA,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Susanna Lemmelä </w:t>
      </w:r>
      <w:r w:rsidR="00612708">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Manuel Rivas </w:t>
      </w:r>
      <w:r w:rsidRPr="00CA348D">
        <w:rPr>
          <w:rFonts w:ascii="Calibri" w:eastAsia="Calibri" w:hAnsi="Calibri" w:cs="Calibri"/>
          <w:noProof/>
          <w:sz w:val="20"/>
          <w:szCs w:val="20"/>
        </w:rPr>
        <w:tab/>
      </w:r>
      <w:r w:rsidRPr="00CA348D">
        <w:rPr>
          <w:rFonts w:ascii="Calibri" w:eastAsia="Calibri" w:hAnsi="Calibri" w:cs="Calibri"/>
          <w:noProof/>
          <w:sz w:val="20"/>
          <w:szCs w:val="20"/>
        </w:rPr>
        <w:tab/>
        <w:t>University of Stanford, Stanford, CA, United States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Jarmo Harju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Aarno Palotie</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Arto Lehisto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Andrea Ganna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Vincent Llorens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Antti Karlsson </w:t>
      </w:r>
      <w:r w:rsidRPr="00CA348D">
        <w:rPr>
          <w:rFonts w:ascii="Calibri" w:eastAsia="Calibri" w:hAnsi="Calibri" w:cs="Calibri"/>
          <w:noProof/>
          <w:sz w:val="20"/>
          <w:szCs w:val="20"/>
        </w:rPr>
        <w:tab/>
      </w:r>
      <w:r w:rsidRPr="00CA348D">
        <w:rPr>
          <w:rFonts w:ascii="Calibri" w:eastAsia="Calibri" w:hAnsi="Calibri" w:cs="Calibri"/>
          <w:noProof/>
          <w:sz w:val="20"/>
          <w:szCs w:val="20"/>
        </w:rPr>
        <w:tab/>
        <w:t>Auria Biobank / Univ. of Turku / Hospital District of Southwest Finland, Turku, Finland</w:t>
      </w:r>
    </w:p>
    <w:p w:rsidR="00CA348D" w:rsidRPr="00CA348D" w:rsidRDefault="00CA348D" w:rsidP="00633AC2">
      <w:pPr>
        <w:spacing w:line="240" w:lineRule="exact"/>
        <w:rPr>
          <w:rFonts w:ascii="Calibri" w:eastAsia="Calibri" w:hAnsi="Calibri" w:cs="Calibri"/>
          <w:b/>
          <w:noProof/>
          <w:sz w:val="20"/>
          <w:szCs w:val="20"/>
        </w:rPr>
      </w:pPr>
      <w:r w:rsidRPr="00CA348D">
        <w:rPr>
          <w:rFonts w:ascii="Calibri" w:eastAsia="Calibri" w:hAnsi="Calibri" w:cs="Calibri"/>
          <w:noProof/>
          <w:sz w:val="20"/>
          <w:szCs w:val="20"/>
        </w:rPr>
        <w:t xml:space="preserve">Kati Kristiansson </w:t>
      </w:r>
      <w:r w:rsidRPr="00CA348D">
        <w:rPr>
          <w:rFonts w:ascii="Calibri" w:eastAsia="Calibri" w:hAnsi="Calibri" w:cs="Calibri"/>
          <w:noProof/>
          <w:sz w:val="20"/>
          <w:szCs w:val="20"/>
        </w:rPr>
        <w:tab/>
      </w:r>
      <w:r w:rsidRPr="00CA348D">
        <w:rPr>
          <w:rFonts w:ascii="Calibri" w:eastAsia="Calibri" w:hAnsi="Calibri" w:cs="Calibri"/>
          <w:noProof/>
          <w:sz w:val="20"/>
          <w:szCs w:val="20"/>
        </w:rPr>
        <w:tab/>
        <w:t>THL Biobank / The National Institute of Health and Welfare Helsinki,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Mikko Arvas </w:t>
      </w:r>
      <w:r w:rsidRPr="00CA348D">
        <w:rPr>
          <w:rFonts w:ascii="Calibri" w:eastAsia="Calibri" w:hAnsi="Calibri" w:cs="Calibri"/>
          <w:noProof/>
          <w:sz w:val="20"/>
          <w:szCs w:val="20"/>
        </w:rPr>
        <w:tab/>
        <w:t xml:space="preserve">Finnish Red Cross Blood Service / Finnish Hematology Registry and Clinical Biobank, Helsinki, Finland </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Kati Hyvärinen</w:t>
      </w:r>
      <w:r w:rsidRPr="00CA348D">
        <w:rPr>
          <w:rFonts w:ascii="Calibri" w:eastAsia="Calibri" w:hAnsi="Calibri" w:cs="Calibri"/>
          <w:noProof/>
          <w:sz w:val="20"/>
          <w:szCs w:val="20"/>
        </w:rPr>
        <w:tab/>
        <w:t xml:space="preserve">Finnish Red Cross Blood Service / Finnish Hematology Registry and Clinical Biobank, Helsinki, Finland </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Jarmo Ritari </w:t>
      </w:r>
      <w:r w:rsidRPr="00CA348D">
        <w:rPr>
          <w:rFonts w:ascii="Calibri" w:eastAsia="Calibri" w:hAnsi="Calibri" w:cs="Calibri"/>
          <w:noProof/>
          <w:sz w:val="20"/>
          <w:szCs w:val="20"/>
        </w:rPr>
        <w:tab/>
        <w:t xml:space="preserve">Finnish Red Cross Blood Service / Finnish Hematology Registry and Clinical Biobank, Helsinki, Finland </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Tiina Wahlfors </w:t>
      </w:r>
      <w:r w:rsidRPr="00CA348D">
        <w:rPr>
          <w:rFonts w:ascii="Calibri" w:eastAsia="Calibri" w:hAnsi="Calibri" w:cs="Calibri"/>
          <w:noProof/>
          <w:sz w:val="20"/>
          <w:szCs w:val="20"/>
        </w:rPr>
        <w:tab/>
        <w:t xml:space="preserve">Finnish Red Cross Blood Service / Finnish Hematology Registry and Clinical Biobank, Helsinki, Finland </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Miika Koskinen </w:t>
      </w:r>
      <w:r w:rsidRPr="00CA348D">
        <w:rPr>
          <w:rFonts w:ascii="Calibri" w:eastAsia="Calibri" w:hAnsi="Calibri" w:cs="Calibri"/>
          <w:noProof/>
          <w:sz w:val="20"/>
          <w:szCs w:val="20"/>
        </w:rPr>
        <w:tab/>
        <w:t>Hospital District of Helsinki and Uusimaa, Helsinki, Finland BB/HUS/Univ Hosp Districts</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Olli Carpen </w:t>
      </w:r>
      <w:r w:rsidRPr="00CA348D">
        <w:rPr>
          <w:rFonts w:ascii="Calibri" w:eastAsia="Calibri" w:hAnsi="Calibri" w:cs="Calibri"/>
          <w:noProof/>
          <w:sz w:val="20"/>
          <w:szCs w:val="20"/>
        </w:rPr>
        <w:tab/>
        <w:t>Hospital District of Helsinki and Uusimaa, Helsinki, Finland BB/HUS/Univ Hosp Districts</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Johannes Kettunen</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Katri Pylkäs </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Marita Kalaoja </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Minna Karjalainen </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lastRenderedPageBreak/>
        <w:t xml:space="preserve">Tuomo Mantere </w:t>
      </w:r>
      <w:r w:rsidRPr="00CA348D">
        <w:rPr>
          <w:rFonts w:ascii="Calibri" w:eastAsia="Calibri" w:hAnsi="Calibri" w:cs="Calibri"/>
          <w:noProof/>
          <w:sz w:val="20"/>
          <w:szCs w:val="20"/>
        </w:rPr>
        <w:tab/>
        <w:t>Northern Finland Biobank Borealis / University of Oulu / Northern Ostrobothnia Hospital District, Oulu, Finland</w:t>
      </w:r>
    </w:p>
    <w:p w:rsidR="00CA348D" w:rsidRPr="00CA348D" w:rsidRDefault="00CA348D" w:rsidP="00633AC2">
      <w:pPr>
        <w:spacing w:line="240" w:lineRule="exact"/>
        <w:ind w:left="2552" w:hanging="2552"/>
        <w:rPr>
          <w:rFonts w:ascii="Calibri" w:eastAsia="Calibri" w:hAnsi="Calibri" w:cs="Calibri"/>
          <w:b/>
          <w:noProof/>
          <w:sz w:val="20"/>
          <w:szCs w:val="20"/>
        </w:rPr>
      </w:pPr>
      <w:r w:rsidRPr="00CA348D">
        <w:rPr>
          <w:rFonts w:ascii="Calibri" w:eastAsia="Calibri" w:hAnsi="Calibri" w:cs="Calibri"/>
          <w:noProof/>
          <w:sz w:val="20"/>
          <w:szCs w:val="20"/>
        </w:rPr>
        <w:t xml:space="preserve">Eeva Kangasniemi </w:t>
      </w:r>
      <w:r w:rsidRPr="00CA348D">
        <w:rPr>
          <w:rFonts w:ascii="Calibri" w:eastAsia="Calibri" w:hAnsi="Calibri" w:cs="Calibri"/>
          <w:noProof/>
          <w:sz w:val="20"/>
          <w:szCs w:val="20"/>
        </w:rPr>
        <w:tab/>
        <w:t>Finnish Clinical Biobank Tampere</w:t>
      </w:r>
      <w:r w:rsidRPr="00CA348D">
        <w:rPr>
          <w:rFonts w:ascii="Calibri" w:eastAsia="Calibri" w:hAnsi="Calibri" w:cs="Calibri"/>
          <w:b/>
          <w:noProof/>
          <w:sz w:val="20"/>
          <w:szCs w:val="20"/>
        </w:rPr>
        <w:t xml:space="preserve"> / </w:t>
      </w:r>
      <w:r w:rsidRPr="00CA348D">
        <w:rPr>
          <w:rFonts w:ascii="Calibri" w:eastAsia="Calibri" w:hAnsi="Calibri" w:cs="Calibri"/>
          <w:noProof/>
          <w:sz w:val="20"/>
          <w:szCs w:val="20"/>
        </w:rPr>
        <w:t>University of Tampere / Pirkanmaa Hospital District, Tampere,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Sami Heikkinen </w:t>
      </w:r>
      <w:r w:rsidRPr="00CA348D">
        <w:rPr>
          <w:rFonts w:ascii="Calibri" w:eastAsia="Calibri" w:hAnsi="Calibri" w:cs="Calibri"/>
          <w:noProof/>
          <w:sz w:val="20"/>
          <w:szCs w:val="20"/>
        </w:rPr>
        <w:tab/>
        <w:t>Biobank of Eastern Finland / University of Eastern Finland / Northern Savo Hospital District, Kuopio,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Arto Mannermaa</w:t>
      </w:r>
      <w:r w:rsidRPr="00CA348D">
        <w:rPr>
          <w:rFonts w:ascii="Calibri" w:eastAsia="Calibri" w:hAnsi="Calibri" w:cs="Calibri"/>
          <w:noProof/>
          <w:sz w:val="20"/>
          <w:szCs w:val="20"/>
        </w:rPr>
        <w:tab/>
        <w:t>Biobank of Eastern Finland / University of Eastern Finland / Northern Savo Hospital District, Kuopio,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Eija Laakkonen </w:t>
      </w:r>
      <w:r w:rsidRPr="00CA348D">
        <w:rPr>
          <w:rFonts w:ascii="Calibri" w:eastAsia="Calibri" w:hAnsi="Calibri" w:cs="Calibri"/>
          <w:noProof/>
          <w:sz w:val="20"/>
          <w:szCs w:val="20"/>
        </w:rPr>
        <w:tab/>
        <w:t>Central Finland Biobank /</w:t>
      </w:r>
      <w:r w:rsidRPr="00CA348D">
        <w:rPr>
          <w:rFonts w:ascii="Calibri" w:eastAsia="Calibri" w:hAnsi="Calibri" w:cs="Calibri"/>
          <w:noProof/>
          <w:color w:val="000000"/>
          <w:sz w:val="20"/>
          <w:szCs w:val="20"/>
        </w:rPr>
        <w:t xml:space="preserve"> University of Jyväskylä / Central Finland Health Care District, Jyväskylä, Finland</w:t>
      </w:r>
    </w:p>
    <w:p w:rsidR="00CA348D" w:rsidRPr="00CA348D" w:rsidRDefault="00CA348D" w:rsidP="00633AC2">
      <w:pPr>
        <w:spacing w:line="240" w:lineRule="exact"/>
        <w:ind w:left="2552" w:hanging="2552"/>
        <w:rPr>
          <w:rFonts w:ascii="Calibri" w:eastAsia="Calibri" w:hAnsi="Calibri" w:cs="Calibri"/>
          <w:noProof/>
          <w:sz w:val="20"/>
          <w:szCs w:val="20"/>
        </w:rPr>
      </w:pPr>
      <w:r w:rsidRPr="00CA348D">
        <w:rPr>
          <w:rFonts w:ascii="Calibri" w:eastAsia="Calibri" w:hAnsi="Calibri" w:cs="Calibri"/>
          <w:noProof/>
          <w:sz w:val="20"/>
          <w:szCs w:val="20"/>
        </w:rPr>
        <w:t xml:space="preserve">Juha Kononen </w:t>
      </w:r>
      <w:r w:rsidRPr="00CA348D">
        <w:rPr>
          <w:rFonts w:ascii="Calibri" w:eastAsia="Calibri" w:hAnsi="Calibri" w:cs="Calibri"/>
          <w:noProof/>
          <w:sz w:val="20"/>
          <w:szCs w:val="20"/>
        </w:rPr>
        <w:tab/>
        <w:t>Central Finland Biobank /</w:t>
      </w:r>
      <w:r w:rsidRPr="00CA348D">
        <w:rPr>
          <w:rFonts w:ascii="Calibri" w:eastAsia="Calibri" w:hAnsi="Calibri" w:cs="Calibri"/>
          <w:noProof/>
          <w:color w:val="000000"/>
          <w:sz w:val="20"/>
          <w:szCs w:val="20"/>
        </w:rPr>
        <w:t xml:space="preserve"> University of Jyväskylä / Central Finland Health Care District, Jyväskylä,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ab/>
      </w:r>
    </w:p>
    <w:p w:rsidR="00CA348D" w:rsidRPr="00CA348D" w:rsidRDefault="00CA348D" w:rsidP="00633AC2">
      <w:pPr>
        <w:spacing w:line="240" w:lineRule="exact"/>
        <w:outlineLvl w:val="1"/>
        <w:rPr>
          <w:rFonts w:ascii="Calibri" w:eastAsia="Calibri" w:hAnsi="Calibri" w:cs="Calibri"/>
          <w:b/>
          <w:noProof/>
          <w:sz w:val="20"/>
          <w:szCs w:val="20"/>
        </w:rPr>
      </w:pPr>
      <w:bookmarkStart w:id="1" w:name="_Toc526234190"/>
      <w:bookmarkStart w:id="2" w:name="_Toc3981228"/>
      <w:r w:rsidRPr="00CA348D">
        <w:rPr>
          <w:rFonts w:ascii="Calibri" w:eastAsia="Calibri" w:hAnsi="Calibri" w:cs="Calibri"/>
          <w:b/>
          <w:noProof/>
          <w:sz w:val="20"/>
          <w:szCs w:val="20"/>
        </w:rPr>
        <w:t>Sample Collection Coordination</w:t>
      </w:r>
      <w:bookmarkEnd w:id="1"/>
      <w:bookmarkEnd w:id="2"/>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Anu Loukola </w:t>
      </w:r>
      <w:r w:rsidRPr="00CA348D">
        <w:rPr>
          <w:rFonts w:ascii="Calibri" w:eastAsia="Calibri" w:hAnsi="Calibri" w:cs="Calibri"/>
          <w:noProof/>
          <w:sz w:val="20"/>
          <w:szCs w:val="20"/>
        </w:rPr>
        <w:tab/>
      </w:r>
      <w:r w:rsidRPr="00CA348D">
        <w:rPr>
          <w:rFonts w:ascii="Calibri" w:eastAsia="Calibri" w:hAnsi="Calibri" w:cs="Calibri"/>
          <w:noProof/>
          <w:sz w:val="20"/>
          <w:szCs w:val="20"/>
        </w:rPr>
        <w:tab/>
      </w:r>
      <w:bookmarkStart w:id="3" w:name="_Toc3981229"/>
      <w:r w:rsidRPr="00CA348D">
        <w:rPr>
          <w:rFonts w:ascii="Calibri" w:eastAsia="Calibri" w:hAnsi="Calibri" w:cs="Calibri"/>
          <w:noProof/>
          <w:sz w:val="20"/>
          <w:szCs w:val="20"/>
        </w:rPr>
        <w:t>Hospital District of Helsinki and Uusimaa,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Sample Logistics</w:t>
      </w:r>
      <w:bookmarkEnd w:id="3"/>
      <w:r w:rsidRPr="00CA348D">
        <w:rPr>
          <w:rFonts w:ascii="Calibri" w:eastAsia="Calibri" w:hAnsi="Calibri" w:cs="Calibri"/>
          <w:b/>
          <w:noProof/>
          <w:sz w:val="20"/>
          <w:szCs w:val="20"/>
        </w:rPr>
        <w:t xml:space="preserve">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Päivi Laiho</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THL Biobank / 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Tuuli Sistonen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THL Biobank / 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Essi Kaiharju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THL Biobank / 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Markku Laukkanen </w:t>
      </w:r>
      <w:r w:rsidRPr="00CA348D">
        <w:rPr>
          <w:rFonts w:ascii="Calibri" w:eastAsia="Calibri" w:hAnsi="Calibri" w:cs="Calibri"/>
          <w:noProof/>
          <w:sz w:val="20"/>
          <w:szCs w:val="20"/>
        </w:rPr>
        <w:tab/>
      </w:r>
      <w:r w:rsidR="00612708">
        <w:rPr>
          <w:rFonts w:ascii="Calibri" w:eastAsia="Calibri" w:hAnsi="Calibri" w:cs="Calibri"/>
          <w:noProof/>
          <w:sz w:val="20"/>
          <w:szCs w:val="20"/>
        </w:rPr>
        <w:tab/>
      </w:r>
      <w:r w:rsidRPr="00CA348D">
        <w:rPr>
          <w:rFonts w:ascii="Calibri" w:eastAsia="Calibri" w:hAnsi="Calibri" w:cs="Calibri"/>
          <w:noProof/>
          <w:sz w:val="20"/>
          <w:szCs w:val="20"/>
        </w:rPr>
        <w:t xml:space="preserve">THL Biobank / 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Elina Järvensivu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THL Biobank / 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Sini Lähteenmäki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THL Biobank / 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Lotta Männikkö </w:t>
      </w:r>
      <w:r w:rsidRPr="00CA348D">
        <w:rPr>
          <w:rFonts w:ascii="Calibri" w:eastAsia="Calibri" w:hAnsi="Calibri" w:cs="Calibri"/>
          <w:noProof/>
          <w:sz w:val="20"/>
          <w:szCs w:val="20"/>
        </w:rPr>
        <w:tab/>
      </w:r>
      <w:r w:rsidRPr="00CA348D">
        <w:rPr>
          <w:rFonts w:ascii="Calibri" w:eastAsia="Calibri" w:hAnsi="Calibri" w:cs="Calibri"/>
          <w:noProof/>
          <w:sz w:val="20"/>
          <w:szCs w:val="20"/>
        </w:rPr>
        <w:tab/>
        <w:t>THL Biobank / The National Institute of Health and Welfare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Regis Wong </w:t>
      </w:r>
      <w:r w:rsidRPr="00CA348D">
        <w:rPr>
          <w:rFonts w:ascii="Calibri" w:eastAsia="Calibri" w:hAnsi="Calibri" w:cs="Calibri"/>
          <w:noProof/>
          <w:sz w:val="20"/>
          <w:szCs w:val="20"/>
        </w:rPr>
        <w:tab/>
      </w:r>
      <w:r w:rsidRPr="00CA348D">
        <w:rPr>
          <w:rFonts w:ascii="Calibri" w:eastAsia="Calibri" w:hAnsi="Calibri" w:cs="Calibri"/>
          <w:noProof/>
          <w:sz w:val="20"/>
          <w:szCs w:val="20"/>
        </w:rPr>
        <w:tab/>
        <w:t>THL Biobank / The National Institute of Health and Welfare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bookmarkStart w:id="4" w:name="_Toc3981230"/>
      <w:r w:rsidRPr="00CA348D">
        <w:rPr>
          <w:rFonts w:ascii="Calibri" w:eastAsia="Calibri" w:hAnsi="Calibri" w:cs="Calibri"/>
          <w:b/>
          <w:noProof/>
          <w:sz w:val="20"/>
          <w:szCs w:val="20"/>
        </w:rPr>
        <w:t>Registry Data Operations</w:t>
      </w:r>
      <w:bookmarkEnd w:id="4"/>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Kati Kristiansson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THL Biobank / 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Hannele Mattsson </w:t>
      </w:r>
      <w:r w:rsidRPr="00CA348D">
        <w:rPr>
          <w:rFonts w:ascii="Calibri" w:eastAsia="Calibri" w:hAnsi="Calibri" w:cs="Calibri"/>
          <w:noProof/>
          <w:sz w:val="20"/>
          <w:szCs w:val="20"/>
        </w:rPr>
        <w:tab/>
      </w:r>
      <w:r w:rsidR="00B8030A">
        <w:rPr>
          <w:rFonts w:ascii="Calibri" w:eastAsia="Calibri" w:hAnsi="Calibri" w:cs="Calibri"/>
          <w:noProof/>
          <w:sz w:val="20"/>
          <w:szCs w:val="20"/>
        </w:rPr>
        <w:tab/>
      </w:r>
      <w:r w:rsidRPr="00CA348D">
        <w:rPr>
          <w:rFonts w:ascii="Calibri" w:eastAsia="Calibri" w:hAnsi="Calibri" w:cs="Calibri"/>
          <w:noProof/>
          <w:sz w:val="20"/>
          <w:szCs w:val="20"/>
        </w:rPr>
        <w:t xml:space="preserve">THL Biobank / The National Institute of Health and Welfare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Susanna Lemmelä </w:t>
      </w:r>
      <w:r w:rsidRPr="00CA348D">
        <w:rPr>
          <w:rFonts w:ascii="Calibri" w:eastAsia="Calibri" w:hAnsi="Calibri" w:cs="Calibri"/>
          <w:noProof/>
          <w:sz w:val="20"/>
          <w:szCs w:val="20"/>
        </w:rPr>
        <w:tab/>
      </w:r>
      <w:r w:rsidR="00B8030A">
        <w:rPr>
          <w:rFonts w:ascii="Calibri" w:eastAsia="Calibri" w:hAnsi="Calibri" w:cs="Calibri"/>
          <w:noProof/>
          <w:sz w:val="20"/>
          <w:szCs w:val="20"/>
        </w:rPr>
        <w:tab/>
      </w:r>
      <w:r w:rsidRPr="00CA348D">
        <w:rPr>
          <w:rFonts w:ascii="Calibri" w:eastAsia="Calibri" w:hAnsi="Calibri" w:cs="Calibri"/>
          <w:noProof/>
          <w:sz w:val="20"/>
          <w:szCs w:val="20"/>
        </w:rPr>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Tero Hiekkalinna </w:t>
      </w:r>
      <w:r w:rsidRPr="00CA348D">
        <w:rPr>
          <w:rFonts w:ascii="Calibri" w:eastAsia="Calibri" w:hAnsi="Calibri" w:cs="Calibri"/>
          <w:noProof/>
          <w:sz w:val="20"/>
          <w:szCs w:val="20"/>
        </w:rPr>
        <w:tab/>
      </w:r>
      <w:r w:rsidRPr="00CA348D">
        <w:rPr>
          <w:rFonts w:ascii="Calibri" w:eastAsia="Calibri" w:hAnsi="Calibri" w:cs="Calibri"/>
          <w:noProof/>
          <w:sz w:val="20"/>
          <w:szCs w:val="20"/>
        </w:rPr>
        <w:tab/>
        <w:t>THL Biobank / The National Institute of Health and Welfare Helsinki, Finland</w:t>
      </w:r>
    </w:p>
    <w:p w:rsidR="00CA348D" w:rsidRPr="00CA348D" w:rsidRDefault="00CA348D" w:rsidP="00633AC2">
      <w:pPr>
        <w:spacing w:line="240" w:lineRule="exact"/>
        <w:ind w:left="2552" w:hanging="32"/>
        <w:rPr>
          <w:rFonts w:ascii="Calibri" w:eastAsia="Calibri" w:hAnsi="Calibri" w:cs="Calibri"/>
          <w:noProof/>
          <w:sz w:val="20"/>
          <w:szCs w:val="20"/>
        </w:rPr>
      </w:pPr>
      <w:r w:rsidRPr="00CA348D">
        <w:rPr>
          <w:rFonts w:ascii="Calibri" w:eastAsia="Calibri" w:hAnsi="Calibri" w:cs="Calibri"/>
          <w:noProof/>
          <w:sz w:val="20"/>
          <w:szCs w:val="20"/>
        </w:rPr>
        <w:t>Manuel González Jiménez</w:t>
      </w:r>
      <w:bookmarkStart w:id="5" w:name="_Toc3981232"/>
      <w:r w:rsidRPr="00CA348D">
        <w:rPr>
          <w:rFonts w:ascii="Calibri" w:eastAsia="Calibri" w:hAnsi="Calibri" w:cs="Calibri"/>
          <w:noProof/>
          <w:sz w:val="20"/>
          <w:szCs w:val="20"/>
        </w:rPr>
        <w:t xml:space="preserve"> THL Biobank / The National Institute of Health and Welfare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Genotyping</w:t>
      </w:r>
      <w:bookmarkEnd w:id="5"/>
      <w:r w:rsidRPr="00CA348D">
        <w:rPr>
          <w:rFonts w:ascii="Calibri" w:eastAsia="Calibri" w:hAnsi="Calibri" w:cs="Calibri"/>
          <w:b/>
          <w:noProof/>
          <w:sz w:val="20"/>
          <w:szCs w:val="20"/>
        </w:rPr>
        <w:t xml:space="preserve">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Kati Donner </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bookmarkStart w:id="6" w:name="_Toc3981233"/>
      <w:r w:rsidRPr="00CA348D">
        <w:rPr>
          <w:rFonts w:ascii="Calibri" w:eastAsia="Calibri" w:hAnsi="Calibri" w:cs="Calibri"/>
          <w:b/>
          <w:noProof/>
          <w:sz w:val="20"/>
          <w:szCs w:val="20"/>
        </w:rPr>
        <w:t>Sequencing Informatics</w:t>
      </w:r>
      <w:bookmarkEnd w:id="6"/>
      <w:r w:rsidRPr="00CA348D">
        <w:rPr>
          <w:rFonts w:ascii="Calibri" w:eastAsia="Calibri" w:hAnsi="Calibri" w:cs="Calibri"/>
          <w:b/>
          <w:noProof/>
          <w:sz w:val="20"/>
          <w:szCs w:val="20"/>
        </w:rPr>
        <w:t xml:space="preserve">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Priit Palta </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Kalle Pärn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Javier Nunez-Fontarnau </w:t>
      </w:r>
      <w:r w:rsidRPr="00CA348D">
        <w:rPr>
          <w:rFonts w:ascii="Calibri" w:eastAsia="Calibri" w:hAnsi="Calibri" w:cs="Calibri"/>
          <w:noProof/>
          <w:sz w:val="20"/>
          <w:szCs w:val="20"/>
        </w:rPr>
        <w:tab/>
      </w:r>
      <w:bookmarkStart w:id="7" w:name="_Toc3981234"/>
      <w:r w:rsidRPr="00CA348D">
        <w:rPr>
          <w:rFonts w:ascii="Calibri" w:eastAsia="Calibri" w:hAnsi="Calibri" w:cs="Calibri"/>
          <w:noProof/>
          <w:sz w:val="20"/>
          <w:szCs w:val="20"/>
        </w:rPr>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rPr>
          <w:rFonts w:ascii="Calibri" w:eastAsia="Calibri" w:hAnsi="Calibri" w:cs="Calibri"/>
          <w:b/>
          <w:noProof/>
          <w:sz w:val="20"/>
          <w:szCs w:val="20"/>
        </w:rPr>
      </w:pPr>
      <w:r w:rsidRPr="00CA348D">
        <w:rPr>
          <w:rFonts w:ascii="Calibri" w:eastAsia="Calibri" w:hAnsi="Calibri" w:cs="Calibri"/>
          <w:b/>
          <w:noProof/>
          <w:sz w:val="20"/>
          <w:szCs w:val="20"/>
        </w:rPr>
        <w:t>Data Management and IT Infrastructure</w:t>
      </w:r>
      <w:bookmarkEnd w:id="7"/>
      <w:r w:rsidRPr="00CA348D">
        <w:rPr>
          <w:rFonts w:ascii="Calibri" w:eastAsia="Calibri" w:hAnsi="Calibri" w:cs="Calibri"/>
          <w:b/>
          <w:noProof/>
          <w:sz w:val="20"/>
          <w:szCs w:val="20"/>
        </w:rPr>
        <w:t xml:space="preserve">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Jarmo Harju </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Elina Kilpeläinen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Timo P. Sipilä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Georg Brein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ind w:left="2552" w:hanging="32"/>
        <w:rPr>
          <w:rFonts w:ascii="Calibri" w:eastAsia="Calibri" w:hAnsi="Calibri" w:cs="Calibri"/>
          <w:noProof/>
          <w:sz w:val="20"/>
          <w:szCs w:val="20"/>
        </w:rPr>
      </w:pPr>
      <w:r w:rsidRPr="00CA348D">
        <w:rPr>
          <w:rFonts w:ascii="Calibri" w:eastAsia="Calibri" w:hAnsi="Calibri" w:cs="Calibri"/>
          <w:noProof/>
          <w:sz w:val="20"/>
          <w:szCs w:val="20"/>
        </w:rPr>
        <w:t xml:space="preserve">Oluwaseun Alexander Dada 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Ghazal Awaisa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Anastasia Shcherban </w:t>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Tuomas Sipilä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color w:val="000000"/>
          <w:sz w:val="20"/>
          <w:szCs w:val="20"/>
        </w:rPr>
      </w:pPr>
      <w:bookmarkStart w:id="8" w:name="_Toc3981231"/>
      <w:r w:rsidRPr="00CA348D">
        <w:rPr>
          <w:rFonts w:ascii="Calibri" w:eastAsia="Calibri" w:hAnsi="Calibri" w:cs="Calibri"/>
          <w:b/>
          <w:noProof/>
          <w:sz w:val="20"/>
          <w:szCs w:val="20"/>
        </w:rPr>
        <w:t>Clinical Endpoint Development</w:t>
      </w:r>
      <w:bookmarkEnd w:id="8"/>
      <w:r w:rsidRPr="00CA348D">
        <w:rPr>
          <w:rFonts w:ascii="Calibri" w:eastAsia="Calibri" w:hAnsi="Calibri" w:cs="Calibri"/>
          <w:b/>
          <w:noProof/>
          <w:color w:val="000000"/>
          <w:sz w:val="20"/>
          <w:szCs w:val="20"/>
        </w:rPr>
        <w:t xml:space="preserve">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Hannele Laivuori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Aki Havulinna </w:t>
      </w:r>
      <w:r w:rsidRPr="00CA348D">
        <w:rPr>
          <w:rFonts w:ascii="Calibri" w:eastAsia="Calibri" w:hAnsi="Calibri" w:cs="Calibri"/>
          <w:noProof/>
          <w:sz w:val="20"/>
          <w:szCs w:val="20"/>
        </w:rPr>
        <w:tab/>
      </w:r>
      <w:r w:rsidRPr="00CA348D">
        <w:rPr>
          <w:rFonts w:ascii="Calibri" w:eastAsia="Calibri" w:hAnsi="Calibri" w:cs="Calibri"/>
          <w:noProof/>
          <w:sz w:val="20"/>
          <w:szCs w:val="20"/>
        </w:rPr>
        <w:tab/>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Susanna Lemmelä </w:t>
      </w:r>
      <w:r w:rsidRPr="00CA348D">
        <w:rPr>
          <w:rFonts w:ascii="Calibri" w:eastAsia="Calibri" w:hAnsi="Calibri" w:cs="Calibri"/>
          <w:noProof/>
          <w:sz w:val="20"/>
          <w:szCs w:val="20"/>
        </w:rPr>
        <w:tab/>
      </w:r>
      <w:r w:rsidR="00B661A7">
        <w:rPr>
          <w:rFonts w:ascii="Calibri" w:eastAsia="Calibri" w:hAnsi="Calibri" w:cs="Calibri"/>
          <w:noProof/>
          <w:sz w:val="20"/>
          <w:szCs w:val="20"/>
        </w:rPr>
        <w:tab/>
      </w:r>
      <w:r w:rsidRPr="00CA348D">
        <w:rPr>
          <w:rFonts w:ascii="Calibri" w:eastAsia="Calibri" w:hAnsi="Calibri" w:cs="Calibri"/>
          <w:noProof/>
          <w:sz w:val="20"/>
          <w:szCs w:val="20"/>
        </w:rPr>
        <w:t xml:space="preserve">Institute for Molecular Medicine Finland, HiLIFE, University of Helsinki, Finland </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Tuomo Kiiskinen </w:t>
      </w:r>
      <w:r w:rsidRPr="00CA348D">
        <w:rPr>
          <w:rFonts w:ascii="Calibri" w:eastAsia="Calibri" w:hAnsi="Calibri" w:cs="Calibri"/>
          <w:noProof/>
          <w:sz w:val="20"/>
          <w:szCs w:val="20"/>
        </w:rPr>
        <w:tab/>
      </w:r>
      <w:r w:rsidRPr="00CA348D">
        <w:rPr>
          <w:rFonts w:ascii="Calibri" w:eastAsia="Calibri" w:hAnsi="Calibri" w:cs="Calibri"/>
          <w:noProof/>
          <w:sz w:val="20"/>
          <w:szCs w:val="20"/>
        </w:rPr>
        <w:tab/>
        <w:t>Institute for Molecular Medicine Finland, HiLIFE, University of Helsinki,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Trajectory Team</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Tarja Laitinen </w:t>
      </w:r>
      <w:r w:rsidRPr="00CA348D">
        <w:rPr>
          <w:rFonts w:ascii="Calibri" w:eastAsia="Calibri" w:hAnsi="Calibri" w:cs="Calibri"/>
          <w:noProof/>
          <w:sz w:val="20"/>
          <w:szCs w:val="20"/>
        </w:rPr>
        <w:tab/>
      </w:r>
      <w:r w:rsidRPr="00CA348D">
        <w:rPr>
          <w:rFonts w:ascii="Calibri" w:eastAsia="Calibri" w:hAnsi="Calibri" w:cs="Calibri"/>
          <w:noProof/>
          <w:sz w:val="20"/>
          <w:szCs w:val="20"/>
        </w:rPr>
        <w:tab/>
        <w:t>Pirkanmaa Hospital District,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Harri Siirtola </w:t>
      </w:r>
      <w:r w:rsidRPr="00CA348D">
        <w:rPr>
          <w:rFonts w:ascii="Calibri" w:eastAsia="Calibri" w:hAnsi="Calibri" w:cs="Calibri"/>
          <w:noProof/>
          <w:sz w:val="20"/>
          <w:szCs w:val="20"/>
        </w:rPr>
        <w:tab/>
      </w:r>
      <w:r w:rsidRPr="00CA348D">
        <w:rPr>
          <w:rFonts w:ascii="Calibri" w:eastAsia="Calibri" w:hAnsi="Calibri" w:cs="Calibri"/>
          <w:noProof/>
          <w:sz w:val="20"/>
          <w:szCs w:val="20"/>
        </w:rPr>
        <w:tab/>
        <w:t>University of Tampere,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Javier Gracia Tabuenca</w:t>
      </w:r>
      <w:r w:rsidRPr="00CA348D">
        <w:rPr>
          <w:rFonts w:ascii="Calibri" w:eastAsia="Calibri" w:hAnsi="Calibri" w:cs="Calibri"/>
          <w:noProof/>
          <w:sz w:val="20"/>
          <w:szCs w:val="20"/>
        </w:rPr>
        <w:tab/>
        <w:t>University of Tampere, Tampere, Finland</w:t>
      </w:r>
    </w:p>
    <w:p w:rsidR="00CA348D" w:rsidRPr="00CA348D" w:rsidRDefault="00CA348D" w:rsidP="00633AC2">
      <w:pPr>
        <w:spacing w:line="240" w:lineRule="exact"/>
        <w:rPr>
          <w:rFonts w:ascii="Calibri" w:eastAsia="Calibri" w:hAnsi="Calibri" w:cs="Calibri"/>
          <w:noProof/>
          <w:sz w:val="20"/>
          <w:szCs w:val="20"/>
        </w:rPr>
      </w:pPr>
    </w:p>
    <w:p w:rsidR="00CA348D" w:rsidRPr="00CA348D" w:rsidRDefault="00CA348D" w:rsidP="00633AC2">
      <w:pPr>
        <w:spacing w:line="240" w:lineRule="exact"/>
        <w:outlineLvl w:val="1"/>
        <w:rPr>
          <w:rFonts w:ascii="Calibri" w:eastAsia="Calibri" w:hAnsi="Calibri" w:cs="Calibri"/>
          <w:b/>
          <w:noProof/>
          <w:sz w:val="20"/>
          <w:szCs w:val="20"/>
        </w:rPr>
      </w:pPr>
      <w:r w:rsidRPr="00CA348D">
        <w:rPr>
          <w:rFonts w:ascii="Calibri" w:eastAsia="Calibri" w:hAnsi="Calibri" w:cs="Calibri"/>
          <w:b/>
          <w:noProof/>
          <w:sz w:val="20"/>
          <w:szCs w:val="20"/>
        </w:rPr>
        <w:t>Biobank Directors</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Lila Kallio </w:t>
      </w:r>
      <w:r w:rsidRPr="00CA348D">
        <w:rPr>
          <w:rFonts w:ascii="Calibri" w:eastAsia="Calibri" w:hAnsi="Calibri" w:cs="Calibri"/>
          <w:noProof/>
          <w:sz w:val="20"/>
          <w:szCs w:val="20"/>
        </w:rPr>
        <w:tab/>
      </w:r>
      <w:r w:rsidRPr="00CA348D">
        <w:rPr>
          <w:rFonts w:ascii="Calibri" w:eastAsia="Calibri" w:hAnsi="Calibri" w:cs="Calibri"/>
          <w:noProof/>
          <w:sz w:val="20"/>
          <w:szCs w:val="20"/>
        </w:rPr>
        <w:tab/>
        <w:t>Auria Biobank, Turku,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Sirpa Soini </w:t>
      </w:r>
      <w:r w:rsidRPr="00CA348D">
        <w:rPr>
          <w:rFonts w:ascii="Calibri" w:eastAsia="Calibri" w:hAnsi="Calibri" w:cs="Calibri"/>
          <w:noProof/>
          <w:sz w:val="20"/>
          <w:szCs w:val="20"/>
        </w:rPr>
        <w:tab/>
      </w:r>
      <w:r w:rsidRPr="00CA348D">
        <w:rPr>
          <w:rFonts w:ascii="Calibri" w:eastAsia="Calibri" w:hAnsi="Calibri" w:cs="Calibri"/>
          <w:noProof/>
          <w:sz w:val="20"/>
          <w:szCs w:val="20"/>
        </w:rPr>
        <w:tab/>
        <w:t>THL Biobank,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Jukka Partanen </w:t>
      </w:r>
      <w:r w:rsidRPr="00CA348D">
        <w:rPr>
          <w:rFonts w:ascii="Calibri" w:eastAsia="Calibri" w:hAnsi="Calibri" w:cs="Calibri"/>
          <w:noProof/>
          <w:sz w:val="20"/>
          <w:szCs w:val="20"/>
        </w:rPr>
        <w:tab/>
      </w:r>
      <w:r w:rsidRPr="00CA348D">
        <w:rPr>
          <w:rFonts w:ascii="Calibri" w:eastAsia="Calibri" w:hAnsi="Calibri" w:cs="Calibri"/>
          <w:noProof/>
          <w:sz w:val="20"/>
          <w:szCs w:val="20"/>
        </w:rPr>
        <w:tab/>
        <w:t>Blood Service Biobank,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Kimmo Pitkänen </w:t>
      </w:r>
      <w:r w:rsidRPr="00CA348D">
        <w:rPr>
          <w:rFonts w:ascii="Calibri" w:eastAsia="Calibri" w:hAnsi="Calibri" w:cs="Calibri"/>
          <w:noProof/>
          <w:sz w:val="20"/>
          <w:szCs w:val="20"/>
        </w:rPr>
        <w:tab/>
      </w:r>
      <w:r w:rsidRPr="00CA348D">
        <w:rPr>
          <w:rFonts w:ascii="Calibri" w:eastAsia="Calibri" w:hAnsi="Calibri" w:cs="Calibri"/>
          <w:noProof/>
          <w:sz w:val="20"/>
          <w:szCs w:val="20"/>
        </w:rPr>
        <w:tab/>
        <w:t>Helsinki Biobank, Helsinki,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Seppo Vainio </w:t>
      </w:r>
      <w:r w:rsidRPr="00CA348D">
        <w:rPr>
          <w:rFonts w:ascii="Calibri" w:eastAsia="Calibri" w:hAnsi="Calibri" w:cs="Calibri"/>
          <w:noProof/>
          <w:sz w:val="20"/>
          <w:szCs w:val="20"/>
        </w:rPr>
        <w:tab/>
      </w:r>
      <w:r w:rsidRPr="00CA348D">
        <w:rPr>
          <w:rFonts w:ascii="Calibri" w:eastAsia="Calibri" w:hAnsi="Calibri" w:cs="Calibri"/>
          <w:noProof/>
          <w:sz w:val="20"/>
          <w:szCs w:val="20"/>
        </w:rPr>
        <w:tab/>
        <w:t>Northern Finland Biobank Borealis, Oulu,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Kimmo Savinainen </w:t>
      </w:r>
      <w:r w:rsidRPr="00CA348D">
        <w:rPr>
          <w:rFonts w:ascii="Calibri" w:eastAsia="Calibri" w:hAnsi="Calibri" w:cs="Calibri"/>
          <w:noProof/>
          <w:sz w:val="20"/>
          <w:szCs w:val="20"/>
        </w:rPr>
        <w:tab/>
      </w:r>
      <w:r w:rsidR="00B661A7">
        <w:rPr>
          <w:rFonts w:ascii="Calibri" w:eastAsia="Calibri" w:hAnsi="Calibri" w:cs="Calibri"/>
          <w:noProof/>
          <w:sz w:val="20"/>
          <w:szCs w:val="20"/>
        </w:rPr>
        <w:tab/>
      </w:r>
      <w:r w:rsidRPr="00CA348D">
        <w:rPr>
          <w:rFonts w:ascii="Calibri" w:eastAsia="Calibri" w:hAnsi="Calibri" w:cs="Calibri"/>
          <w:noProof/>
          <w:sz w:val="20"/>
          <w:szCs w:val="20"/>
        </w:rPr>
        <w:t>Tampere Biobank, Tampere, Finland</w:t>
      </w:r>
    </w:p>
    <w:p w:rsidR="00CA348D" w:rsidRPr="00CA348D" w:rsidRDefault="00CA348D" w:rsidP="00633AC2">
      <w:pPr>
        <w:spacing w:line="240" w:lineRule="exact"/>
        <w:rPr>
          <w:rFonts w:ascii="Calibri" w:eastAsia="Calibri" w:hAnsi="Calibri" w:cs="Calibri"/>
          <w:noProof/>
          <w:sz w:val="20"/>
          <w:szCs w:val="20"/>
        </w:rPr>
      </w:pPr>
      <w:r w:rsidRPr="00CA348D">
        <w:rPr>
          <w:rFonts w:ascii="Calibri" w:eastAsia="Calibri" w:hAnsi="Calibri" w:cs="Calibri"/>
          <w:noProof/>
          <w:sz w:val="20"/>
          <w:szCs w:val="20"/>
        </w:rPr>
        <w:t xml:space="preserve">Veli-Matti Kosma </w:t>
      </w:r>
      <w:r w:rsidRPr="00CA348D">
        <w:rPr>
          <w:rFonts w:ascii="Calibri" w:eastAsia="Calibri" w:hAnsi="Calibri" w:cs="Calibri"/>
          <w:noProof/>
          <w:sz w:val="20"/>
          <w:szCs w:val="20"/>
        </w:rPr>
        <w:tab/>
      </w:r>
      <w:r w:rsidR="00B661A7">
        <w:rPr>
          <w:rFonts w:ascii="Calibri" w:eastAsia="Calibri" w:hAnsi="Calibri" w:cs="Calibri"/>
          <w:noProof/>
          <w:sz w:val="20"/>
          <w:szCs w:val="20"/>
        </w:rPr>
        <w:tab/>
      </w:r>
      <w:r w:rsidRPr="00CA348D">
        <w:rPr>
          <w:rFonts w:ascii="Calibri" w:eastAsia="Calibri" w:hAnsi="Calibri" w:cs="Calibri"/>
          <w:noProof/>
          <w:sz w:val="20"/>
          <w:szCs w:val="20"/>
        </w:rPr>
        <w:t>Biobank of Eastern Finland, Kuopio, Finland</w:t>
      </w:r>
    </w:p>
    <w:p w:rsidR="00CA348D" w:rsidRPr="00CA348D" w:rsidRDefault="00CA348D" w:rsidP="00633AC2">
      <w:pPr>
        <w:spacing w:line="240" w:lineRule="exact"/>
        <w:rPr>
          <w:rFonts w:ascii="Calibri" w:hAnsi="Calibri" w:cs="Calibri"/>
          <w:noProof/>
          <w:sz w:val="20"/>
          <w:szCs w:val="20"/>
        </w:rPr>
      </w:pPr>
      <w:r w:rsidRPr="00CA348D">
        <w:rPr>
          <w:rFonts w:ascii="Calibri" w:eastAsia="Calibri" w:hAnsi="Calibri" w:cs="Calibri"/>
          <w:noProof/>
          <w:sz w:val="20"/>
          <w:szCs w:val="20"/>
        </w:rPr>
        <w:t xml:space="preserve">Teijo Kuopio </w:t>
      </w:r>
      <w:r w:rsidRPr="00CA348D">
        <w:rPr>
          <w:rFonts w:ascii="Calibri" w:eastAsia="Calibri" w:hAnsi="Calibri" w:cs="Calibri"/>
          <w:noProof/>
          <w:sz w:val="20"/>
          <w:szCs w:val="20"/>
        </w:rPr>
        <w:tab/>
      </w:r>
      <w:r w:rsidRPr="00CA348D">
        <w:rPr>
          <w:rFonts w:ascii="Calibri" w:eastAsia="Calibri" w:hAnsi="Calibri" w:cs="Calibri"/>
          <w:noProof/>
          <w:sz w:val="20"/>
          <w:szCs w:val="20"/>
        </w:rPr>
        <w:tab/>
        <w:t>Central Finland Biobank, Jyväskylä, Finland</w:t>
      </w:r>
    </w:p>
    <w:p w:rsidR="008E6ABA" w:rsidRDefault="008E6ABA" w:rsidP="00633AC2">
      <w:pPr>
        <w:widowControl/>
        <w:rPr>
          <w:rFonts w:ascii="Arial" w:hAnsi="Arial" w:cs="Arial"/>
          <w:color w:val="000000" w:themeColor="text1"/>
          <w:szCs w:val="21"/>
        </w:rPr>
      </w:pPr>
      <w:r>
        <w:rPr>
          <w:rFonts w:ascii="Arial" w:hAnsi="Arial" w:cs="Arial"/>
          <w:color w:val="000000" w:themeColor="text1"/>
          <w:szCs w:val="21"/>
        </w:rPr>
        <w:br w:type="page"/>
      </w:r>
    </w:p>
    <w:p w:rsidR="00CA348D" w:rsidRDefault="008E6ABA" w:rsidP="00633AC2">
      <w:pPr>
        <w:widowControl/>
        <w:rPr>
          <w:rFonts w:ascii="Arial" w:hAnsi="Arial" w:cs="Arial"/>
          <w:b/>
          <w:szCs w:val="21"/>
        </w:rPr>
      </w:pPr>
      <w:r w:rsidRPr="000E0822">
        <w:rPr>
          <w:rFonts w:ascii="Arial" w:hAnsi="Arial" w:cs="Arial"/>
          <w:b/>
          <w:szCs w:val="21"/>
        </w:rPr>
        <w:lastRenderedPageBreak/>
        <w:t xml:space="preserve">Supplementary </w:t>
      </w:r>
      <w:r>
        <w:rPr>
          <w:rFonts w:ascii="Arial" w:hAnsi="Arial" w:cs="Arial"/>
          <w:b/>
          <w:szCs w:val="21"/>
        </w:rPr>
        <w:t>References</w:t>
      </w:r>
    </w:p>
    <w:p w:rsidR="00ED16E3" w:rsidRPr="00ED16E3" w:rsidRDefault="007850CC" w:rsidP="00633AC2">
      <w:pPr>
        <w:autoSpaceDE w:val="0"/>
        <w:autoSpaceDN w:val="0"/>
        <w:adjustRightInd w:val="0"/>
        <w:ind w:left="640" w:hanging="640"/>
        <w:rPr>
          <w:rFonts w:ascii="Arial" w:hAnsi="Arial" w:cs="Arial"/>
          <w:noProof/>
          <w:kern w:val="0"/>
          <w:sz w:val="20"/>
        </w:rPr>
      </w:pPr>
      <w:r>
        <w:rPr>
          <w:rFonts w:ascii="Arial" w:hAnsi="Arial" w:cs="Arial"/>
          <w:color w:val="000000" w:themeColor="text1"/>
          <w:szCs w:val="21"/>
        </w:rPr>
        <w:fldChar w:fldCharType="begin" w:fldLock="1"/>
      </w:r>
      <w:r>
        <w:rPr>
          <w:rFonts w:ascii="Arial" w:hAnsi="Arial" w:cs="Arial"/>
          <w:color w:val="000000" w:themeColor="text1"/>
          <w:szCs w:val="21"/>
        </w:rPr>
        <w:instrText xml:space="preserve">ADDIN Mendeley Bibliography CSL_BIBLIOGRAPHY </w:instrText>
      </w:r>
      <w:r>
        <w:rPr>
          <w:rFonts w:ascii="Arial" w:hAnsi="Arial" w:cs="Arial"/>
          <w:color w:val="000000" w:themeColor="text1"/>
          <w:szCs w:val="21"/>
        </w:rPr>
        <w:fldChar w:fldCharType="separate"/>
      </w:r>
      <w:r w:rsidR="00ED16E3" w:rsidRPr="00ED16E3">
        <w:rPr>
          <w:rFonts w:ascii="Arial" w:hAnsi="Arial" w:cs="Arial"/>
          <w:noProof/>
          <w:kern w:val="0"/>
          <w:sz w:val="20"/>
        </w:rPr>
        <w:t>1.</w:t>
      </w:r>
      <w:r w:rsidR="00ED16E3" w:rsidRPr="00ED16E3">
        <w:rPr>
          <w:rFonts w:ascii="Arial" w:hAnsi="Arial" w:cs="Arial"/>
          <w:noProof/>
          <w:kern w:val="0"/>
          <w:sz w:val="20"/>
        </w:rPr>
        <w:tab/>
        <w:t xml:space="preserve">Bycroft, C. </w:t>
      </w:r>
      <w:r w:rsidR="00ED16E3" w:rsidRPr="00ED16E3">
        <w:rPr>
          <w:rFonts w:ascii="Arial" w:hAnsi="Arial" w:cs="Arial"/>
          <w:i/>
          <w:iCs/>
          <w:noProof/>
          <w:kern w:val="0"/>
          <w:sz w:val="20"/>
        </w:rPr>
        <w:t>et al.</w:t>
      </w:r>
      <w:r w:rsidR="00ED16E3" w:rsidRPr="00ED16E3">
        <w:rPr>
          <w:rFonts w:ascii="Arial" w:hAnsi="Arial" w:cs="Arial"/>
          <w:noProof/>
          <w:kern w:val="0"/>
          <w:sz w:val="20"/>
        </w:rPr>
        <w:t xml:space="preserve"> The UK Biobank resource with deep phenotyping and genomic data. </w:t>
      </w:r>
      <w:r w:rsidR="00ED16E3" w:rsidRPr="00ED16E3">
        <w:rPr>
          <w:rFonts w:ascii="Arial" w:hAnsi="Arial" w:cs="Arial"/>
          <w:i/>
          <w:iCs/>
          <w:noProof/>
          <w:kern w:val="0"/>
          <w:sz w:val="20"/>
        </w:rPr>
        <w:t>Nature</w:t>
      </w:r>
      <w:r w:rsidR="00ED16E3" w:rsidRPr="00ED16E3">
        <w:rPr>
          <w:rFonts w:ascii="Arial" w:hAnsi="Arial" w:cs="Arial"/>
          <w:noProof/>
          <w:kern w:val="0"/>
          <w:sz w:val="20"/>
        </w:rPr>
        <w:t xml:space="preserve"> </w:t>
      </w:r>
      <w:r w:rsidR="00ED16E3" w:rsidRPr="00ED16E3">
        <w:rPr>
          <w:rFonts w:ascii="Arial" w:hAnsi="Arial" w:cs="Arial"/>
          <w:b/>
          <w:bCs/>
          <w:noProof/>
          <w:kern w:val="0"/>
          <w:sz w:val="20"/>
        </w:rPr>
        <w:t>562</w:t>
      </w:r>
      <w:r w:rsidR="00ED16E3" w:rsidRPr="00ED16E3">
        <w:rPr>
          <w:rFonts w:ascii="Arial" w:hAnsi="Arial" w:cs="Arial"/>
          <w:noProof/>
          <w:kern w:val="0"/>
          <w:sz w:val="20"/>
        </w:rPr>
        <w:t>, 203–209 (2018).</w:t>
      </w:r>
    </w:p>
    <w:p w:rsidR="00ED16E3" w:rsidRPr="00ED16E3" w:rsidRDefault="00ED16E3" w:rsidP="00633AC2">
      <w:pPr>
        <w:autoSpaceDE w:val="0"/>
        <w:autoSpaceDN w:val="0"/>
        <w:adjustRightInd w:val="0"/>
        <w:ind w:left="640" w:hanging="640"/>
        <w:rPr>
          <w:rFonts w:ascii="Arial" w:hAnsi="Arial" w:cs="Arial"/>
          <w:noProof/>
          <w:sz w:val="20"/>
        </w:rPr>
      </w:pPr>
      <w:r w:rsidRPr="00ED16E3">
        <w:rPr>
          <w:rFonts w:ascii="Arial" w:hAnsi="Arial" w:cs="Arial"/>
          <w:noProof/>
          <w:kern w:val="0"/>
          <w:sz w:val="20"/>
        </w:rPr>
        <w:t>2.</w:t>
      </w:r>
      <w:r w:rsidRPr="00ED16E3">
        <w:rPr>
          <w:rFonts w:ascii="Arial" w:hAnsi="Arial" w:cs="Arial"/>
          <w:noProof/>
          <w:kern w:val="0"/>
          <w:sz w:val="20"/>
        </w:rPr>
        <w:tab/>
        <w:t xml:space="preserve">Kuriyama, S. </w:t>
      </w:r>
      <w:r w:rsidRPr="00ED16E3">
        <w:rPr>
          <w:rFonts w:ascii="Arial" w:hAnsi="Arial" w:cs="Arial"/>
          <w:i/>
          <w:iCs/>
          <w:noProof/>
          <w:kern w:val="0"/>
          <w:sz w:val="20"/>
        </w:rPr>
        <w:t>et al.</w:t>
      </w:r>
      <w:r w:rsidRPr="00ED16E3">
        <w:rPr>
          <w:rFonts w:ascii="Arial" w:hAnsi="Arial" w:cs="Arial"/>
          <w:noProof/>
          <w:kern w:val="0"/>
          <w:sz w:val="20"/>
        </w:rPr>
        <w:t xml:space="preserve"> The Tohoku Medical Megabank Project: Design and mission. </w:t>
      </w:r>
      <w:r w:rsidRPr="00ED16E3">
        <w:rPr>
          <w:rFonts w:ascii="Arial" w:hAnsi="Arial" w:cs="Arial"/>
          <w:i/>
          <w:iCs/>
          <w:noProof/>
          <w:kern w:val="0"/>
          <w:sz w:val="20"/>
        </w:rPr>
        <w:t>J. Epidemiol.</w:t>
      </w:r>
      <w:r w:rsidRPr="00ED16E3">
        <w:rPr>
          <w:rFonts w:ascii="Arial" w:hAnsi="Arial" w:cs="Arial"/>
          <w:noProof/>
          <w:kern w:val="0"/>
          <w:sz w:val="20"/>
        </w:rPr>
        <w:t xml:space="preserve"> </w:t>
      </w:r>
      <w:r w:rsidRPr="00ED16E3">
        <w:rPr>
          <w:rFonts w:ascii="Arial" w:hAnsi="Arial" w:cs="Arial"/>
          <w:b/>
          <w:bCs/>
          <w:noProof/>
          <w:kern w:val="0"/>
          <w:sz w:val="20"/>
        </w:rPr>
        <w:t>26</w:t>
      </w:r>
      <w:r w:rsidRPr="00ED16E3">
        <w:rPr>
          <w:rFonts w:ascii="Arial" w:hAnsi="Arial" w:cs="Arial"/>
          <w:noProof/>
          <w:kern w:val="0"/>
          <w:sz w:val="20"/>
        </w:rPr>
        <w:t>, 493–511 (2016).</w:t>
      </w:r>
    </w:p>
    <w:p w:rsidR="008E6ABA" w:rsidRPr="008E6ABA" w:rsidRDefault="007850CC" w:rsidP="00633AC2">
      <w:pPr>
        <w:autoSpaceDE w:val="0"/>
        <w:autoSpaceDN w:val="0"/>
        <w:adjustRightInd w:val="0"/>
        <w:ind w:left="640" w:hanging="640"/>
        <w:rPr>
          <w:rFonts w:ascii="Arial" w:hAnsi="Arial" w:cs="Arial"/>
          <w:color w:val="000000" w:themeColor="text1"/>
          <w:szCs w:val="21"/>
        </w:rPr>
      </w:pPr>
      <w:r>
        <w:rPr>
          <w:rFonts w:ascii="Arial" w:hAnsi="Arial" w:cs="Arial"/>
          <w:color w:val="000000" w:themeColor="text1"/>
          <w:szCs w:val="21"/>
        </w:rPr>
        <w:fldChar w:fldCharType="end"/>
      </w:r>
    </w:p>
    <w:sectPr w:rsidR="008E6ABA" w:rsidRPr="008E6ABA" w:rsidSect="00A85860">
      <w:footerReference w:type="default" r:id="rId22"/>
      <w:type w:val="continuous"/>
      <w:pgSz w:w="11900" w:h="16840"/>
      <w:pgMar w:top="1440" w:right="1080" w:bottom="1440" w:left="1080" w:header="851" w:footer="68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71319" w:rsidRDefault="00971319" w:rsidP="007D3FC7">
      <w:r>
        <w:separator/>
      </w:r>
    </w:p>
  </w:endnote>
  <w:endnote w:type="continuationSeparator" w:id="0">
    <w:p w:rsidR="00971319" w:rsidRDefault="00971319" w:rsidP="007D3F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00000003" w:usb1="00000000" w:usb2="00000000" w:usb3="00000000" w:csb0="00000001" w:csb1="00000000"/>
  </w:font>
  <w:font w:name="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5599278"/>
      <w:docPartObj>
        <w:docPartGallery w:val="Page Numbers (Bottom of Page)"/>
        <w:docPartUnique/>
      </w:docPartObj>
    </w:sdtPr>
    <w:sdtEndPr/>
    <w:sdtContent>
      <w:p w:rsidR="00AC6CDA" w:rsidRDefault="00AC6CDA">
        <w:pPr>
          <w:pStyle w:val="a7"/>
          <w:jc w:val="center"/>
        </w:pPr>
        <w:r>
          <w:fldChar w:fldCharType="begin"/>
        </w:r>
        <w:r>
          <w:instrText>PAGE   \* MERGEFORMAT</w:instrText>
        </w:r>
        <w:r>
          <w:fldChar w:fldCharType="separate"/>
        </w:r>
        <w:r w:rsidRPr="008E4C01">
          <w:rPr>
            <w:noProof/>
            <w:lang w:val="ja-JP"/>
          </w:rPr>
          <w:t>6</w:t>
        </w:r>
        <w:r>
          <w:fldChar w:fldCharType="end"/>
        </w:r>
      </w:p>
    </w:sdtContent>
  </w:sdt>
  <w:p w:rsidR="00AC6CDA" w:rsidRDefault="00AC6CD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71319" w:rsidRDefault="00971319" w:rsidP="007D3FC7">
      <w:r>
        <w:separator/>
      </w:r>
    </w:p>
  </w:footnote>
  <w:footnote w:type="continuationSeparator" w:id="0">
    <w:p w:rsidR="00971319" w:rsidRDefault="00971319" w:rsidP="007D3FC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18E6"/>
    <w:rsid w:val="000002DA"/>
    <w:rsid w:val="00002B10"/>
    <w:rsid w:val="000033F6"/>
    <w:rsid w:val="00004C94"/>
    <w:rsid w:val="0000593D"/>
    <w:rsid w:val="0001235A"/>
    <w:rsid w:val="00012619"/>
    <w:rsid w:val="00016F14"/>
    <w:rsid w:val="00024B90"/>
    <w:rsid w:val="00034010"/>
    <w:rsid w:val="0003511E"/>
    <w:rsid w:val="00035B40"/>
    <w:rsid w:val="000363E1"/>
    <w:rsid w:val="000440A5"/>
    <w:rsid w:val="0004685D"/>
    <w:rsid w:val="00046B27"/>
    <w:rsid w:val="00050961"/>
    <w:rsid w:val="000543E2"/>
    <w:rsid w:val="00061FDD"/>
    <w:rsid w:val="0006573B"/>
    <w:rsid w:val="00070A5A"/>
    <w:rsid w:val="00072464"/>
    <w:rsid w:val="000768F8"/>
    <w:rsid w:val="00084D1F"/>
    <w:rsid w:val="000861FE"/>
    <w:rsid w:val="00090455"/>
    <w:rsid w:val="0009046F"/>
    <w:rsid w:val="00093BC0"/>
    <w:rsid w:val="000A2101"/>
    <w:rsid w:val="000A3EF6"/>
    <w:rsid w:val="000C4371"/>
    <w:rsid w:val="000D1895"/>
    <w:rsid w:val="000D1D96"/>
    <w:rsid w:val="000D278E"/>
    <w:rsid w:val="000D2A21"/>
    <w:rsid w:val="000D5296"/>
    <w:rsid w:val="000D5AAB"/>
    <w:rsid w:val="000E0822"/>
    <w:rsid w:val="000E1E57"/>
    <w:rsid w:val="000E2E53"/>
    <w:rsid w:val="000E48D5"/>
    <w:rsid w:val="000F00D1"/>
    <w:rsid w:val="000F0946"/>
    <w:rsid w:val="000F2625"/>
    <w:rsid w:val="001016FD"/>
    <w:rsid w:val="0010212E"/>
    <w:rsid w:val="0010737C"/>
    <w:rsid w:val="001110B3"/>
    <w:rsid w:val="00124B08"/>
    <w:rsid w:val="00126FCB"/>
    <w:rsid w:val="00130F31"/>
    <w:rsid w:val="00137A47"/>
    <w:rsid w:val="001414DE"/>
    <w:rsid w:val="0014374F"/>
    <w:rsid w:val="001474D6"/>
    <w:rsid w:val="00153C07"/>
    <w:rsid w:val="00170769"/>
    <w:rsid w:val="00171BD8"/>
    <w:rsid w:val="00175CF8"/>
    <w:rsid w:val="001817C4"/>
    <w:rsid w:val="00182364"/>
    <w:rsid w:val="001827EC"/>
    <w:rsid w:val="00196444"/>
    <w:rsid w:val="001A216E"/>
    <w:rsid w:val="001B11FF"/>
    <w:rsid w:val="001B4CBD"/>
    <w:rsid w:val="001B6296"/>
    <w:rsid w:val="001B7106"/>
    <w:rsid w:val="001C0011"/>
    <w:rsid w:val="001C0AAD"/>
    <w:rsid w:val="001C3BCA"/>
    <w:rsid w:val="001D22EB"/>
    <w:rsid w:val="001E68DB"/>
    <w:rsid w:val="001F1B56"/>
    <w:rsid w:val="001F4ACD"/>
    <w:rsid w:val="001F7C1E"/>
    <w:rsid w:val="002018E6"/>
    <w:rsid w:val="00204976"/>
    <w:rsid w:val="00205100"/>
    <w:rsid w:val="00212EFA"/>
    <w:rsid w:val="0021705F"/>
    <w:rsid w:val="00222F19"/>
    <w:rsid w:val="002244CD"/>
    <w:rsid w:val="00230BE9"/>
    <w:rsid w:val="00230CA2"/>
    <w:rsid w:val="002356C1"/>
    <w:rsid w:val="00236461"/>
    <w:rsid w:val="00237548"/>
    <w:rsid w:val="00237901"/>
    <w:rsid w:val="00241D27"/>
    <w:rsid w:val="00247925"/>
    <w:rsid w:val="002538E7"/>
    <w:rsid w:val="00253D8E"/>
    <w:rsid w:val="00263FFC"/>
    <w:rsid w:val="00264452"/>
    <w:rsid w:val="0027460E"/>
    <w:rsid w:val="00280CC9"/>
    <w:rsid w:val="0028330E"/>
    <w:rsid w:val="00294869"/>
    <w:rsid w:val="00297428"/>
    <w:rsid w:val="002A1933"/>
    <w:rsid w:val="002A6BAE"/>
    <w:rsid w:val="002B5510"/>
    <w:rsid w:val="002C5DBB"/>
    <w:rsid w:val="002D200E"/>
    <w:rsid w:val="002D298A"/>
    <w:rsid w:val="002D5B88"/>
    <w:rsid w:val="002D7ECF"/>
    <w:rsid w:val="002D7F55"/>
    <w:rsid w:val="002E0AAE"/>
    <w:rsid w:val="002E0B94"/>
    <w:rsid w:val="002E57D9"/>
    <w:rsid w:val="002F096E"/>
    <w:rsid w:val="002F34B2"/>
    <w:rsid w:val="00302D5B"/>
    <w:rsid w:val="00303728"/>
    <w:rsid w:val="00304061"/>
    <w:rsid w:val="00305F07"/>
    <w:rsid w:val="00307EAA"/>
    <w:rsid w:val="00310B9D"/>
    <w:rsid w:val="003137D6"/>
    <w:rsid w:val="003239E9"/>
    <w:rsid w:val="00325742"/>
    <w:rsid w:val="00331E3D"/>
    <w:rsid w:val="003326A1"/>
    <w:rsid w:val="00333E87"/>
    <w:rsid w:val="0034045A"/>
    <w:rsid w:val="0034298B"/>
    <w:rsid w:val="0035238C"/>
    <w:rsid w:val="00354395"/>
    <w:rsid w:val="00357F12"/>
    <w:rsid w:val="003630AC"/>
    <w:rsid w:val="00363EDA"/>
    <w:rsid w:val="00365DE4"/>
    <w:rsid w:val="003751B7"/>
    <w:rsid w:val="003752FC"/>
    <w:rsid w:val="003823E5"/>
    <w:rsid w:val="00382EC6"/>
    <w:rsid w:val="00383DD0"/>
    <w:rsid w:val="00385A00"/>
    <w:rsid w:val="00385F9B"/>
    <w:rsid w:val="00390DD8"/>
    <w:rsid w:val="003968F8"/>
    <w:rsid w:val="003A180C"/>
    <w:rsid w:val="003A4681"/>
    <w:rsid w:val="003A765B"/>
    <w:rsid w:val="003A7C56"/>
    <w:rsid w:val="003B19D7"/>
    <w:rsid w:val="003C0D0B"/>
    <w:rsid w:val="003C127F"/>
    <w:rsid w:val="003C20EA"/>
    <w:rsid w:val="003C7BA0"/>
    <w:rsid w:val="003D0C81"/>
    <w:rsid w:val="003D1765"/>
    <w:rsid w:val="003D2A0F"/>
    <w:rsid w:val="003D3DD7"/>
    <w:rsid w:val="003D6E1B"/>
    <w:rsid w:val="003E235A"/>
    <w:rsid w:val="003F4202"/>
    <w:rsid w:val="003F4F7C"/>
    <w:rsid w:val="0040327D"/>
    <w:rsid w:val="00405A42"/>
    <w:rsid w:val="00406895"/>
    <w:rsid w:val="004134D9"/>
    <w:rsid w:val="00414647"/>
    <w:rsid w:val="004151CB"/>
    <w:rsid w:val="004157DF"/>
    <w:rsid w:val="00415D01"/>
    <w:rsid w:val="00416CD4"/>
    <w:rsid w:val="00417DCA"/>
    <w:rsid w:val="00422A51"/>
    <w:rsid w:val="0042689F"/>
    <w:rsid w:val="004347F3"/>
    <w:rsid w:val="0044121F"/>
    <w:rsid w:val="00441896"/>
    <w:rsid w:val="0044633E"/>
    <w:rsid w:val="00447986"/>
    <w:rsid w:val="004512CF"/>
    <w:rsid w:val="0045376A"/>
    <w:rsid w:val="0045446B"/>
    <w:rsid w:val="00460366"/>
    <w:rsid w:val="00460E1F"/>
    <w:rsid w:val="004648CD"/>
    <w:rsid w:val="0046785C"/>
    <w:rsid w:val="0047107A"/>
    <w:rsid w:val="00473557"/>
    <w:rsid w:val="00476ED1"/>
    <w:rsid w:val="004774DE"/>
    <w:rsid w:val="0048076E"/>
    <w:rsid w:val="00481A4A"/>
    <w:rsid w:val="004A0CF3"/>
    <w:rsid w:val="004A1820"/>
    <w:rsid w:val="004A485A"/>
    <w:rsid w:val="004A7F7F"/>
    <w:rsid w:val="004B4994"/>
    <w:rsid w:val="004B6A41"/>
    <w:rsid w:val="004C0332"/>
    <w:rsid w:val="004C0857"/>
    <w:rsid w:val="004C5D58"/>
    <w:rsid w:val="004D0981"/>
    <w:rsid w:val="004D33AB"/>
    <w:rsid w:val="004D6C4B"/>
    <w:rsid w:val="004E028D"/>
    <w:rsid w:val="004E6909"/>
    <w:rsid w:val="004F0EBB"/>
    <w:rsid w:val="004F1019"/>
    <w:rsid w:val="004F2FD2"/>
    <w:rsid w:val="004F4353"/>
    <w:rsid w:val="004F6D39"/>
    <w:rsid w:val="00500BCD"/>
    <w:rsid w:val="00500E08"/>
    <w:rsid w:val="00501F4C"/>
    <w:rsid w:val="00503D55"/>
    <w:rsid w:val="005049E1"/>
    <w:rsid w:val="00504D25"/>
    <w:rsid w:val="0050505C"/>
    <w:rsid w:val="00511E03"/>
    <w:rsid w:val="00515281"/>
    <w:rsid w:val="00517AB5"/>
    <w:rsid w:val="0052129C"/>
    <w:rsid w:val="00524E24"/>
    <w:rsid w:val="00525E51"/>
    <w:rsid w:val="005357F1"/>
    <w:rsid w:val="00541BA2"/>
    <w:rsid w:val="00544083"/>
    <w:rsid w:val="005646B7"/>
    <w:rsid w:val="005701FB"/>
    <w:rsid w:val="00570F79"/>
    <w:rsid w:val="005710A8"/>
    <w:rsid w:val="00576351"/>
    <w:rsid w:val="00583CB9"/>
    <w:rsid w:val="00593393"/>
    <w:rsid w:val="0059389C"/>
    <w:rsid w:val="0059657A"/>
    <w:rsid w:val="005A1661"/>
    <w:rsid w:val="005A456C"/>
    <w:rsid w:val="005A74F1"/>
    <w:rsid w:val="005B2CD4"/>
    <w:rsid w:val="005B2E1C"/>
    <w:rsid w:val="005C557F"/>
    <w:rsid w:val="005C67EF"/>
    <w:rsid w:val="005D260E"/>
    <w:rsid w:val="005D49C2"/>
    <w:rsid w:val="005D5F7B"/>
    <w:rsid w:val="005E0F26"/>
    <w:rsid w:val="005E53AE"/>
    <w:rsid w:val="005F26BE"/>
    <w:rsid w:val="005F5416"/>
    <w:rsid w:val="005F7192"/>
    <w:rsid w:val="005F7C30"/>
    <w:rsid w:val="00600B09"/>
    <w:rsid w:val="006023B1"/>
    <w:rsid w:val="00602455"/>
    <w:rsid w:val="00603E80"/>
    <w:rsid w:val="00612708"/>
    <w:rsid w:val="006173C4"/>
    <w:rsid w:val="00617A31"/>
    <w:rsid w:val="00617AB5"/>
    <w:rsid w:val="00630F84"/>
    <w:rsid w:val="00633AC2"/>
    <w:rsid w:val="00636562"/>
    <w:rsid w:val="00637576"/>
    <w:rsid w:val="00640221"/>
    <w:rsid w:val="00643E4F"/>
    <w:rsid w:val="00644510"/>
    <w:rsid w:val="00647758"/>
    <w:rsid w:val="006504BD"/>
    <w:rsid w:val="00652667"/>
    <w:rsid w:val="0066692C"/>
    <w:rsid w:val="00667FD9"/>
    <w:rsid w:val="00672EE7"/>
    <w:rsid w:val="006811CB"/>
    <w:rsid w:val="00684E43"/>
    <w:rsid w:val="006A508C"/>
    <w:rsid w:val="006B075E"/>
    <w:rsid w:val="006B1F97"/>
    <w:rsid w:val="006B21F3"/>
    <w:rsid w:val="006B2B7B"/>
    <w:rsid w:val="006C08AE"/>
    <w:rsid w:val="006C2869"/>
    <w:rsid w:val="006C3382"/>
    <w:rsid w:val="006C5A86"/>
    <w:rsid w:val="006C5FFA"/>
    <w:rsid w:val="006D0CE9"/>
    <w:rsid w:val="006E34CB"/>
    <w:rsid w:val="006E5AB5"/>
    <w:rsid w:val="006F20DB"/>
    <w:rsid w:val="0070640D"/>
    <w:rsid w:val="0072047B"/>
    <w:rsid w:val="00727D6F"/>
    <w:rsid w:val="00737A3D"/>
    <w:rsid w:val="00740214"/>
    <w:rsid w:val="00740927"/>
    <w:rsid w:val="00742733"/>
    <w:rsid w:val="00743D78"/>
    <w:rsid w:val="00752B9B"/>
    <w:rsid w:val="00755AAB"/>
    <w:rsid w:val="00761CB9"/>
    <w:rsid w:val="007625EB"/>
    <w:rsid w:val="00762C8F"/>
    <w:rsid w:val="007636AA"/>
    <w:rsid w:val="007663EF"/>
    <w:rsid w:val="00772EBB"/>
    <w:rsid w:val="00773E7A"/>
    <w:rsid w:val="00774937"/>
    <w:rsid w:val="0078299E"/>
    <w:rsid w:val="007850CC"/>
    <w:rsid w:val="00791DDD"/>
    <w:rsid w:val="007A145A"/>
    <w:rsid w:val="007A716D"/>
    <w:rsid w:val="007B2D20"/>
    <w:rsid w:val="007B3014"/>
    <w:rsid w:val="007D3FC7"/>
    <w:rsid w:val="007E04CF"/>
    <w:rsid w:val="007F318E"/>
    <w:rsid w:val="00803350"/>
    <w:rsid w:val="00805881"/>
    <w:rsid w:val="00812701"/>
    <w:rsid w:val="00812A22"/>
    <w:rsid w:val="00813B3C"/>
    <w:rsid w:val="00814377"/>
    <w:rsid w:val="00817653"/>
    <w:rsid w:val="00821C27"/>
    <w:rsid w:val="00826425"/>
    <w:rsid w:val="00826567"/>
    <w:rsid w:val="00826DE2"/>
    <w:rsid w:val="008330F9"/>
    <w:rsid w:val="00834420"/>
    <w:rsid w:val="00835B0B"/>
    <w:rsid w:val="0084721F"/>
    <w:rsid w:val="00847D6F"/>
    <w:rsid w:val="0085315D"/>
    <w:rsid w:val="00853260"/>
    <w:rsid w:val="0086028A"/>
    <w:rsid w:val="00862A1D"/>
    <w:rsid w:val="00864458"/>
    <w:rsid w:val="00871BC8"/>
    <w:rsid w:val="008734F9"/>
    <w:rsid w:val="00874081"/>
    <w:rsid w:val="008741A3"/>
    <w:rsid w:val="008742FE"/>
    <w:rsid w:val="00883166"/>
    <w:rsid w:val="00886482"/>
    <w:rsid w:val="00890726"/>
    <w:rsid w:val="008A73DC"/>
    <w:rsid w:val="008A79DB"/>
    <w:rsid w:val="008B07B0"/>
    <w:rsid w:val="008B34E7"/>
    <w:rsid w:val="008D0091"/>
    <w:rsid w:val="008D280A"/>
    <w:rsid w:val="008E4389"/>
    <w:rsid w:val="008E4C01"/>
    <w:rsid w:val="008E514C"/>
    <w:rsid w:val="008E6ABA"/>
    <w:rsid w:val="008F58FC"/>
    <w:rsid w:val="009010E6"/>
    <w:rsid w:val="009021E7"/>
    <w:rsid w:val="00904EBE"/>
    <w:rsid w:val="00913B21"/>
    <w:rsid w:val="00916D2C"/>
    <w:rsid w:val="00925F70"/>
    <w:rsid w:val="00926616"/>
    <w:rsid w:val="00926D14"/>
    <w:rsid w:val="00930358"/>
    <w:rsid w:val="0093496A"/>
    <w:rsid w:val="00940208"/>
    <w:rsid w:val="00941465"/>
    <w:rsid w:val="00942199"/>
    <w:rsid w:val="00943197"/>
    <w:rsid w:val="00946D5E"/>
    <w:rsid w:val="00952F53"/>
    <w:rsid w:val="009577B2"/>
    <w:rsid w:val="009609FF"/>
    <w:rsid w:val="0096248D"/>
    <w:rsid w:val="00962694"/>
    <w:rsid w:val="00970221"/>
    <w:rsid w:val="009710A7"/>
    <w:rsid w:val="00971319"/>
    <w:rsid w:val="009745A1"/>
    <w:rsid w:val="00976BC5"/>
    <w:rsid w:val="009840FA"/>
    <w:rsid w:val="00986F1A"/>
    <w:rsid w:val="00990B73"/>
    <w:rsid w:val="00992BE3"/>
    <w:rsid w:val="009A2BD4"/>
    <w:rsid w:val="009A2F5F"/>
    <w:rsid w:val="009B0D9E"/>
    <w:rsid w:val="009B6CBF"/>
    <w:rsid w:val="009D0648"/>
    <w:rsid w:val="009D7166"/>
    <w:rsid w:val="009E0B28"/>
    <w:rsid w:val="009E4138"/>
    <w:rsid w:val="009F15E1"/>
    <w:rsid w:val="009F3A3F"/>
    <w:rsid w:val="009F6224"/>
    <w:rsid w:val="009F66EA"/>
    <w:rsid w:val="00A00F70"/>
    <w:rsid w:val="00A01A2D"/>
    <w:rsid w:val="00A04AE4"/>
    <w:rsid w:val="00A051C2"/>
    <w:rsid w:val="00A064A6"/>
    <w:rsid w:val="00A10A6A"/>
    <w:rsid w:val="00A13D42"/>
    <w:rsid w:val="00A2103C"/>
    <w:rsid w:val="00A27DE6"/>
    <w:rsid w:val="00A3687B"/>
    <w:rsid w:val="00A37596"/>
    <w:rsid w:val="00A4599A"/>
    <w:rsid w:val="00A46E1F"/>
    <w:rsid w:val="00A5355F"/>
    <w:rsid w:val="00A56EBF"/>
    <w:rsid w:val="00A60D92"/>
    <w:rsid w:val="00A736AF"/>
    <w:rsid w:val="00A76328"/>
    <w:rsid w:val="00A7718C"/>
    <w:rsid w:val="00A81317"/>
    <w:rsid w:val="00A814A1"/>
    <w:rsid w:val="00A8193B"/>
    <w:rsid w:val="00A85860"/>
    <w:rsid w:val="00A908D4"/>
    <w:rsid w:val="00A930B4"/>
    <w:rsid w:val="00AA34A5"/>
    <w:rsid w:val="00AB03AD"/>
    <w:rsid w:val="00AB3608"/>
    <w:rsid w:val="00AB45F4"/>
    <w:rsid w:val="00AC0AF7"/>
    <w:rsid w:val="00AC2246"/>
    <w:rsid w:val="00AC3ED7"/>
    <w:rsid w:val="00AC6CDA"/>
    <w:rsid w:val="00AC744F"/>
    <w:rsid w:val="00AD2768"/>
    <w:rsid w:val="00AE2728"/>
    <w:rsid w:val="00AE5BC5"/>
    <w:rsid w:val="00AE5FEF"/>
    <w:rsid w:val="00AF0BCC"/>
    <w:rsid w:val="00AF1D90"/>
    <w:rsid w:val="00AF5740"/>
    <w:rsid w:val="00AF6D30"/>
    <w:rsid w:val="00AF7FD2"/>
    <w:rsid w:val="00B000AF"/>
    <w:rsid w:val="00B01341"/>
    <w:rsid w:val="00B06B2F"/>
    <w:rsid w:val="00B160FC"/>
    <w:rsid w:val="00B21AF7"/>
    <w:rsid w:val="00B32C5E"/>
    <w:rsid w:val="00B35000"/>
    <w:rsid w:val="00B401A7"/>
    <w:rsid w:val="00B43959"/>
    <w:rsid w:val="00B47EB8"/>
    <w:rsid w:val="00B52D6D"/>
    <w:rsid w:val="00B619A9"/>
    <w:rsid w:val="00B6370C"/>
    <w:rsid w:val="00B63A71"/>
    <w:rsid w:val="00B661A7"/>
    <w:rsid w:val="00B6652F"/>
    <w:rsid w:val="00B66D2D"/>
    <w:rsid w:val="00B67372"/>
    <w:rsid w:val="00B720FE"/>
    <w:rsid w:val="00B73C13"/>
    <w:rsid w:val="00B74F2E"/>
    <w:rsid w:val="00B8030A"/>
    <w:rsid w:val="00B818C8"/>
    <w:rsid w:val="00B83F7A"/>
    <w:rsid w:val="00B84D65"/>
    <w:rsid w:val="00B91770"/>
    <w:rsid w:val="00B9203C"/>
    <w:rsid w:val="00BB5571"/>
    <w:rsid w:val="00BB5D9D"/>
    <w:rsid w:val="00BB7153"/>
    <w:rsid w:val="00BC1B39"/>
    <w:rsid w:val="00BC62E4"/>
    <w:rsid w:val="00BC6383"/>
    <w:rsid w:val="00BD1CD2"/>
    <w:rsid w:val="00BD1D6D"/>
    <w:rsid w:val="00BD3114"/>
    <w:rsid w:val="00BD4175"/>
    <w:rsid w:val="00BD697E"/>
    <w:rsid w:val="00BF2930"/>
    <w:rsid w:val="00C02219"/>
    <w:rsid w:val="00C027E0"/>
    <w:rsid w:val="00C03033"/>
    <w:rsid w:val="00C03669"/>
    <w:rsid w:val="00C10A42"/>
    <w:rsid w:val="00C129E7"/>
    <w:rsid w:val="00C13AA9"/>
    <w:rsid w:val="00C15FE5"/>
    <w:rsid w:val="00C17F4C"/>
    <w:rsid w:val="00C245E9"/>
    <w:rsid w:val="00C40D96"/>
    <w:rsid w:val="00C44A2D"/>
    <w:rsid w:val="00C45419"/>
    <w:rsid w:val="00C50725"/>
    <w:rsid w:val="00C51BA9"/>
    <w:rsid w:val="00C5493B"/>
    <w:rsid w:val="00C55240"/>
    <w:rsid w:val="00C5629D"/>
    <w:rsid w:val="00C60963"/>
    <w:rsid w:val="00C6170B"/>
    <w:rsid w:val="00C61BB4"/>
    <w:rsid w:val="00C7346C"/>
    <w:rsid w:val="00C838A3"/>
    <w:rsid w:val="00C840BA"/>
    <w:rsid w:val="00C91EF6"/>
    <w:rsid w:val="00C9256B"/>
    <w:rsid w:val="00C93E05"/>
    <w:rsid w:val="00C94C56"/>
    <w:rsid w:val="00CA0BCD"/>
    <w:rsid w:val="00CA348D"/>
    <w:rsid w:val="00CB0146"/>
    <w:rsid w:val="00CB10D2"/>
    <w:rsid w:val="00CB18E6"/>
    <w:rsid w:val="00CC3A9A"/>
    <w:rsid w:val="00CC467C"/>
    <w:rsid w:val="00CC69FC"/>
    <w:rsid w:val="00CD57A7"/>
    <w:rsid w:val="00CD5F75"/>
    <w:rsid w:val="00CE29AA"/>
    <w:rsid w:val="00CE3C3F"/>
    <w:rsid w:val="00CE3E93"/>
    <w:rsid w:val="00CE475F"/>
    <w:rsid w:val="00CE7E24"/>
    <w:rsid w:val="00CF50A0"/>
    <w:rsid w:val="00D105D7"/>
    <w:rsid w:val="00D12B99"/>
    <w:rsid w:val="00D13721"/>
    <w:rsid w:val="00D140B2"/>
    <w:rsid w:val="00D179AA"/>
    <w:rsid w:val="00D22AAE"/>
    <w:rsid w:val="00D247CE"/>
    <w:rsid w:val="00D2534E"/>
    <w:rsid w:val="00D402EC"/>
    <w:rsid w:val="00D42D4C"/>
    <w:rsid w:val="00D446F8"/>
    <w:rsid w:val="00D47979"/>
    <w:rsid w:val="00D50102"/>
    <w:rsid w:val="00D50BE4"/>
    <w:rsid w:val="00D51CF3"/>
    <w:rsid w:val="00D53F71"/>
    <w:rsid w:val="00D75512"/>
    <w:rsid w:val="00D80B4F"/>
    <w:rsid w:val="00D82E56"/>
    <w:rsid w:val="00D95B72"/>
    <w:rsid w:val="00DA396D"/>
    <w:rsid w:val="00DA6648"/>
    <w:rsid w:val="00DA7A9C"/>
    <w:rsid w:val="00DB1EAE"/>
    <w:rsid w:val="00DB6A88"/>
    <w:rsid w:val="00DB6CB4"/>
    <w:rsid w:val="00DC5272"/>
    <w:rsid w:val="00DC65B4"/>
    <w:rsid w:val="00DE646F"/>
    <w:rsid w:val="00DF6A4F"/>
    <w:rsid w:val="00E00A91"/>
    <w:rsid w:val="00E02844"/>
    <w:rsid w:val="00E0744E"/>
    <w:rsid w:val="00E103B6"/>
    <w:rsid w:val="00E13663"/>
    <w:rsid w:val="00E15B14"/>
    <w:rsid w:val="00E21CD5"/>
    <w:rsid w:val="00E2731C"/>
    <w:rsid w:val="00E450AA"/>
    <w:rsid w:val="00E55727"/>
    <w:rsid w:val="00E60624"/>
    <w:rsid w:val="00E7312A"/>
    <w:rsid w:val="00E75289"/>
    <w:rsid w:val="00E85946"/>
    <w:rsid w:val="00E91464"/>
    <w:rsid w:val="00E938DD"/>
    <w:rsid w:val="00E95A12"/>
    <w:rsid w:val="00E96616"/>
    <w:rsid w:val="00EA30B1"/>
    <w:rsid w:val="00EA45FB"/>
    <w:rsid w:val="00EA5AEE"/>
    <w:rsid w:val="00EB1415"/>
    <w:rsid w:val="00EB156F"/>
    <w:rsid w:val="00EB54D1"/>
    <w:rsid w:val="00EB5EE1"/>
    <w:rsid w:val="00EC6E06"/>
    <w:rsid w:val="00EC76BF"/>
    <w:rsid w:val="00ED16E3"/>
    <w:rsid w:val="00ED2E0C"/>
    <w:rsid w:val="00ED4369"/>
    <w:rsid w:val="00EE698B"/>
    <w:rsid w:val="00EF0A56"/>
    <w:rsid w:val="00EF7E0C"/>
    <w:rsid w:val="00F01AC0"/>
    <w:rsid w:val="00F068DE"/>
    <w:rsid w:val="00F1529C"/>
    <w:rsid w:val="00F159B3"/>
    <w:rsid w:val="00F22678"/>
    <w:rsid w:val="00F25BD7"/>
    <w:rsid w:val="00F26E82"/>
    <w:rsid w:val="00F30565"/>
    <w:rsid w:val="00F30751"/>
    <w:rsid w:val="00F37A03"/>
    <w:rsid w:val="00F37C3F"/>
    <w:rsid w:val="00F41167"/>
    <w:rsid w:val="00F41423"/>
    <w:rsid w:val="00F436F5"/>
    <w:rsid w:val="00F62C7B"/>
    <w:rsid w:val="00F63301"/>
    <w:rsid w:val="00F65E19"/>
    <w:rsid w:val="00F725F2"/>
    <w:rsid w:val="00F85D24"/>
    <w:rsid w:val="00F90C45"/>
    <w:rsid w:val="00F9476E"/>
    <w:rsid w:val="00F96091"/>
    <w:rsid w:val="00F96383"/>
    <w:rsid w:val="00FB1238"/>
    <w:rsid w:val="00FB3724"/>
    <w:rsid w:val="00FB3C21"/>
    <w:rsid w:val="00FB4269"/>
    <w:rsid w:val="00FC0D03"/>
    <w:rsid w:val="00FD5523"/>
    <w:rsid w:val="00FD564A"/>
    <w:rsid w:val="00FD732E"/>
    <w:rsid w:val="00FD7E41"/>
    <w:rsid w:val="00FE0EEE"/>
    <w:rsid w:val="00FE326B"/>
    <w:rsid w:val="00FE5A2A"/>
    <w:rsid w:val="00FE6657"/>
    <w:rsid w:val="00FF24C0"/>
    <w:rsid w:val="00FF38F6"/>
    <w:rsid w:val="00FF515C"/>
    <w:rsid w:val="00FF6C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2AA153D"/>
  <w15:chartTrackingRefBased/>
  <w15:docId w15:val="{9A706DDF-F302-3348-B0A3-B3FCBA7FF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8131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D3FC7"/>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7D3FC7"/>
    <w:rPr>
      <w:rFonts w:asciiTheme="majorHAnsi" w:eastAsiaTheme="majorEastAsia" w:hAnsiTheme="majorHAnsi" w:cstheme="majorBidi"/>
      <w:sz w:val="18"/>
      <w:szCs w:val="18"/>
    </w:rPr>
  </w:style>
  <w:style w:type="paragraph" w:styleId="a5">
    <w:name w:val="header"/>
    <w:basedOn w:val="a"/>
    <w:link w:val="a6"/>
    <w:uiPriority w:val="99"/>
    <w:unhideWhenUsed/>
    <w:rsid w:val="007D3FC7"/>
    <w:pPr>
      <w:tabs>
        <w:tab w:val="center" w:pos="4252"/>
        <w:tab w:val="right" w:pos="8504"/>
      </w:tabs>
      <w:snapToGrid w:val="0"/>
    </w:pPr>
  </w:style>
  <w:style w:type="character" w:customStyle="1" w:styleId="a6">
    <w:name w:val="ヘッダー (文字)"/>
    <w:basedOn w:val="a0"/>
    <w:link w:val="a5"/>
    <w:uiPriority w:val="99"/>
    <w:rsid w:val="007D3FC7"/>
  </w:style>
  <w:style w:type="paragraph" w:styleId="a7">
    <w:name w:val="footer"/>
    <w:basedOn w:val="a"/>
    <w:link w:val="a8"/>
    <w:uiPriority w:val="99"/>
    <w:unhideWhenUsed/>
    <w:rsid w:val="007D3FC7"/>
    <w:pPr>
      <w:tabs>
        <w:tab w:val="center" w:pos="4252"/>
        <w:tab w:val="right" w:pos="8504"/>
      </w:tabs>
      <w:snapToGrid w:val="0"/>
    </w:pPr>
  </w:style>
  <w:style w:type="character" w:customStyle="1" w:styleId="a8">
    <w:name w:val="フッター (文字)"/>
    <w:basedOn w:val="a0"/>
    <w:link w:val="a7"/>
    <w:uiPriority w:val="99"/>
    <w:rsid w:val="007D3FC7"/>
  </w:style>
  <w:style w:type="character" w:styleId="a9">
    <w:name w:val="Hyperlink"/>
    <w:uiPriority w:val="99"/>
    <w:unhideWhenUsed/>
    <w:rsid w:val="004F4353"/>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4075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91A3FE-B878-6B43-9500-58EA1327E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493</TotalTime>
  <Pages>27</Pages>
  <Words>7245</Words>
  <Characters>41301</Characters>
  <Application>Microsoft Office Word</Application>
  <DocSecurity>0</DocSecurity>
  <Lines>344</Lines>
  <Paragraphs>96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48450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坂上 沙央里</dc:creator>
  <cp:keywords/>
  <dc:description/>
  <cp:lastModifiedBy>Sakaue, Saori</cp:lastModifiedBy>
  <cp:revision>557</cp:revision>
  <cp:lastPrinted>2019-11-04T08:56:00Z</cp:lastPrinted>
  <dcterms:created xsi:type="dcterms:W3CDTF">2019-03-18T11:31:00Z</dcterms:created>
  <dcterms:modified xsi:type="dcterms:W3CDTF">2020-10-16T01:31:00Z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91e0a67a-a787-3d10-8526-701621466488</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6th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17th edition (author-date)</vt:lpwstr>
  </property>
  <property fmtid="{D5CDD505-2E9C-101B-9397-08002B2CF9AE}" pid="12" name="Mendeley Recent Style Id 4_1">
    <vt:lpwstr>http://www.zotero.org/styles/harvard-cite-them-right</vt:lpwstr>
  </property>
  <property fmtid="{D5CDD505-2E9C-101B-9397-08002B2CF9AE}" pid="13" name="Mendeley Recent Style Name 4_1">
    <vt:lpwstr>Cite Them Right 10th edition - Harvard</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3rd edition (note with bibliography)</vt:lpwstr>
  </property>
  <property fmtid="{D5CDD505-2E9C-101B-9397-08002B2CF9AE}" pid="18" name="Mendeley Recent Style Id 7_1">
    <vt:lpwstr>http://www.zotero.org/styles/nature-communications</vt:lpwstr>
  </property>
  <property fmtid="{D5CDD505-2E9C-101B-9397-08002B2CF9AE}" pid="19" name="Mendeley Recent Style Name 7_1">
    <vt:lpwstr>Nature Communications</vt:lpwstr>
  </property>
  <property fmtid="{D5CDD505-2E9C-101B-9397-08002B2CF9AE}" pid="20" name="Mendeley Recent Style Id 8_1">
    <vt:lpwstr>http://www.zotero.org/styles/nature-medicine</vt:lpwstr>
  </property>
  <property fmtid="{D5CDD505-2E9C-101B-9397-08002B2CF9AE}" pid="21" name="Mendeley Recent Style Name 8_1">
    <vt:lpwstr>Nature Medicine</vt:lpwstr>
  </property>
  <property fmtid="{D5CDD505-2E9C-101B-9397-08002B2CF9AE}" pid="22" name="Mendeley Recent Style Id 9_1">
    <vt:lpwstr>http://www.zotero.org/styles/the-lancet</vt:lpwstr>
  </property>
  <property fmtid="{D5CDD505-2E9C-101B-9397-08002B2CF9AE}" pid="23" name="Mendeley Recent Style Name 9_1">
    <vt:lpwstr>The Lancet</vt:lpwstr>
  </property>
  <property fmtid="{D5CDD505-2E9C-101B-9397-08002B2CF9AE}" pid="24" name="Mendeley Citation Style_1">
    <vt:lpwstr>http://www.zotero.org/styles/nature-communications</vt:lpwstr>
  </property>
</Properties>
</file>