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E537" w14:textId="35023CB6" w:rsidR="00CC3C70" w:rsidRPr="00CC3C70" w:rsidRDefault="00815B03" w:rsidP="00CC3C7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512A13">
        <w:rPr>
          <w:rFonts w:ascii="Times New Roman" w:hAnsi="Times New Roman" w:cs="Times New Roman"/>
          <w:b/>
          <w:bCs/>
          <w:noProof/>
          <w:sz w:val="24"/>
          <w:szCs w:val="24"/>
        </w:rPr>
        <w:t>Supplementary Table 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C3C70">
        <w:rPr>
          <w:rFonts w:ascii="Times New Roman" w:hAnsi="Times New Roman" w:cs="Times New Roman"/>
          <w:noProof/>
          <w:sz w:val="24"/>
          <w:szCs w:val="24"/>
        </w:rPr>
        <w:t xml:space="preserve">Matrix of correlation between observed phenotypic measures for Jackson Heart Study. </w:t>
      </w:r>
      <w:r w:rsidR="00913683">
        <w:rPr>
          <w:rFonts w:ascii="Times New Roman" w:hAnsi="Times New Roman" w:cs="Times New Roman"/>
          <w:noProof/>
          <w:sz w:val="24"/>
          <w:szCs w:val="24"/>
        </w:rPr>
        <w:t xml:space="preserve">Spearman </w:t>
      </w:r>
      <w:r w:rsidR="003B5FA8">
        <w:rPr>
          <w:rFonts w:ascii="Times New Roman" w:hAnsi="Times New Roman" w:cs="Times New Roman"/>
          <w:noProof/>
          <w:sz w:val="24"/>
          <w:szCs w:val="24"/>
        </w:rPr>
        <w:t>c</w:t>
      </w:r>
      <w:r w:rsidR="00CC3C70">
        <w:rPr>
          <w:rFonts w:ascii="Times New Roman" w:hAnsi="Times New Roman" w:cs="Times New Roman"/>
          <w:noProof/>
          <w:sz w:val="24"/>
          <w:szCs w:val="24"/>
        </w:rPr>
        <w:t>orrelation coefficients were calculated</w:t>
      </w:r>
      <w:r w:rsidR="00913683">
        <w:rPr>
          <w:rFonts w:ascii="Times New Roman" w:hAnsi="Times New Roman" w:cs="Times New Roman"/>
          <w:noProof/>
          <w:sz w:val="24"/>
          <w:szCs w:val="24"/>
        </w:rPr>
        <w:t>.</w:t>
      </w:r>
      <w:r w:rsidR="00CC3C7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57C8734" w14:textId="5770D44E" w:rsidR="00722BC6" w:rsidRPr="00EB1FF5" w:rsidRDefault="00FF18BF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6BC97" wp14:editId="32FE3CAA">
                <wp:simplePos x="0" y="0"/>
                <wp:positionH relativeFrom="margin">
                  <wp:posOffset>717550</wp:posOffset>
                </wp:positionH>
                <wp:positionV relativeFrom="paragraph">
                  <wp:posOffset>71120</wp:posOffset>
                </wp:positionV>
                <wp:extent cx="6991985" cy="1404620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35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2"/>
                              <w:gridCol w:w="1233"/>
                              <w:gridCol w:w="1260"/>
                              <w:gridCol w:w="1260"/>
                              <w:gridCol w:w="1260"/>
                              <w:gridCol w:w="1260"/>
                              <w:gridCol w:w="1260"/>
                              <w:gridCol w:w="1260"/>
                            </w:tblGrid>
                            <w:tr w:rsidR="00146D72" w14:paraId="2F304D5E" w14:textId="77777777" w:rsidTr="003B5FA8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717B79" w14:textId="77777777" w:rsidR="00146D72" w:rsidRPr="007C73FA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Spearman correlation coefficient, r (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p-value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9AA0D4" w14:textId="77777777" w:rsidR="00146D72" w:rsidRPr="001E6B94" w:rsidRDefault="00146D72" w:rsidP="003B5FA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BMI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18D6FA" w14:textId="77777777" w:rsidR="00146D72" w:rsidRPr="001E6B94" w:rsidRDefault="00146D72" w:rsidP="003B5FA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Waist Circumference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FC3F97" w14:textId="77777777" w:rsidR="00146D72" w:rsidRPr="001E6B94" w:rsidRDefault="00146D72" w:rsidP="003B5FA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Waist to Hip Ratio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20469E" w14:textId="77777777" w:rsidR="00146D72" w:rsidRPr="001E6B94" w:rsidRDefault="00146D72" w:rsidP="003B5FA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Body Fat 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41EF2B" w14:textId="77777777" w:rsidR="00146D72" w:rsidRPr="001E6B94" w:rsidRDefault="00146D72" w:rsidP="003B5FA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Subcutaneous Fat Tissue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81214E" w14:textId="77777777" w:rsidR="00146D72" w:rsidRPr="001E6B94" w:rsidRDefault="00146D72" w:rsidP="003B5FA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Visceral Fat Tissue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E7A19F" w14:textId="77777777" w:rsidR="00146D72" w:rsidRPr="001E6B94" w:rsidRDefault="00146D72" w:rsidP="003B5FA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Visceral: Subcutaneous Fat Ratio</w:t>
                                  </w:r>
                                </w:p>
                              </w:tc>
                            </w:tr>
                            <w:tr w:rsidR="00146D72" w14:paraId="70F59491" w14:textId="77777777" w:rsidTr="001A79AD">
                              <w:trPr>
                                <w:trHeight w:val="538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14EBAF" w14:textId="77777777" w:rsidR="00146D72" w:rsidRPr="001E6B94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24817203"/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BMI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CA27EEE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0EC28BC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EE37796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76F6D51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8C17C44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1C90D41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90E3435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D72" w14:paraId="4FDACF81" w14:textId="77777777" w:rsidTr="001A79AD">
                              <w:trPr>
                                <w:trHeight w:val="515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16B2D" w14:textId="77777777" w:rsidR="00146D72" w:rsidRPr="001E6B94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Waist Circumference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689516D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</w:p>
                                <w:p w14:paraId="5D057F4A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6F118AB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A4C2958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6DAEAEA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772D39A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B2C5E16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0225319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D72" w14:paraId="08766688" w14:textId="77777777" w:rsidTr="001A79AD">
                              <w:trPr>
                                <w:trHeight w:val="538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77782" w14:textId="77777777" w:rsidR="00146D72" w:rsidRPr="001E6B94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Waist to Hip Ratio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E90826D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  <w:p w14:paraId="38E88563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2.66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15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B51EF1F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0.57</w:t>
                                  </w:r>
                                </w:p>
                                <w:p w14:paraId="214F4F08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A97A66B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6D83FC6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1134DCB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C9C4DCB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36157E9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D72" w14:paraId="530136A3" w14:textId="77777777" w:rsidTr="001A79AD">
                              <w:trPr>
                                <w:trHeight w:val="538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481D90" w14:textId="77777777" w:rsidR="00146D72" w:rsidRPr="001E6B94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Body Fat %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6A2F2F6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</w:p>
                                <w:p w14:paraId="344F6C15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5F23B9E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0.49</w:t>
                                  </w:r>
                                </w:p>
                                <w:p w14:paraId="18E5FC02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A01A9E0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-0.13</w:t>
                                  </w:r>
                                </w:p>
                                <w:p w14:paraId="3CDEC55A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1.72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945D268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6A5A8EA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C4DD745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148701A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D72" w14:paraId="16533AFB" w14:textId="77777777" w:rsidTr="001A79AD">
                              <w:trPr>
                                <w:trHeight w:val="538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99F6F6" w14:textId="77777777" w:rsidR="00146D72" w:rsidRPr="001E6B94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Subcutaneous Fat Tissue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DA42850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83</w:t>
                                  </w:r>
                                </w:p>
                                <w:p w14:paraId="7DAB6318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3058E59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0.65</w:t>
                                  </w:r>
                                </w:p>
                                <w:p w14:paraId="7732C545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1C6D935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-0.04</w:t>
                                  </w:r>
                                </w:p>
                                <w:p w14:paraId="7487AAE1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9.08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2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3B377D8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0.81</w:t>
                                  </w:r>
                                </w:p>
                                <w:p w14:paraId="670967EB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EE48307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F838985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43F9567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D72" w14:paraId="48FD6B9A" w14:textId="77777777" w:rsidTr="001A79AD">
                              <w:trPr>
                                <w:trHeight w:val="538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0A6942" w14:textId="77777777" w:rsidR="00146D72" w:rsidRPr="001E6B94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Visceral Fat Tissue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474B3B0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  <w:p w14:paraId="7C1E2EF1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CFBC2BF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0.63</w:t>
                                  </w:r>
                                </w:p>
                                <w:p w14:paraId="516AE224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C72673B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0.49</w:t>
                                  </w:r>
                                </w:p>
                                <w:p w14:paraId="1BEF0858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C1FDD81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0.29</w:t>
                                  </w:r>
                                </w:p>
                                <w:p w14:paraId="2D8166EB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8562308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0.33</w:t>
                                  </w:r>
                                </w:p>
                                <w:p w14:paraId="7B8AC5B1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5CF04B3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1F401FF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D72" w14:paraId="6C109848" w14:textId="77777777" w:rsidTr="001A79AD">
                              <w:trPr>
                                <w:trHeight w:val="538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15D63A" w14:textId="77777777" w:rsidR="00146D72" w:rsidRPr="001E6B94" w:rsidRDefault="00146D72" w:rsidP="00CD77F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6B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Visceral: Subcutaneous Fat Ratio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9C83C66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-0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  <w:p w14:paraId="61C1D9E9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4D1BD13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-0</w:t>
                                  </w: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  <w:p w14:paraId="5D4F5E4A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4.96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8E1154C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0.45</w:t>
                                  </w:r>
                                </w:p>
                                <w:p w14:paraId="7DFAEB55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E231D35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-0.45</w:t>
                                  </w:r>
                                </w:p>
                                <w:p w14:paraId="44244183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DF20E77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-0.55</w:t>
                                  </w:r>
                                </w:p>
                                <w:p w14:paraId="0A21B6D6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A6FEDC8" w14:textId="77777777" w:rsidR="00146D72" w:rsidRPr="007C73FA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0.54</w:t>
                                  </w:r>
                                </w:p>
                                <w:p w14:paraId="4301FAC8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73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(2.20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×10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vertAlign w:val="superscript"/>
                                    </w:rPr>
                                    <w:t>16</w:t>
                                  </w:r>
                                  <w:r w:rsidRPr="007C73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DFE9E6D" w14:textId="77777777" w:rsidR="00146D72" w:rsidRDefault="00146D72" w:rsidP="00CD77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53AEF672" w14:textId="77777777" w:rsidR="00146D72" w:rsidRDefault="00146D72" w:rsidP="006974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6B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5pt;margin-top:5.6pt;width:550.5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" stroked="f">
                <v:textbox style="mso-fit-shape-to-text:t">
                  <w:txbxContent>
                    <w:tbl>
                      <w:tblPr>
                        <w:tblStyle w:val="TableGrid"/>
                        <w:tblW w:w="10435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42"/>
                        <w:gridCol w:w="1233"/>
                        <w:gridCol w:w="1260"/>
                        <w:gridCol w:w="1260"/>
                        <w:gridCol w:w="1260"/>
                        <w:gridCol w:w="1260"/>
                        <w:gridCol w:w="1260"/>
                        <w:gridCol w:w="1260"/>
                      </w:tblGrid>
                      <w:tr w:rsidR="00146D72" w14:paraId="2F304D5E" w14:textId="77777777" w:rsidTr="003B5FA8">
                        <w:trPr>
                          <w:cantSplit/>
                          <w:trHeight w:val="1134"/>
                        </w:trPr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717B79" w14:textId="77777777" w:rsidR="00146D72" w:rsidRPr="007C73FA" w:rsidRDefault="00146D72" w:rsidP="00CD77F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Spearman correlation coefficient, r (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p-value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F9AA0D4" w14:textId="77777777" w:rsidR="00146D72" w:rsidRPr="001E6B94" w:rsidRDefault="00146D72" w:rsidP="003B5F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BMI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A18D6FA" w14:textId="77777777" w:rsidR="00146D72" w:rsidRPr="001E6B94" w:rsidRDefault="00146D72" w:rsidP="003B5F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Waist Circumference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5FC3F97" w14:textId="77777777" w:rsidR="00146D72" w:rsidRPr="001E6B94" w:rsidRDefault="00146D72" w:rsidP="003B5F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Waist to Hip Ratio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920469E" w14:textId="77777777" w:rsidR="00146D72" w:rsidRPr="001E6B94" w:rsidRDefault="00146D72" w:rsidP="003B5F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Body Fat %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41EF2B" w14:textId="77777777" w:rsidR="00146D72" w:rsidRPr="001E6B94" w:rsidRDefault="00146D72" w:rsidP="003B5F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Subcutaneous Fat Tissue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A81214E" w14:textId="77777777" w:rsidR="00146D72" w:rsidRPr="001E6B94" w:rsidRDefault="00146D72" w:rsidP="003B5F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Visceral Fat Tissue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E7A19F" w14:textId="77777777" w:rsidR="00146D72" w:rsidRPr="001E6B94" w:rsidRDefault="00146D72" w:rsidP="003B5F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Visceral: Subcutaneous Fat Ratio</w:t>
                            </w:r>
                          </w:p>
                        </w:tc>
                      </w:tr>
                      <w:tr w:rsidR="00146D72" w14:paraId="70F59491" w14:textId="77777777" w:rsidTr="001A79AD">
                        <w:trPr>
                          <w:trHeight w:val="538"/>
                        </w:trPr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B14EBAF" w14:textId="77777777" w:rsidR="00146D72" w:rsidRPr="001E6B94" w:rsidRDefault="00146D72" w:rsidP="00CD7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2" w:name="_Hlk24817203"/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BMI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1CA27EEE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0EC28BC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EE37796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76F6D51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8C17C44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1C90D41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90E3435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D72" w14:paraId="4FDACF81" w14:textId="77777777" w:rsidTr="001A79AD">
                        <w:trPr>
                          <w:trHeight w:val="515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8516B2D" w14:textId="77777777" w:rsidR="00146D72" w:rsidRPr="001E6B94" w:rsidRDefault="00146D72" w:rsidP="00CD7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Waist Circumference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689516D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  <w:p w14:paraId="5D057F4A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6F118AB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A4C2958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6DAEAEA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0772D39A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B2C5E16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0225319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D72" w14:paraId="08766688" w14:textId="77777777" w:rsidTr="001A79AD">
                        <w:trPr>
                          <w:trHeight w:val="538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8577782" w14:textId="77777777" w:rsidR="00146D72" w:rsidRPr="001E6B94" w:rsidRDefault="00146D72" w:rsidP="00CD7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Waist to Hip Ratio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E90826D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38E88563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2.66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15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B51EF1F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0.57</w:t>
                            </w:r>
                          </w:p>
                          <w:p w14:paraId="214F4F08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7A97A66B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26D83FC6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1134DCB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C9C4DCB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36157E9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D72" w14:paraId="530136A3" w14:textId="77777777" w:rsidTr="001A79AD">
                        <w:trPr>
                          <w:trHeight w:val="538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1481D90" w14:textId="77777777" w:rsidR="00146D72" w:rsidRPr="001E6B94" w:rsidRDefault="00146D72" w:rsidP="00CD7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Body Fat %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6A2F2F6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  <w:p w14:paraId="344F6C15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5F23B9E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0.49</w:t>
                            </w:r>
                          </w:p>
                          <w:p w14:paraId="18E5FC02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A01A9E0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-0.13</w:t>
                            </w:r>
                          </w:p>
                          <w:p w14:paraId="3CDEC55A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1.72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945D268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6A5A8EA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C4DD745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0148701A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D72" w14:paraId="16533AFB" w14:textId="77777777" w:rsidTr="001A79AD">
                        <w:trPr>
                          <w:trHeight w:val="538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099F6F6" w14:textId="77777777" w:rsidR="00146D72" w:rsidRPr="001E6B94" w:rsidRDefault="00146D72" w:rsidP="00CD7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Subcutaneous Fat Tissue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DA42850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  <w:p w14:paraId="7DAB6318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3058E59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0.65</w:t>
                            </w:r>
                          </w:p>
                          <w:p w14:paraId="7732C545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71C6D935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-0.04</w:t>
                            </w:r>
                          </w:p>
                          <w:p w14:paraId="7487AAE1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9.08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2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3B377D8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0.81</w:t>
                            </w:r>
                          </w:p>
                          <w:p w14:paraId="670967EB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EE48307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F838985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043F9567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D72" w14:paraId="48FD6B9A" w14:textId="77777777" w:rsidTr="001A79AD">
                        <w:trPr>
                          <w:trHeight w:val="538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20A6942" w14:textId="77777777" w:rsidR="00146D72" w:rsidRPr="001E6B94" w:rsidRDefault="00146D72" w:rsidP="00CD7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Visceral Fat Tissue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474B3B0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  <w:p w14:paraId="7C1E2EF1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2CFBC2BF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0.63</w:t>
                            </w:r>
                          </w:p>
                          <w:p w14:paraId="516AE224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0C72673B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0.49</w:t>
                            </w:r>
                          </w:p>
                          <w:p w14:paraId="1BEF0858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C1FDD81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0.29</w:t>
                            </w:r>
                          </w:p>
                          <w:p w14:paraId="2D8166EB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8562308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0.33</w:t>
                            </w:r>
                          </w:p>
                          <w:p w14:paraId="7B8AC5B1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5CF04B3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1F401FF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D72" w14:paraId="6C109848" w14:textId="77777777" w:rsidTr="001A79AD">
                        <w:trPr>
                          <w:trHeight w:val="538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15D63A" w14:textId="77777777" w:rsidR="00146D72" w:rsidRPr="001E6B94" w:rsidRDefault="00146D72" w:rsidP="00CD7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B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Visceral: Subcutaneous Fat Ratio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9C83C66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-0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14:paraId="61C1D9E9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4D1BD13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-0</w:t>
                            </w:r>
                            <w:r w:rsidRPr="007C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  <w:p w14:paraId="5D4F5E4A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4.96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8E1154C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0.45</w:t>
                            </w:r>
                          </w:p>
                          <w:p w14:paraId="7DFAEB55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E231D35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-0.45</w:t>
                            </w:r>
                          </w:p>
                          <w:p w14:paraId="44244183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DF20E77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-0.55</w:t>
                            </w:r>
                          </w:p>
                          <w:p w14:paraId="0A21B6D6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A6FEDC8" w14:textId="77777777" w:rsidR="00146D72" w:rsidRPr="007C73FA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0.54</w:t>
                            </w:r>
                          </w:p>
                          <w:p w14:paraId="4301FAC8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3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(2.20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×10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16</w:t>
                            </w:r>
                            <w:r w:rsidRPr="007C73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DFE9E6D" w14:textId="77777777" w:rsidR="00146D72" w:rsidRDefault="00146D72" w:rsidP="00CD7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c>
                      </w:tr>
                      <w:bookmarkEnd w:id="2"/>
                    </w:tbl>
                    <w:p w14:paraId="53AEF672" w14:textId="77777777" w:rsidR="00146D72" w:rsidRDefault="00146D72" w:rsidP="0069749F"/>
                  </w:txbxContent>
                </v:textbox>
                <w10:wrap type="square" anchorx="margin"/>
              </v:shape>
            </w:pict>
          </mc:Fallback>
        </mc:AlternateContent>
      </w:r>
    </w:p>
    <w:p w14:paraId="555B9DD2" w14:textId="5DF74EB8" w:rsidR="00722BC6" w:rsidRPr="00EB1FF5" w:rsidRDefault="00722BC6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55462E" w14:textId="77777777" w:rsidR="003530E0" w:rsidRDefault="003530E0"/>
    <w:p w14:paraId="7B31A034" w14:textId="77777777" w:rsidR="003530E0" w:rsidRDefault="003530E0"/>
    <w:p w14:paraId="667406CC" w14:textId="77777777" w:rsidR="00C252A7" w:rsidRDefault="00C252A7" w:rsidP="003530E0"/>
    <w:p w14:paraId="0045C69B" w14:textId="77777777" w:rsidR="00C252A7" w:rsidRDefault="00C252A7" w:rsidP="003530E0"/>
    <w:p w14:paraId="42A12592" w14:textId="77777777" w:rsidR="00C252A7" w:rsidRDefault="00C252A7" w:rsidP="003530E0"/>
    <w:p w14:paraId="005006B6" w14:textId="77777777" w:rsidR="00C252A7" w:rsidRDefault="00C252A7" w:rsidP="003530E0"/>
    <w:p w14:paraId="3238828B" w14:textId="77777777" w:rsidR="00C252A7" w:rsidRDefault="00C252A7" w:rsidP="003530E0"/>
    <w:p w14:paraId="197BB0BD" w14:textId="77777777" w:rsidR="00C252A7" w:rsidRDefault="00C252A7" w:rsidP="003530E0"/>
    <w:p w14:paraId="31F8F940" w14:textId="77777777" w:rsidR="00C252A7" w:rsidRDefault="00C252A7" w:rsidP="003530E0"/>
    <w:p w14:paraId="1A5F1141" w14:textId="77777777" w:rsidR="00C252A7" w:rsidRDefault="00C252A7" w:rsidP="003530E0"/>
    <w:p w14:paraId="5C289344" w14:textId="1AC7D027" w:rsidR="00C252A7" w:rsidRDefault="00C252A7" w:rsidP="003530E0"/>
    <w:p w14:paraId="7E892708" w14:textId="6EAB46F4" w:rsidR="00C252A7" w:rsidRDefault="00C252A7" w:rsidP="003530E0"/>
    <w:p w14:paraId="3BCDF1F5" w14:textId="66C80C75" w:rsidR="00C252A7" w:rsidRDefault="00C252A7" w:rsidP="003530E0"/>
    <w:p w14:paraId="2392D725" w14:textId="53547CD5" w:rsidR="00C252A7" w:rsidRDefault="00C252A7" w:rsidP="003530E0"/>
    <w:p w14:paraId="6B45E1C6" w14:textId="72F3666F" w:rsidR="00C252A7" w:rsidRDefault="00C252A7" w:rsidP="003530E0"/>
    <w:p w14:paraId="7EAD93C0" w14:textId="640A2E73" w:rsidR="00C252A7" w:rsidRDefault="00C252A7" w:rsidP="003530E0"/>
    <w:p w14:paraId="75A4DBCC" w14:textId="77777777" w:rsidR="00C252A7" w:rsidRDefault="00C252A7" w:rsidP="003530E0"/>
    <w:sectPr w:rsidR="00C252A7" w:rsidSect="00DB41DC">
      <w:pgSz w:w="15840" w:h="12240" w:orient="landscape"/>
      <w:pgMar w:top="1440" w:right="13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C43"/>
    <w:multiLevelType w:val="hybridMultilevel"/>
    <w:tmpl w:val="6A2EFDEE"/>
    <w:lvl w:ilvl="0" w:tplc="A2E6EA6A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6F0D"/>
    <w:multiLevelType w:val="hybridMultilevel"/>
    <w:tmpl w:val="3EEAF55A"/>
    <w:lvl w:ilvl="0" w:tplc="4F9EE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265A"/>
    <w:multiLevelType w:val="hybridMultilevel"/>
    <w:tmpl w:val="6F1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298C"/>
    <w:multiLevelType w:val="hybridMultilevel"/>
    <w:tmpl w:val="234C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46313"/>
    <w:multiLevelType w:val="hybridMultilevel"/>
    <w:tmpl w:val="36D62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363D11"/>
    <w:multiLevelType w:val="hybridMultilevel"/>
    <w:tmpl w:val="D26AB530"/>
    <w:lvl w:ilvl="0" w:tplc="A2E6EA6A">
      <w:start w:val="1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Genetic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rvxezvyr9te4evrs4xrv2xprxvd5xd25da&quot;&gt;references&lt;record-ids&gt;&lt;item&gt;91&lt;/item&gt;&lt;item&gt;92&lt;/item&gt;&lt;/record-ids&gt;&lt;/item&gt;&lt;/Libraries&gt;"/>
  </w:docVars>
  <w:rsids>
    <w:rsidRoot w:val="00722BC6"/>
    <w:rsid w:val="00066615"/>
    <w:rsid w:val="000727C2"/>
    <w:rsid w:val="00080982"/>
    <w:rsid w:val="000D5C10"/>
    <w:rsid w:val="00146D72"/>
    <w:rsid w:val="001532BA"/>
    <w:rsid w:val="0018420B"/>
    <w:rsid w:val="00185604"/>
    <w:rsid w:val="001A79AD"/>
    <w:rsid w:val="001E39BD"/>
    <w:rsid w:val="001F7167"/>
    <w:rsid w:val="0022498D"/>
    <w:rsid w:val="002B2217"/>
    <w:rsid w:val="002B290D"/>
    <w:rsid w:val="002C2239"/>
    <w:rsid w:val="003530E0"/>
    <w:rsid w:val="00392D30"/>
    <w:rsid w:val="00396F2B"/>
    <w:rsid w:val="003B11A0"/>
    <w:rsid w:val="003B58C0"/>
    <w:rsid w:val="003B5FA8"/>
    <w:rsid w:val="00470E0A"/>
    <w:rsid w:val="00474906"/>
    <w:rsid w:val="004C41A5"/>
    <w:rsid w:val="004E1026"/>
    <w:rsid w:val="00512A13"/>
    <w:rsid w:val="005301DA"/>
    <w:rsid w:val="005E1279"/>
    <w:rsid w:val="005F7A65"/>
    <w:rsid w:val="00637F06"/>
    <w:rsid w:val="0064270D"/>
    <w:rsid w:val="00683C49"/>
    <w:rsid w:val="0069749F"/>
    <w:rsid w:val="006B1902"/>
    <w:rsid w:val="006B33C2"/>
    <w:rsid w:val="006D3247"/>
    <w:rsid w:val="006F5051"/>
    <w:rsid w:val="00722BC6"/>
    <w:rsid w:val="0073248C"/>
    <w:rsid w:val="007560E4"/>
    <w:rsid w:val="00762D2E"/>
    <w:rsid w:val="00780D9A"/>
    <w:rsid w:val="00815B03"/>
    <w:rsid w:val="008174B6"/>
    <w:rsid w:val="00820FA9"/>
    <w:rsid w:val="00830EBC"/>
    <w:rsid w:val="00834EBE"/>
    <w:rsid w:val="0084468B"/>
    <w:rsid w:val="0086468A"/>
    <w:rsid w:val="00885724"/>
    <w:rsid w:val="00906BC4"/>
    <w:rsid w:val="00913683"/>
    <w:rsid w:val="0092165E"/>
    <w:rsid w:val="009657E5"/>
    <w:rsid w:val="009B0631"/>
    <w:rsid w:val="00A53801"/>
    <w:rsid w:val="00A53A8D"/>
    <w:rsid w:val="00A73DB2"/>
    <w:rsid w:val="00A7673E"/>
    <w:rsid w:val="00B84D9C"/>
    <w:rsid w:val="00C24465"/>
    <w:rsid w:val="00C252A7"/>
    <w:rsid w:val="00CC2B21"/>
    <w:rsid w:val="00CC3C70"/>
    <w:rsid w:val="00CD77F4"/>
    <w:rsid w:val="00CE02B1"/>
    <w:rsid w:val="00D727F4"/>
    <w:rsid w:val="00DB41DC"/>
    <w:rsid w:val="00E237BA"/>
    <w:rsid w:val="00E3534C"/>
    <w:rsid w:val="00F451AD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3BE1"/>
  <w15:chartTrackingRefBased/>
  <w15:docId w15:val="{79ABB1FF-3CD0-46F9-832D-981442B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2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2BC6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722BC6"/>
  </w:style>
  <w:style w:type="table" w:styleId="PlainTable5">
    <w:name w:val="Plain Table 5"/>
    <w:basedOn w:val="TableNormal"/>
    <w:uiPriority w:val="45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22BC6"/>
    <w:pPr>
      <w:ind w:left="720"/>
      <w:contextualSpacing/>
    </w:pPr>
  </w:style>
  <w:style w:type="table" w:styleId="PlainTable2">
    <w:name w:val="Plain Table 2"/>
    <w:basedOn w:val="TableNormal"/>
    <w:uiPriority w:val="42"/>
    <w:rsid w:val="00722B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2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72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22BC6"/>
  </w:style>
  <w:style w:type="character" w:customStyle="1" w:styleId="eop">
    <w:name w:val="eop"/>
    <w:basedOn w:val="DefaultParagraphFont"/>
    <w:rsid w:val="00722BC6"/>
  </w:style>
  <w:style w:type="paragraph" w:customStyle="1" w:styleId="EndNoteBibliographyTitle">
    <w:name w:val="EndNote Bibliography Title"/>
    <w:basedOn w:val="Normal"/>
    <w:link w:val="EndNoteBibliographyTitleChar"/>
    <w:rsid w:val="00722BC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2BC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2BC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22BC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22BC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22BC6"/>
    <w:rPr>
      <w:i/>
      <w:iCs/>
    </w:rPr>
  </w:style>
  <w:style w:type="character" w:styleId="Strong">
    <w:name w:val="Strong"/>
    <w:basedOn w:val="DefaultParagraphFont"/>
    <w:uiPriority w:val="22"/>
    <w:qFormat/>
    <w:rsid w:val="00722BC6"/>
    <w:rPr>
      <w:b/>
      <w:bCs/>
    </w:rPr>
  </w:style>
  <w:style w:type="paragraph" w:styleId="NormalWeb">
    <w:name w:val="Normal (Web)"/>
    <w:basedOn w:val="Normal"/>
    <w:uiPriority w:val="99"/>
    <w:unhideWhenUsed/>
    <w:rsid w:val="0072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DefaultParagraphFont"/>
    <w:rsid w:val="00722BC6"/>
  </w:style>
  <w:style w:type="character" w:customStyle="1" w:styleId="apple-converted-space">
    <w:name w:val="apple-converted-space"/>
    <w:basedOn w:val="DefaultParagraphFont"/>
    <w:rsid w:val="00722B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C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yaser anwar</dc:creator>
  <cp:keywords/>
  <dc:description/>
  <cp:lastModifiedBy>mohammad yaser anwar</cp:lastModifiedBy>
  <cp:revision>2</cp:revision>
  <dcterms:created xsi:type="dcterms:W3CDTF">2020-04-17T17:26:00Z</dcterms:created>
  <dcterms:modified xsi:type="dcterms:W3CDTF">2020-04-17T17:26:00Z</dcterms:modified>
</cp:coreProperties>
</file>