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B8EFBB" w14:textId="242A6462" w:rsidR="009265C2" w:rsidRDefault="009265C2" w:rsidP="009265C2">
      <w:pPr>
        <w:pStyle w:val="Title"/>
        <w:tabs>
          <w:tab w:val="left" w:pos="6930"/>
        </w:tabs>
        <w:spacing w:after="0" w:line="360" w:lineRule="auto"/>
        <w:jc w:val="center"/>
        <w:rPr>
          <w:b/>
          <w:sz w:val="24"/>
          <w:szCs w:val="24"/>
        </w:rPr>
      </w:pPr>
      <w:bookmarkStart w:id="0" w:name="_gjdgxs" w:colFirst="0" w:colLast="0"/>
      <w:bookmarkEnd w:id="0"/>
      <w:r>
        <w:rPr>
          <w:b/>
          <w:sz w:val="24"/>
          <w:szCs w:val="24"/>
        </w:rPr>
        <w:t>Supplementary</w:t>
      </w:r>
      <w:r w:rsidR="00D811F1">
        <w:rPr>
          <w:b/>
          <w:sz w:val="24"/>
          <w:szCs w:val="24"/>
        </w:rPr>
        <w:t xml:space="preserve"> Figures</w:t>
      </w:r>
    </w:p>
    <w:p w14:paraId="2C891A29" w14:textId="248F338A" w:rsidR="009265C2" w:rsidRPr="002214EA" w:rsidRDefault="009265C2" w:rsidP="009265C2">
      <w:pPr>
        <w:pStyle w:val="Title"/>
        <w:tabs>
          <w:tab w:val="left" w:pos="6930"/>
        </w:tabs>
        <w:spacing w:after="0" w:line="360" w:lineRule="auto"/>
        <w:jc w:val="center"/>
        <w:rPr>
          <w:b/>
          <w:sz w:val="24"/>
          <w:szCs w:val="24"/>
        </w:rPr>
      </w:pPr>
      <w:r w:rsidRPr="002214EA">
        <w:rPr>
          <w:b/>
          <w:sz w:val="24"/>
          <w:szCs w:val="24"/>
        </w:rPr>
        <w:t>Intra-host evolution during SARS-CoV-2 persistent infection</w:t>
      </w:r>
    </w:p>
    <w:p w14:paraId="22BD535D" w14:textId="77777777" w:rsidR="009265C2" w:rsidRPr="002214EA" w:rsidRDefault="009265C2" w:rsidP="009265C2">
      <w:pPr>
        <w:spacing w:line="360" w:lineRule="auto"/>
        <w:jc w:val="both"/>
      </w:pPr>
    </w:p>
    <w:p w14:paraId="5433E0AA" w14:textId="77777777" w:rsidR="009265C2" w:rsidRPr="002214EA" w:rsidRDefault="009265C2" w:rsidP="009265C2">
      <w:pPr>
        <w:spacing w:line="360" w:lineRule="auto"/>
        <w:rPr>
          <w:vertAlign w:val="superscript"/>
        </w:rPr>
      </w:pPr>
      <w:r w:rsidRPr="002214EA">
        <w:t>Carolina M Voloch</w:t>
      </w:r>
      <w:r w:rsidRPr="002214EA">
        <w:rPr>
          <w:vertAlign w:val="superscript"/>
        </w:rPr>
        <w:t>1,*</w:t>
      </w:r>
      <w:r w:rsidRPr="002214EA">
        <w:t>, Ronaldo da Silva F Jr</w:t>
      </w:r>
      <w:r w:rsidRPr="002214EA">
        <w:rPr>
          <w:vertAlign w:val="superscript"/>
        </w:rPr>
        <w:t>2,*</w:t>
      </w:r>
      <w:r w:rsidRPr="002214EA">
        <w:t>, Luiz G P de Almeida</w:t>
      </w:r>
      <w:r w:rsidRPr="002214EA">
        <w:rPr>
          <w:vertAlign w:val="superscript"/>
        </w:rPr>
        <w:t>2,*</w:t>
      </w:r>
      <w:r w:rsidRPr="002214EA">
        <w:t xml:space="preserve">, </w:t>
      </w:r>
      <w:proofErr w:type="spellStart"/>
      <w:r w:rsidRPr="002214EA">
        <w:t>Otavio</w:t>
      </w:r>
      <w:proofErr w:type="spellEnd"/>
      <w:r w:rsidRPr="002214EA">
        <w:t xml:space="preserve"> J. Brustolini</w:t>
      </w:r>
      <w:r w:rsidRPr="002214EA">
        <w:rPr>
          <w:vertAlign w:val="superscript"/>
        </w:rPr>
        <w:t>2,*</w:t>
      </w:r>
      <w:r w:rsidRPr="002214EA">
        <w:t>, Cynthia C Cardoso</w:t>
      </w:r>
      <w:r w:rsidRPr="002214EA">
        <w:rPr>
          <w:vertAlign w:val="superscript"/>
        </w:rPr>
        <w:t>1</w:t>
      </w:r>
      <w:r w:rsidRPr="002214EA">
        <w:t>, Alexandra L Gerber</w:t>
      </w:r>
      <w:r w:rsidRPr="002214EA">
        <w:rPr>
          <w:vertAlign w:val="superscript"/>
        </w:rPr>
        <w:t>2</w:t>
      </w:r>
      <w:r w:rsidRPr="002214EA">
        <w:t>, Ana Paula de C Guimarães</w:t>
      </w:r>
      <w:r w:rsidRPr="002214EA">
        <w:rPr>
          <w:vertAlign w:val="superscript"/>
        </w:rPr>
        <w:t>2</w:t>
      </w:r>
      <w:r w:rsidRPr="002214EA">
        <w:t>, Isabela de Carvalho Leitão</w:t>
      </w:r>
      <w:r w:rsidRPr="002214EA">
        <w:rPr>
          <w:vertAlign w:val="superscript"/>
        </w:rPr>
        <w:t>3</w:t>
      </w:r>
      <w:r w:rsidRPr="002214EA">
        <w:t>, Diana Mariani</w:t>
      </w:r>
      <w:r w:rsidRPr="002214EA">
        <w:rPr>
          <w:vertAlign w:val="superscript"/>
        </w:rPr>
        <w:t>1</w:t>
      </w:r>
      <w:r w:rsidRPr="002214EA">
        <w:t>, Victor Akira Ota</w:t>
      </w:r>
      <w:r w:rsidRPr="002214EA">
        <w:rPr>
          <w:vertAlign w:val="superscript"/>
        </w:rPr>
        <w:t>4</w:t>
      </w:r>
      <w:r w:rsidRPr="002214EA">
        <w:t>, Covid19-UFRJ Workgroup, LNCC-Workgroup, Cristiano X Lima</w:t>
      </w:r>
      <w:r w:rsidRPr="002214EA">
        <w:rPr>
          <w:vertAlign w:val="superscript"/>
        </w:rPr>
        <w:t>5,6</w:t>
      </w:r>
      <w:r w:rsidRPr="002214EA">
        <w:t>, Mauro M Teixeira</w:t>
      </w:r>
      <w:r w:rsidRPr="002214EA">
        <w:rPr>
          <w:vertAlign w:val="superscript"/>
        </w:rPr>
        <w:t>7</w:t>
      </w:r>
      <w:r w:rsidRPr="002214EA">
        <w:t>, Ana Carolina F Dias</w:t>
      </w:r>
      <w:r w:rsidRPr="002214EA">
        <w:rPr>
          <w:vertAlign w:val="superscript"/>
        </w:rPr>
        <w:t>6,7</w:t>
      </w:r>
      <w:r w:rsidRPr="002214EA">
        <w:t>, Rafael Mello Galliez</w:t>
      </w:r>
      <w:r w:rsidRPr="002214EA">
        <w:rPr>
          <w:vertAlign w:val="superscript"/>
        </w:rPr>
        <w:t>4</w:t>
      </w:r>
      <w:r w:rsidRPr="002214EA">
        <w:t xml:space="preserve">, </w:t>
      </w:r>
      <w:proofErr w:type="spellStart"/>
      <w:r w:rsidRPr="002214EA">
        <w:t>Débora</w:t>
      </w:r>
      <w:proofErr w:type="spellEnd"/>
      <w:r w:rsidRPr="002214EA">
        <w:t xml:space="preserve"> Souza Faffe</w:t>
      </w:r>
      <w:r w:rsidRPr="002214EA">
        <w:rPr>
          <w:vertAlign w:val="superscript"/>
        </w:rPr>
        <w:t>3</w:t>
      </w:r>
      <w:r w:rsidRPr="002214EA">
        <w:t xml:space="preserve">, Luís </w:t>
      </w:r>
      <w:proofErr w:type="spellStart"/>
      <w:r w:rsidRPr="002214EA">
        <w:t>Cristóvão</w:t>
      </w:r>
      <w:proofErr w:type="spellEnd"/>
      <w:r w:rsidRPr="002214EA">
        <w:t xml:space="preserve"> Pôrto</w:t>
      </w:r>
      <w:r w:rsidRPr="002214EA">
        <w:rPr>
          <w:vertAlign w:val="superscript"/>
        </w:rPr>
        <w:t>8</w:t>
      </w:r>
      <w:r w:rsidRPr="002214EA">
        <w:t>, Renato S Aguiar</w:t>
      </w:r>
      <w:r w:rsidRPr="002214EA">
        <w:rPr>
          <w:vertAlign w:val="superscript"/>
        </w:rPr>
        <w:t>9</w:t>
      </w:r>
      <w:r w:rsidRPr="002214EA">
        <w:t xml:space="preserve">, </w:t>
      </w:r>
      <w:proofErr w:type="spellStart"/>
      <w:r w:rsidRPr="002214EA">
        <w:t>Terezinha</w:t>
      </w:r>
      <w:proofErr w:type="spellEnd"/>
      <w:r w:rsidRPr="002214EA">
        <w:t xml:space="preserve"> M P </w:t>
      </w:r>
      <w:proofErr w:type="spellStart"/>
      <w:r w:rsidRPr="002214EA">
        <w:t>P</w:t>
      </w:r>
      <w:proofErr w:type="spellEnd"/>
      <w:r w:rsidRPr="002214EA">
        <w:t xml:space="preserve"> Castiñeira</w:t>
      </w:r>
      <w:r w:rsidRPr="002214EA">
        <w:rPr>
          <w:vertAlign w:val="superscript"/>
        </w:rPr>
        <w:t>4</w:t>
      </w:r>
      <w:r w:rsidRPr="002214EA">
        <w:t>, Orlando C. Ferreira</w:t>
      </w:r>
      <w:r w:rsidRPr="002214EA">
        <w:rPr>
          <w:vertAlign w:val="superscript"/>
        </w:rPr>
        <w:t>1</w:t>
      </w:r>
      <w:r w:rsidRPr="002214EA">
        <w:t>, Amilcar Tanuri</w:t>
      </w:r>
      <w:r w:rsidRPr="002214EA">
        <w:rPr>
          <w:vertAlign w:val="superscript"/>
        </w:rPr>
        <w:t>1</w:t>
      </w:r>
      <w:r w:rsidRPr="002214EA">
        <w:t>, Ana Tereza R de Vasconcelos</w:t>
      </w:r>
      <w:r w:rsidRPr="002214EA">
        <w:rPr>
          <w:vertAlign w:val="superscript"/>
        </w:rPr>
        <w:t>2,±</w:t>
      </w:r>
    </w:p>
    <w:p w14:paraId="653EB757" w14:textId="77777777" w:rsidR="009265C2" w:rsidRPr="002214EA" w:rsidRDefault="009265C2" w:rsidP="009265C2">
      <w:pPr>
        <w:spacing w:line="360" w:lineRule="auto"/>
      </w:pPr>
    </w:p>
    <w:p w14:paraId="320C7FCA" w14:textId="618253D2" w:rsidR="009265C2" w:rsidRDefault="009265C2" w:rsidP="009265C2">
      <w:pPr>
        <w:spacing w:line="360" w:lineRule="auto"/>
        <w:rPr>
          <w:b/>
          <w:bCs/>
          <w:highlight w:val="white"/>
        </w:rPr>
      </w:pPr>
      <w:r w:rsidRPr="00924176">
        <w:rPr>
          <w:b/>
          <w:bCs/>
        </w:rPr>
        <w:t>*</w:t>
      </w:r>
      <w:r w:rsidRPr="00924176">
        <w:rPr>
          <w:b/>
          <w:bCs/>
          <w:highlight w:val="white"/>
        </w:rPr>
        <w:t>These authors contributed equally to this article.</w:t>
      </w:r>
    </w:p>
    <w:p w14:paraId="44B4D8D9" w14:textId="635618DC" w:rsidR="009265C2" w:rsidRDefault="009265C2" w:rsidP="009265C2">
      <w:pPr>
        <w:spacing w:line="360" w:lineRule="auto"/>
        <w:rPr>
          <w:b/>
          <w:bCs/>
        </w:rPr>
      </w:pPr>
      <w:r w:rsidRPr="00924176">
        <w:rPr>
          <w:b/>
          <w:bCs/>
          <w:vertAlign w:val="superscript"/>
        </w:rPr>
        <w:t>±</w:t>
      </w:r>
      <w:r w:rsidRPr="00924176">
        <w:rPr>
          <w:b/>
          <w:bCs/>
        </w:rPr>
        <w:t>Correspond</w:t>
      </w:r>
      <w:r w:rsidR="00D811F1">
        <w:rPr>
          <w:b/>
          <w:bCs/>
        </w:rPr>
        <w:t>ing author</w:t>
      </w:r>
    </w:p>
    <w:p w14:paraId="61ACD56E" w14:textId="3B1D9F95" w:rsidR="009265C2" w:rsidRDefault="009265C2">
      <w:pPr>
        <w:spacing w:line="240" w:lineRule="auto"/>
        <w:rPr>
          <w:b/>
          <w:bCs/>
        </w:rPr>
      </w:pPr>
      <w:r>
        <w:rPr>
          <w:b/>
          <w:bCs/>
        </w:rPr>
        <w:br w:type="page"/>
      </w:r>
    </w:p>
    <w:p w14:paraId="3E84C82F" w14:textId="77777777" w:rsidR="009265C2" w:rsidRPr="002214EA" w:rsidRDefault="009265C2" w:rsidP="009265C2">
      <w:pPr>
        <w:pStyle w:val="Heading1"/>
        <w:spacing w:before="0" w:after="0" w:line="360" w:lineRule="auto"/>
      </w:pPr>
      <w:r w:rsidRPr="002214EA">
        <w:lastRenderedPageBreak/>
        <w:t>Supplementary Figures</w:t>
      </w:r>
    </w:p>
    <w:p w14:paraId="07008A25" w14:textId="77777777" w:rsidR="009265C2" w:rsidRPr="002214EA" w:rsidRDefault="009265C2" w:rsidP="009265C2">
      <w:pPr>
        <w:spacing w:line="360" w:lineRule="auto"/>
        <w:rPr>
          <w:b/>
        </w:rPr>
      </w:pPr>
    </w:p>
    <w:p w14:paraId="3AC06377" w14:textId="77777777" w:rsidR="009265C2" w:rsidRPr="002214EA" w:rsidRDefault="009265C2" w:rsidP="009265C2">
      <w:pPr>
        <w:spacing w:line="360" w:lineRule="auto"/>
        <w:rPr>
          <w:b/>
        </w:rPr>
      </w:pPr>
      <w:r w:rsidRPr="002214EA">
        <w:rPr>
          <w:b/>
          <w:noProof/>
        </w:rPr>
        <w:drawing>
          <wp:inline distT="114300" distB="114300" distL="114300" distR="114300" wp14:anchorId="59A30BE2" wp14:editId="5F0BB36B">
            <wp:extent cx="5943600" cy="4114800"/>
            <wp:effectExtent l="0" t="0" r="0" b="0"/>
            <wp:docPr id="11"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1.png" descr="Diagram&#10;&#10;Description automatically generated"/>
                    <pic:cNvPicPr preferRelativeResize="0"/>
                  </pic:nvPicPr>
                  <pic:blipFill>
                    <a:blip r:embed="rId4"/>
                    <a:srcRect/>
                    <a:stretch>
                      <a:fillRect/>
                    </a:stretch>
                  </pic:blipFill>
                  <pic:spPr>
                    <a:xfrm>
                      <a:off x="0" y="0"/>
                      <a:ext cx="5943600" cy="4114800"/>
                    </a:xfrm>
                    <a:prstGeom prst="rect">
                      <a:avLst/>
                    </a:prstGeom>
                    <a:ln/>
                  </pic:spPr>
                </pic:pic>
              </a:graphicData>
            </a:graphic>
          </wp:inline>
        </w:drawing>
      </w:r>
    </w:p>
    <w:p w14:paraId="01B4A4A6" w14:textId="77777777" w:rsidR="009265C2" w:rsidRPr="002214EA" w:rsidRDefault="009265C2" w:rsidP="009265C2">
      <w:pPr>
        <w:spacing w:line="360" w:lineRule="auto"/>
      </w:pPr>
      <w:r w:rsidRPr="002214EA">
        <w:rPr>
          <w:b/>
        </w:rPr>
        <w:t xml:space="preserve">Supplementary Figure 1. Differential genetic variation enrichment over time. </w:t>
      </w:r>
      <w:r w:rsidRPr="002214EA">
        <w:t>Statistical analysis of the number of variants and non-synonymous/synonymous ratio in T1 (orange) versus T2 (purple) using Wilcoxon test.</w:t>
      </w:r>
    </w:p>
    <w:p w14:paraId="0A1D34AC" w14:textId="77777777" w:rsidR="009265C2" w:rsidRPr="002214EA" w:rsidRDefault="009265C2" w:rsidP="009265C2">
      <w:pPr>
        <w:spacing w:line="360" w:lineRule="auto"/>
        <w:rPr>
          <w:b/>
        </w:rPr>
      </w:pPr>
      <w:r w:rsidRPr="002214EA">
        <w:br w:type="page"/>
      </w:r>
    </w:p>
    <w:p w14:paraId="1D7A5F17" w14:textId="77777777" w:rsidR="009265C2" w:rsidRPr="002214EA" w:rsidRDefault="009265C2" w:rsidP="009265C2">
      <w:pPr>
        <w:spacing w:line="360" w:lineRule="auto"/>
        <w:rPr>
          <w:b/>
        </w:rPr>
      </w:pPr>
      <w:r w:rsidRPr="002214EA">
        <w:rPr>
          <w:b/>
          <w:noProof/>
        </w:rPr>
        <w:lastRenderedPageBreak/>
        <w:drawing>
          <wp:inline distT="114300" distB="114300" distL="114300" distR="114300" wp14:anchorId="5EEEF34D" wp14:editId="0FF8AC3D">
            <wp:extent cx="5943600" cy="5054600"/>
            <wp:effectExtent l="0" t="0" r="0" b="0"/>
            <wp:docPr id="8"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3.png" descr="Diagram&#10;&#10;Description automatically generated"/>
                    <pic:cNvPicPr preferRelativeResize="0"/>
                  </pic:nvPicPr>
                  <pic:blipFill>
                    <a:blip r:embed="rId5"/>
                    <a:srcRect/>
                    <a:stretch>
                      <a:fillRect/>
                    </a:stretch>
                  </pic:blipFill>
                  <pic:spPr>
                    <a:xfrm>
                      <a:off x="0" y="0"/>
                      <a:ext cx="5943600" cy="5054600"/>
                    </a:xfrm>
                    <a:prstGeom prst="rect">
                      <a:avLst/>
                    </a:prstGeom>
                    <a:ln/>
                  </pic:spPr>
                </pic:pic>
              </a:graphicData>
            </a:graphic>
          </wp:inline>
        </w:drawing>
      </w:r>
    </w:p>
    <w:p w14:paraId="7A9EAD17" w14:textId="77777777" w:rsidR="009265C2" w:rsidRPr="002214EA" w:rsidRDefault="009265C2" w:rsidP="009265C2">
      <w:pPr>
        <w:spacing w:line="360" w:lineRule="auto"/>
      </w:pPr>
      <w:r w:rsidRPr="002214EA">
        <w:rPr>
          <w:b/>
        </w:rPr>
        <w:t xml:space="preserve">Supplementary Figure 2. Mutational signature frequency comparison. </w:t>
      </w:r>
      <w:r w:rsidRPr="002214EA">
        <w:t>Statistical analysis of the transition and transversion frequencies throughout the SARS-CoV-2 genome using Wilcoxon test for each type of substitution.</w:t>
      </w:r>
      <w:r w:rsidRPr="002214EA">
        <w:br w:type="page"/>
      </w:r>
    </w:p>
    <w:p w14:paraId="346341B5" w14:textId="77777777" w:rsidR="009265C2" w:rsidRPr="002214EA" w:rsidRDefault="009265C2" w:rsidP="009265C2">
      <w:pPr>
        <w:spacing w:line="360" w:lineRule="auto"/>
      </w:pPr>
    </w:p>
    <w:p w14:paraId="5EDC7FAA" w14:textId="77777777" w:rsidR="009265C2" w:rsidRPr="002214EA" w:rsidRDefault="009265C2" w:rsidP="009265C2">
      <w:pPr>
        <w:spacing w:line="360" w:lineRule="auto"/>
        <w:rPr>
          <w:b/>
        </w:rPr>
      </w:pPr>
      <w:r w:rsidRPr="002214EA">
        <w:rPr>
          <w:b/>
          <w:noProof/>
        </w:rPr>
        <w:drawing>
          <wp:inline distT="114300" distB="114300" distL="114300" distR="114300" wp14:anchorId="51F45CC7" wp14:editId="2698161C">
            <wp:extent cx="5943600" cy="6019800"/>
            <wp:effectExtent l="0" t="0" r="0" b="0"/>
            <wp:docPr id="7" name="image6.png" descr="A picture containing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6.png" descr="A picture containing application&#10;&#10;Description automatically generated"/>
                    <pic:cNvPicPr preferRelativeResize="0"/>
                  </pic:nvPicPr>
                  <pic:blipFill>
                    <a:blip r:embed="rId6"/>
                    <a:srcRect/>
                    <a:stretch>
                      <a:fillRect/>
                    </a:stretch>
                  </pic:blipFill>
                  <pic:spPr>
                    <a:xfrm>
                      <a:off x="0" y="0"/>
                      <a:ext cx="5943600" cy="6019800"/>
                    </a:xfrm>
                    <a:prstGeom prst="rect">
                      <a:avLst/>
                    </a:prstGeom>
                    <a:ln/>
                  </pic:spPr>
                </pic:pic>
              </a:graphicData>
            </a:graphic>
          </wp:inline>
        </w:drawing>
      </w:r>
    </w:p>
    <w:p w14:paraId="4C1A7E77" w14:textId="77777777" w:rsidR="009265C2" w:rsidRPr="002214EA" w:rsidRDefault="009265C2" w:rsidP="009265C2">
      <w:pPr>
        <w:spacing w:line="360" w:lineRule="auto"/>
      </w:pPr>
      <w:r w:rsidRPr="002214EA">
        <w:rPr>
          <w:b/>
        </w:rPr>
        <w:t xml:space="preserve">Supplementary Figure 3. Mutational signature correlation analysis. </w:t>
      </w:r>
      <w:r w:rsidRPr="002214EA">
        <w:t xml:space="preserve">Pairwise Spearman’s correlation tests of the mutational signature in each patient. Color squares indicate significance level of the correlation (P &lt; 0,05). </w:t>
      </w:r>
      <w:r w:rsidRPr="002214EA">
        <w:br w:type="page"/>
      </w:r>
    </w:p>
    <w:p w14:paraId="5CA50100" w14:textId="77777777" w:rsidR="00F31DFE" w:rsidRPr="002214EA" w:rsidRDefault="00F31DFE" w:rsidP="00F31DFE">
      <w:pPr>
        <w:spacing w:line="360" w:lineRule="auto"/>
      </w:pPr>
      <w:r w:rsidRPr="002214EA">
        <w:rPr>
          <w:noProof/>
        </w:rPr>
        <w:lastRenderedPageBreak/>
        <w:drawing>
          <wp:inline distT="114300" distB="114300" distL="114300" distR="114300" wp14:anchorId="2A354FC8" wp14:editId="5A427157">
            <wp:extent cx="5943600" cy="2387600"/>
            <wp:effectExtent l="0" t="0" r="0" b="0"/>
            <wp:docPr id="5" name="image2.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Chart&#10;&#10;Description automatically generated"/>
                    <pic:cNvPicPr preferRelativeResize="0"/>
                  </pic:nvPicPr>
                  <pic:blipFill>
                    <a:blip r:embed="rId7"/>
                    <a:srcRect/>
                    <a:stretch>
                      <a:fillRect/>
                    </a:stretch>
                  </pic:blipFill>
                  <pic:spPr>
                    <a:xfrm>
                      <a:off x="0" y="0"/>
                      <a:ext cx="5943600" cy="2387600"/>
                    </a:xfrm>
                    <a:prstGeom prst="rect">
                      <a:avLst/>
                    </a:prstGeom>
                    <a:ln/>
                  </pic:spPr>
                </pic:pic>
              </a:graphicData>
            </a:graphic>
          </wp:inline>
        </w:drawing>
      </w:r>
    </w:p>
    <w:p w14:paraId="41245749" w14:textId="2ED881BF" w:rsidR="00F31DFE" w:rsidRPr="002214EA" w:rsidRDefault="00F31DFE" w:rsidP="00F31DFE">
      <w:pPr>
        <w:spacing w:line="360" w:lineRule="auto"/>
      </w:pPr>
      <w:r w:rsidRPr="002214EA">
        <w:rPr>
          <w:b/>
        </w:rPr>
        <w:t xml:space="preserve">Supplementary Figure </w:t>
      </w:r>
      <w:r>
        <w:rPr>
          <w:b/>
        </w:rPr>
        <w:t>4</w:t>
      </w:r>
      <w:r w:rsidRPr="002214EA">
        <w:rPr>
          <w:b/>
        </w:rPr>
        <w:t xml:space="preserve">. Long-term infection sample classification using machine learning model. A) </w:t>
      </w:r>
      <w:r w:rsidRPr="002214EA">
        <w:t>Receiver operating characteristic (ROC) curve showing a graphical representation of the relationship between sensitivity and specificity of the time point (T1 and T2) classification. The metrics table displays model performance.</w:t>
      </w:r>
      <w:r w:rsidRPr="002214EA">
        <w:rPr>
          <w:b/>
        </w:rPr>
        <w:t xml:space="preserve"> B)</w:t>
      </w:r>
      <w:r w:rsidRPr="002214EA">
        <w:t xml:space="preserve"> Overall feature </w:t>
      </w:r>
      <w:proofErr w:type="spellStart"/>
      <w:r w:rsidRPr="002214EA">
        <w:t>importances</w:t>
      </w:r>
      <w:proofErr w:type="spellEnd"/>
      <w:r w:rsidRPr="002214EA">
        <w:t xml:space="preserve"> and exhibits the most significant variables to separate the T1 and T2 classes.</w:t>
      </w:r>
    </w:p>
    <w:p w14:paraId="2F726FAD" w14:textId="77777777" w:rsidR="009265C2" w:rsidRPr="002214EA" w:rsidRDefault="009265C2" w:rsidP="009265C2">
      <w:pPr>
        <w:spacing w:line="360" w:lineRule="auto"/>
      </w:pPr>
    </w:p>
    <w:p w14:paraId="54330E85" w14:textId="77777777" w:rsidR="009265C2" w:rsidRPr="002214EA" w:rsidRDefault="009265C2" w:rsidP="009265C2">
      <w:pPr>
        <w:spacing w:line="360" w:lineRule="auto"/>
        <w:rPr>
          <w:b/>
        </w:rPr>
      </w:pPr>
      <w:r w:rsidRPr="002214EA">
        <w:rPr>
          <w:b/>
          <w:noProof/>
        </w:rPr>
        <w:lastRenderedPageBreak/>
        <w:drawing>
          <wp:inline distT="114300" distB="114300" distL="114300" distR="114300" wp14:anchorId="33950584" wp14:editId="77016E85">
            <wp:extent cx="5943600" cy="4940300"/>
            <wp:effectExtent l="0" t="0" r="0" b="0"/>
            <wp:docPr id="9"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5.png" descr="Diagram&#10;&#10;Description automatically generated"/>
                    <pic:cNvPicPr preferRelativeResize="0"/>
                  </pic:nvPicPr>
                  <pic:blipFill>
                    <a:blip r:embed="rId8"/>
                    <a:srcRect/>
                    <a:stretch>
                      <a:fillRect/>
                    </a:stretch>
                  </pic:blipFill>
                  <pic:spPr>
                    <a:xfrm>
                      <a:off x="0" y="0"/>
                      <a:ext cx="5943600" cy="4940300"/>
                    </a:xfrm>
                    <a:prstGeom prst="rect">
                      <a:avLst/>
                    </a:prstGeom>
                    <a:ln/>
                  </pic:spPr>
                </pic:pic>
              </a:graphicData>
            </a:graphic>
          </wp:inline>
        </w:drawing>
      </w:r>
    </w:p>
    <w:p w14:paraId="45C0F9E1" w14:textId="32DD1B23" w:rsidR="009265C2" w:rsidRPr="002214EA" w:rsidRDefault="009265C2" w:rsidP="009265C2">
      <w:pPr>
        <w:spacing w:line="360" w:lineRule="auto"/>
      </w:pPr>
      <w:r w:rsidRPr="002214EA">
        <w:rPr>
          <w:b/>
        </w:rPr>
        <w:t xml:space="preserve">Supplementary Figure </w:t>
      </w:r>
      <w:r w:rsidR="00E630DD">
        <w:rPr>
          <w:b/>
        </w:rPr>
        <w:t>5</w:t>
      </w:r>
      <w:r w:rsidRPr="002214EA">
        <w:rPr>
          <w:b/>
        </w:rPr>
        <w:t xml:space="preserve">. </w:t>
      </w:r>
      <w:proofErr w:type="spellStart"/>
      <w:r w:rsidRPr="002214EA">
        <w:rPr>
          <w:b/>
        </w:rPr>
        <w:t>Quasispecies</w:t>
      </w:r>
      <w:proofErr w:type="spellEnd"/>
      <w:r w:rsidRPr="002214EA">
        <w:rPr>
          <w:b/>
        </w:rPr>
        <w:t xml:space="preserve"> richness and functional diversity inferences. </w:t>
      </w:r>
      <w:r w:rsidRPr="002214EA">
        <w:t>Comparative analysis of the richness indices in A and B (number of haplotypes and number of polymorphic sites) and diversity (normalized Shannon entropy, average mutation frequency by entity, functional attribute diversity and nucleotide diversity by entity) between T1 and T2 samples.</w:t>
      </w:r>
      <w:r w:rsidRPr="002214EA">
        <w:br w:type="page"/>
      </w:r>
    </w:p>
    <w:p w14:paraId="173F065B" w14:textId="77777777" w:rsidR="009265C2" w:rsidRPr="002214EA" w:rsidRDefault="009265C2" w:rsidP="009265C2">
      <w:pPr>
        <w:spacing w:line="360" w:lineRule="auto"/>
      </w:pPr>
    </w:p>
    <w:p w14:paraId="67E38DD3" w14:textId="77777777" w:rsidR="009265C2" w:rsidRPr="002214EA" w:rsidRDefault="009265C2" w:rsidP="009265C2">
      <w:pPr>
        <w:spacing w:line="360" w:lineRule="auto"/>
      </w:pPr>
      <w:r w:rsidRPr="002214EA">
        <w:rPr>
          <w:noProof/>
        </w:rPr>
        <w:drawing>
          <wp:inline distT="114300" distB="114300" distL="114300" distR="114300" wp14:anchorId="0CF9CECB" wp14:editId="667EF991">
            <wp:extent cx="5943600" cy="4686300"/>
            <wp:effectExtent l="0" t="0" r="0" b="0"/>
            <wp:docPr id="1" name="image7.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7.png" descr="Chart, histogram&#10;&#10;Description automatically generated"/>
                    <pic:cNvPicPr preferRelativeResize="0"/>
                  </pic:nvPicPr>
                  <pic:blipFill>
                    <a:blip r:embed="rId9"/>
                    <a:srcRect/>
                    <a:stretch>
                      <a:fillRect/>
                    </a:stretch>
                  </pic:blipFill>
                  <pic:spPr>
                    <a:xfrm>
                      <a:off x="0" y="0"/>
                      <a:ext cx="5943600" cy="4686300"/>
                    </a:xfrm>
                    <a:prstGeom prst="rect">
                      <a:avLst/>
                    </a:prstGeom>
                    <a:ln/>
                  </pic:spPr>
                </pic:pic>
              </a:graphicData>
            </a:graphic>
          </wp:inline>
        </w:drawing>
      </w:r>
    </w:p>
    <w:p w14:paraId="4A455277" w14:textId="7191A6F9" w:rsidR="009265C2" w:rsidRPr="00924176" w:rsidRDefault="009265C2" w:rsidP="009265C2">
      <w:pPr>
        <w:spacing w:line="360" w:lineRule="auto"/>
        <w:rPr>
          <w:b/>
          <w:bCs/>
        </w:rPr>
      </w:pPr>
      <w:r w:rsidRPr="002214EA">
        <w:rPr>
          <w:b/>
        </w:rPr>
        <w:t xml:space="preserve">Supplementary Figure </w:t>
      </w:r>
      <w:r w:rsidR="00E630DD">
        <w:rPr>
          <w:b/>
        </w:rPr>
        <w:t>6</w:t>
      </w:r>
      <w:r w:rsidRPr="002214EA">
        <w:rPr>
          <w:b/>
        </w:rPr>
        <w:t xml:space="preserve">. Distribution of haplotypes frequencies between T1 and T2. </w:t>
      </w:r>
      <w:r w:rsidRPr="002214EA">
        <w:t>Haplotypes of T1 samples are represented in orange and T2 in purple.</w:t>
      </w:r>
      <w:r>
        <w:rPr>
          <w:b/>
          <w:bCs/>
        </w:rPr>
        <w:t xml:space="preserve"> </w:t>
      </w:r>
    </w:p>
    <w:p w14:paraId="5FD68B8F" w14:textId="77777777" w:rsidR="009265C2" w:rsidRPr="00924176" w:rsidRDefault="009265C2" w:rsidP="009265C2">
      <w:pPr>
        <w:spacing w:line="360" w:lineRule="auto"/>
        <w:rPr>
          <w:b/>
          <w:bCs/>
          <w:highlight w:val="white"/>
        </w:rPr>
      </w:pPr>
    </w:p>
    <w:p w14:paraId="0D625F47" w14:textId="77777777" w:rsidR="0070742C" w:rsidRDefault="0070742C"/>
    <w:sectPr w:rsidR="0070742C" w:rsidSect="009265C2">
      <w:pgSz w:w="11900" w:h="16840"/>
      <w:pgMar w:top="1440" w:right="1104"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5C2"/>
    <w:rsid w:val="000B50A2"/>
    <w:rsid w:val="00210B37"/>
    <w:rsid w:val="00622520"/>
    <w:rsid w:val="0070742C"/>
    <w:rsid w:val="009265C2"/>
    <w:rsid w:val="009521AE"/>
    <w:rsid w:val="00AC7069"/>
    <w:rsid w:val="00D501BF"/>
    <w:rsid w:val="00D811F1"/>
    <w:rsid w:val="00E630DD"/>
    <w:rsid w:val="00F31DFE"/>
  </w:rsids>
  <m:mathPr>
    <m:mathFont m:val="Cambria Math"/>
    <m:brkBin m:val="before"/>
    <m:brkBinSub m:val="--"/>
    <m:smallFrac m:val="0"/>
    <m:dispDef/>
    <m:lMargin m:val="0"/>
    <m:rMargin m:val="0"/>
    <m:defJc m:val="centerGroup"/>
    <m:wrapIndent m:val="1440"/>
    <m:intLim m:val="subSup"/>
    <m:naryLim m:val="undOvr"/>
  </m:mathPr>
  <w:themeFontLang w:val="en-BR"/>
  <w:clrSchemeMapping w:bg1="light1" w:t1="dark1" w:bg2="light2" w:t2="dark2" w:accent1="accent1" w:accent2="accent2" w:accent3="accent3" w:accent4="accent4" w:accent5="accent5" w:accent6="accent6" w:hyperlink="hyperlink" w:followedHyperlink="followedHyperlink"/>
  <w:decimalSymbol w:val=","/>
  <w:listSeparator w:val=","/>
  <w14:docId w14:val="6EEF22CF"/>
  <w15:chartTrackingRefBased/>
  <w15:docId w15:val="{B94212B7-3531-1F47-BB53-CC9AC7280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5C2"/>
    <w:pPr>
      <w:spacing w:line="480" w:lineRule="auto"/>
    </w:pPr>
    <w:rPr>
      <w:rFonts w:ascii="Times New Roman" w:eastAsia="Times New Roman" w:hAnsi="Times New Roman" w:cs="Times New Roman"/>
      <w:lang w:val="en"/>
    </w:rPr>
  </w:style>
  <w:style w:type="paragraph" w:styleId="Heading1">
    <w:name w:val="heading 1"/>
    <w:basedOn w:val="Normal"/>
    <w:next w:val="Normal"/>
    <w:link w:val="Heading1Char"/>
    <w:uiPriority w:val="9"/>
    <w:qFormat/>
    <w:rsid w:val="009265C2"/>
    <w:pPr>
      <w:keepNext/>
      <w:keepLines/>
      <w:spacing w:before="400" w:after="120"/>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265C2"/>
    <w:pPr>
      <w:keepNext/>
      <w:keepLines/>
      <w:spacing w:after="60"/>
    </w:pPr>
    <w:rPr>
      <w:sz w:val="52"/>
      <w:szCs w:val="52"/>
    </w:rPr>
  </w:style>
  <w:style w:type="character" w:customStyle="1" w:styleId="TitleChar">
    <w:name w:val="Title Char"/>
    <w:basedOn w:val="DefaultParagraphFont"/>
    <w:link w:val="Title"/>
    <w:uiPriority w:val="10"/>
    <w:rsid w:val="009265C2"/>
    <w:rPr>
      <w:rFonts w:ascii="Times New Roman" w:eastAsia="Times New Roman" w:hAnsi="Times New Roman" w:cs="Times New Roman"/>
      <w:sz w:val="52"/>
      <w:szCs w:val="52"/>
      <w:lang w:val="en"/>
    </w:rPr>
  </w:style>
  <w:style w:type="character" w:customStyle="1" w:styleId="Heading1Char">
    <w:name w:val="Heading 1 Char"/>
    <w:basedOn w:val="DefaultParagraphFont"/>
    <w:link w:val="Heading1"/>
    <w:uiPriority w:val="9"/>
    <w:rsid w:val="009265C2"/>
    <w:rPr>
      <w:rFonts w:ascii="Times New Roman" w:eastAsia="Times New Roman" w:hAnsi="Times New Roman" w:cs="Times New Roman"/>
      <w:b/>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9663ECE-2F10-E547-8578-4A10CA8964EF}">
  <we:reference id="wa200001011" version="1.1.0.0" store="en-US" storeType="OMEX"/>
  <we:alternateReferences>
    <we:reference id="wa200001011" version="1.1.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TotalTime>
  <Pages>7</Pages>
  <Words>349</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Voloch</dc:creator>
  <cp:keywords/>
  <dc:description/>
  <cp:lastModifiedBy>Carolina Voloch</cp:lastModifiedBy>
  <cp:revision>2</cp:revision>
  <dcterms:created xsi:type="dcterms:W3CDTF">2020-11-13T16:23:00Z</dcterms:created>
  <dcterms:modified xsi:type="dcterms:W3CDTF">2020-11-13T16:23:00Z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documentId_5007</vt:lpwstr>
  </property>
  <property fmtid="{D5CDD505-2E9C-101B-9397-08002B2CF9AE}" pid="3" name="grammarly_documentContext">
    <vt:lpwstr>{"goals":[],"domain":"general","emotions":[],"dialect":"american"}</vt:lpwstr>
  </property>
</Properties>
</file>