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C935C" w14:textId="4AB25EE6" w:rsidR="00042C46" w:rsidRPr="007C0A23" w:rsidRDefault="00C13311" w:rsidP="00C13311">
      <w:pPr>
        <w:widowControl w:val="0"/>
        <w:autoSpaceDE w:val="0"/>
        <w:autoSpaceDN w:val="0"/>
        <w:adjustRightInd w:val="0"/>
        <w:spacing w:afterLines="120" w:after="288" w:line="360" w:lineRule="auto"/>
        <w:jc w:val="center"/>
        <w:rPr>
          <w:rFonts w:ascii="Times New Roman" w:eastAsiaTheme="majorEastAsia" w:hAnsi="Times New Roman" w:cs="Times New Roman"/>
          <w:b/>
          <w:color w:val="000000" w:themeColor="text1"/>
          <w:spacing w:val="5"/>
          <w:kern w:val="28"/>
          <w:sz w:val="32"/>
          <w:szCs w:val="32"/>
        </w:rPr>
      </w:pPr>
      <w:r w:rsidRPr="007C0A23">
        <w:rPr>
          <w:rFonts w:ascii="Times New Roman" w:eastAsiaTheme="majorEastAsia" w:hAnsi="Times New Roman" w:cs="Times New Roman"/>
          <w:b/>
          <w:color w:val="000000" w:themeColor="text1"/>
          <w:spacing w:val="5"/>
          <w:kern w:val="28"/>
          <w:sz w:val="32"/>
          <w:szCs w:val="32"/>
        </w:rPr>
        <w:t xml:space="preserve">Description of Supplementary </w:t>
      </w:r>
      <w:r w:rsidR="00812B1B" w:rsidRPr="007C0A23">
        <w:rPr>
          <w:rFonts w:ascii="Times New Roman" w:eastAsiaTheme="majorEastAsia" w:hAnsi="Times New Roman" w:cs="Times New Roman"/>
          <w:b/>
          <w:color w:val="000000" w:themeColor="text1"/>
          <w:spacing w:val="5"/>
          <w:kern w:val="28"/>
          <w:sz w:val="32"/>
          <w:szCs w:val="32"/>
        </w:rPr>
        <w:t xml:space="preserve">Data </w:t>
      </w:r>
      <w:r w:rsidRPr="007C0A23">
        <w:rPr>
          <w:rFonts w:ascii="Times New Roman" w:eastAsiaTheme="majorEastAsia" w:hAnsi="Times New Roman" w:cs="Times New Roman"/>
          <w:b/>
          <w:color w:val="000000" w:themeColor="text1"/>
          <w:spacing w:val="5"/>
          <w:kern w:val="28"/>
          <w:sz w:val="32"/>
          <w:szCs w:val="32"/>
        </w:rPr>
        <w:t>Files</w:t>
      </w:r>
    </w:p>
    <w:p w14:paraId="3630A635" w14:textId="77777777" w:rsidR="00C13311" w:rsidRDefault="00C13311" w:rsidP="00C13311">
      <w:pPr>
        <w:spacing w:line="360" w:lineRule="auto"/>
        <w:rPr>
          <w:b/>
          <w:lang w:val="en-US"/>
        </w:rPr>
      </w:pPr>
    </w:p>
    <w:p w14:paraId="1F8A707D" w14:textId="7DDE7487" w:rsidR="00C13311" w:rsidRDefault="00C13311" w:rsidP="00C13311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File Name: </w:t>
      </w:r>
      <w:r w:rsidRPr="00C13311">
        <w:rPr>
          <w:lang w:val="en-US"/>
        </w:rPr>
        <w:t>Supplementary Data</w:t>
      </w:r>
      <w:r w:rsidR="001A2198">
        <w:rPr>
          <w:lang w:val="en-US"/>
        </w:rPr>
        <w:t xml:space="preserve"> 1</w:t>
      </w:r>
      <w:r w:rsidR="00635461">
        <w:rPr>
          <w:lang w:val="en-US"/>
        </w:rPr>
        <w:t xml:space="preserve">. </w:t>
      </w:r>
      <w:r w:rsidR="00316FC7">
        <w:rPr>
          <w:rFonts w:ascii="Calibri" w:hAnsi="Calibri"/>
          <w:lang w:val="en-US"/>
        </w:rPr>
        <w:t>Cohort</w:t>
      </w:r>
      <w:r w:rsidR="00316FC7" w:rsidRPr="00316FC7">
        <w:rPr>
          <w:rFonts w:ascii="Calibri" w:hAnsi="Calibri"/>
          <w:lang w:val="en-US"/>
        </w:rPr>
        <w:t xml:space="preserve">-specific Manhattan </w:t>
      </w:r>
      <w:r w:rsidR="00316FC7">
        <w:rPr>
          <w:rFonts w:ascii="Calibri" w:hAnsi="Calibri"/>
          <w:lang w:val="en-US"/>
        </w:rPr>
        <w:t>p</w:t>
      </w:r>
      <w:r w:rsidR="00316FC7" w:rsidRPr="00316FC7">
        <w:rPr>
          <w:rFonts w:ascii="Calibri" w:hAnsi="Calibri"/>
          <w:lang w:val="en-US"/>
        </w:rPr>
        <w:t>lots.</w:t>
      </w:r>
    </w:p>
    <w:p w14:paraId="149B5FBD" w14:textId="2BC5D540" w:rsidR="00C13311" w:rsidRPr="00316FC7" w:rsidRDefault="00C13311" w:rsidP="00316FC7">
      <w:pPr>
        <w:spacing w:line="360" w:lineRule="auto"/>
        <w:jc w:val="both"/>
        <w:rPr>
          <w:lang w:val="en-US"/>
        </w:rPr>
      </w:pPr>
      <w:r w:rsidRPr="00316FC7">
        <w:rPr>
          <w:b/>
          <w:lang w:val="en-US"/>
        </w:rPr>
        <w:t xml:space="preserve">Description: </w:t>
      </w:r>
      <w:r w:rsidR="00316FC7" w:rsidRPr="00316FC7">
        <w:rPr>
          <w:lang w:val="en-US"/>
        </w:rPr>
        <w:t xml:space="preserve">Manhattan plots are presented for the case-control GWAS of otosclerosis in a) </w:t>
      </w:r>
      <w:proofErr w:type="spellStart"/>
      <w:r w:rsidR="00316FC7" w:rsidRPr="00316FC7">
        <w:rPr>
          <w:lang w:val="en-US"/>
        </w:rPr>
        <w:t>FinnGen</w:t>
      </w:r>
      <w:proofErr w:type="spellEnd"/>
      <w:r w:rsidR="00316FC7" w:rsidRPr="00316FC7">
        <w:rPr>
          <w:lang w:val="en-US"/>
        </w:rPr>
        <w:t xml:space="preserve"> (1,350 cases and 209,582 controls), b) </w:t>
      </w:r>
      <w:proofErr w:type="spellStart"/>
      <w:r w:rsidR="00316FC7" w:rsidRPr="00316FC7">
        <w:rPr>
          <w:lang w:val="en-US"/>
        </w:rPr>
        <w:t>EstBB</w:t>
      </w:r>
      <w:proofErr w:type="spellEnd"/>
      <w:r w:rsidR="00316FC7" w:rsidRPr="00316FC7">
        <w:rPr>
          <w:lang w:val="en-US"/>
        </w:rPr>
        <w:t xml:space="preserve"> (713 cases and 136,793 controls), and c) UKBB (350 cases and 416,007 controls</w:t>
      </w:r>
      <w:r w:rsidR="00316FC7" w:rsidRPr="00BF73E5">
        <w:rPr>
          <w:lang w:val="en-US"/>
        </w:rPr>
        <w:t xml:space="preserve">). </w:t>
      </w:r>
      <w:r w:rsidR="00BF73E5" w:rsidRPr="00BF73E5">
        <w:rPr>
          <w:rFonts w:ascii="Calibri" w:hAnsi="Calibri"/>
          <w:sz w:val="22"/>
          <w:szCs w:val="22"/>
          <w:lang w:val="en-US"/>
        </w:rPr>
        <w:t>In the Manhattan plot</w:t>
      </w:r>
      <w:r w:rsidR="00BF73E5" w:rsidRPr="00BF73E5">
        <w:rPr>
          <w:rFonts w:ascii="Calibri" w:hAnsi="Calibri"/>
          <w:sz w:val="22"/>
          <w:szCs w:val="22"/>
          <w:lang w:val="en-US"/>
        </w:rPr>
        <w:t>s</w:t>
      </w:r>
      <w:r w:rsidR="00BF73E5" w:rsidRPr="00BF73E5">
        <w:rPr>
          <w:rFonts w:ascii="Calibri" w:hAnsi="Calibri"/>
          <w:sz w:val="22"/>
          <w:szCs w:val="22"/>
          <w:lang w:val="en-US"/>
        </w:rPr>
        <w:t>, chromosomal positions are indicated on the x-axis and -log</w:t>
      </w:r>
      <w:r w:rsidR="00BF73E5" w:rsidRPr="00BF73E5">
        <w:rPr>
          <w:rFonts w:ascii="Calibri" w:hAnsi="Calibri"/>
          <w:sz w:val="22"/>
          <w:szCs w:val="22"/>
          <w:vertAlign w:val="subscript"/>
          <w:lang w:val="en-US"/>
        </w:rPr>
        <w:t>10</w:t>
      </w:r>
      <w:r w:rsidR="00BF73E5" w:rsidRPr="00BF73E5">
        <w:rPr>
          <w:rFonts w:ascii="Calibri" w:hAnsi="Calibri"/>
          <w:sz w:val="22"/>
          <w:szCs w:val="22"/>
          <w:lang w:val="en-US"/>
        </w:rPr>
        <w:t xml:space="preserve">(p-value) is presented on the y-axis for each variant. </w:t>
      </w:r>
      <w:r w:rsidR="00316FC7" w:rsidRPr="00BF73E5">
        <w:rPr>
          <w:rFonts w:ascii="Calibri" w:hAnsi="Calibri" w:cs="Times New Roman"/>
          <w:color w:val="000000" w:themeColor="text1"/>
          <w:sz w:val="22"/>
          <w:szCs w:val="22"/>
        </w:rPr>
        <w:t>Variants</w:t>
      </w:r>
      <w:r w:rsidR="00316FC7" w:rsidRPr="00316FC7">
        <w:rPr>
          <w:rFonts w:ascii="Calibri" w:hAnsi="Calibri" w:cs="Times New Roman"/>
          <w:color w:val="000000" w:themeColor="text1"/>
          <w:sz w:val="22"/>
          <w:szCs w:val="22"/>
        </w:rPr>
        <w:t xml:space="preserve"> with a minor allele frequency &gt; 0.1% and imputation INFO score &gt; 0.7 were included in the analysis.</w:t>
      </w:r>
    </w:p>
    <w:p w14:paraId="34D91EBE" w14:textId="25E81A5D" w:rsidR="00FC45D3" w:rsidRDefault="00FC45D3" w:rsidP="00042C46"/>
    <w:p w14:paraId="6F445BE7" w14:textId="016877EE" w:rsidR="00C13311" w:rsidRDefault="00C13311" w:rsidP="00C13311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File Name: </w:t>
      </w:r>
      <w:r w:rsidRPr="00C13311">
        <w:rPr>
          <w:lang w:val="en-US"/>
        </w:rPr>
        <w:t>Supplementary Data</w:t>
      </w:r>
      <w:r w:rsidR="001A2198">
        <w:rPr>
          <w:lang w:val="en-US"/>
        </w:rPr>
        <w:t xml:space="preserve"> 2</w:t>
      </w:r>
      <w:r w:rsidR="00316FC7">
        <w:rPr>
          <w:lang w:val="en-US"/>
        </w:rPr>
        <w:t xml:space="preserve">. </w:t>
      </w:r>
      <w:r w:rsidR="00316FC7">
        <w:rPr>
          <w:rFonts w:ascii="Calibri" w:hAnsi="Calibri"/>
          <w:lang w:val="en-US"/>
        </w:rPr>
        <w:t>Cohort</w:t>
      </w:r>
      <w:r w:rsidR="00316FC7">
        <w:rPr>
          <w:lang w:val="en-US"/>
        </w:rPr>
        <w:t xml:space="preserve"> -specific lead variants. </w:t>
      </w:r>
    </w:p>
    <w:p w14:paraId="2C86997E" w14:textId="03656767" w:rsidR="00C13311" w:rsidRPr="00C13311" w:rsidRDefault="00C13311" w:rsidP="00316FC7">
      <w:pPr>
        <w:spacing w:line="360" w:lineRule="auto"/>
        <w:jc w:val="both"/>
        <w:rPr>
          <w:lang w:val="en-US"/>
        </w:rPr>
      </w:pPr>
      <w:r>
        <w:rPr>
          <w:b/>
          <w:lang w:val="en-US"/>
        </w:rPr>
        <w:t xml:space="preserve">Description: </w:t>
      </w:r>
      <w:r w:rsidR="00E73E07">
        <w:rPr>
          <w:lang w:val="en-US"/>
        </w:rPr>
        <w:t>Lead variants are presented for the GWAS in each cohort</w:t>
      </w:r>
      <w:r w:rsidR="003B7601">
        <w:rPr>
          <w:lang w:val="en-US"/>
        </w:rPr>
        <w:t>, annotated with effect estimates</w:t>
      </w:r>
      <w:r w:rsidR="00D456BB">
        <w:rPr>
          <w:lang w:val="en-US"/>
        </w:rPr>
        <w:t>, effect allele frequencies</w:t>
      </w:r>
      <w:r w:rsidR="00D574CF">
        <w:rPr>
          <w:lang w:val="en-US"/>
        </w:rPr>
        <w:t xml:space="preserve"> and </w:t>
      </w:r>
      <w:r w:rsidR="00D35BF8">
        <w:rPr>
          <w:i/>
          <w:lang w:val="en-US"/>
        </w:rPr>
        <w:t>p</w:t>
      </w:r>
      <w:r w:rsidR="00D574CF">
        <w:rPr>
          <w:lang w:val="en-US"/>
        </w:rPr>
        <w:t>-values</w:t>
      </w:r>
      <w:r w:rsidR="003B7601">
        <w:rPr>
          <w:lang w:val="en-US"/>
        </w:rPr>
        <w:t xml:space="preserve"> in the other two cohorts. </w:t>
      </w:r>
      <w:proofErr w:type="spellStart"/>
      <w:r w:rsidR="00E73E07" w:rsidRPr="00911497">
        <w:rPr>
          <w:rFonts w:ascii="Calibri" w:hAnsi="Calibri"/>
          <w:i/>
          <w:sz w:val="22"/>
          <w:szCs w:val="22"/>
          <w:lang w:val="en-US"/>
        </w:rPr>
        <w:t>Chr</w:t>
      </w:r>
      <w:proofErr w:type="spellEnd"/>
      <w:r w:rsidR="00E73E07" w:rsidRPr="00911497">
        <w:rPr>
          <w:rFonts w:ascii="Calibri" w:hAnsi="Calibri"/>
          <w:i/>
          <w:sz w:val="22"/>
          <w:szCs w:val="22"/>
          <w:lang w:val="en-US"/>
        </w:rPr>
        <w:t xml:space="preserve"> = chromosome,</w:t>
      </w:r>
      <w:r w:rsidR="00E73E07" w:rsidRPr="00911497">
        <w:rPr>
          <w:rFonts w:ascii="Calibri" w:hAnsi="Calibri"/>
          <w:b/>
          <w:i/>
          <w:sz w:val="22"/>
          <w:szCs w:val="22"/>
          <w:lang w:val="en-US"/>
        </w:rPr>
        <w:t xml:space="preserve"> </w:t>
      </w:r>
      <w:r w:rsidR="00E73E07" w:rsidRPr="00911497">
        <w:rPr>
          <w:rFonts w:ascii="Calibri" w:hAnsi="Calibri"/>
          <w:i/>
          <w:sz w:val="22"/>
          <w:szCs w:val="22"/>
          <w:lang w:val="en-US"/>
        </w:rPr>
        <w:t>EA = effect allele, EAF = effect allele frequency, NEA = non-effect allele, OR = odds ratio, CI = confidence interval.</w:t>
      </w:r>
    </w:p>
    <w:p w14:paraId="54482871" w14:textId="7FFF0387" w:rsidR="00C13311" w:rsidRDefault="00C13311" w:rsidP="00042C46">
      <w:pPr>
        <w:rPr>
          <w:lang w:val="en-US"/>
        </w:rPr>
      </w:pPr>
    </w:p>
    <w:p w14:paraId="67E7BAC9" w14:textId="31A036E0" w:rsidR="00C13311" w:rsidRDefault="00C13311" w:rsidP="00C13311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File Name: </w:t>
      </w:r>
      <w:r w:rsidRPr="00C13311">
        <w:rPr>
          <w:lang w:val="en-US"/>
        </w:rPr>
        <w:t>Supplementary Data</w:t>
      </w:r>
      <w:r w:rsidR="001A2198">
        <w:rPr>
          <w:lang w:val="en-US"/>
        </w:rPr>
        <w:t xml:space="preserve"> 3</w:t>
      </w:r>
      <w:r w:rsidR="00316FC7">
        <w:rPr>
          <w:lang w:val="en-US"/>
        </w:rPr>
        <w:t xml:space="preserve">. </w:t>
      </w:r>
      <w:r w:rsidR="00D35BF8" w:rsidRPr="00D35BF8">
        <w:rPr>
          <w:lang w:val="en-US"/>
        </w:rPr>
        <w:t>Lead variants from</w:t>
      </w:r>
      <w:r w:rsidR="001A2198">
        <w:rPr>
          <w:lang w:val="en-US"/>
        </w:rPr>
        <w:t xml:space="preserve"> the</w:t>
      </w:r>
      <w:r w:rsidR="00D35BF8" w:rsidRPr="00D35BF8">
        <w:rPr>
          <w:lang w:val="en-US"/>
        </w:rPr>
        <w:t xml:space="preserve"> meta-analysis with cohort-level estimates</w:t>
      </w:r>
      <w:r w:rsidR="00473148">
        <w:rPr>
          <w:lang w:val="en-US"/>
        </w:rPr>
        <w:t>.</w:t>
      </w:r>
    </w:p>
    <w:p w14:paraId="3FF59832" w14:textId="25E053C4" w:rsidR="00C13311" w:rsidRPr="00C13311" w:rsidRDefault="00C13311" w:rsidP="00316FC7">
      <w:pPr>
        <w:spacing w:line="360" w:lineRule="auto"/>
        <w:jc w:val="both"/>
        <w:rPr>
          <w:lang w:val="en-US"/>
        </w:rPr>
      </w:pPr>
      <w:r>
        <w:rPr>
          <w:b/>
          <w:lang w:val="en-US"/>
        </w:rPr>
        <w:t xml:space="preserve">Description: </w:t>
      </w:r>
      <w:r w:rsidR="00D35BF8">
        <w:rPr>
          <w:lang w:val="en-US"/>
        </w:rPr>
        <w:t>Lead variants from the meta-analysis</w:t>
      </w:r>
      <w:r w:rsidR="00473148">
        <w:rPr>
          <w:lang w:val="en-US"/>
        </w:rPr>
        <w:t xml:space="preserve"> (</w:t>
      </w:r>
      <w:r w:rsidR="00473148">
        <w:rPr>
          <w:rFonts w:ascii="Calibri" w:hAnsi="Calibri"/>
        </w:rPr>
        <w:t xml:space="preserve">including a total of 2,413 cases and </w:t>
      </w:r>
      <w:r w:rsidR="00473148" w:rsidRPr="005433C1">
        <w:rPr>
          <w:rFonts w:ascii="Calibri" w:hAnsi="Calibri"/>
          <w:lang w:val="en-US"/>
        </w:rPr>
        <w:t>762,382</w:t>
      </w:r>
      <w:r w:rsidR="00473148">
        <w:rPr>
          <w:rFonts w:ascii="Calibri" w:hAnsi="Calibri"/>
          <w:lang w:val="en-US"/>
        </w:rPr>
        <w:t xml:space="preserve"> </w:t>
      </w:r>
      <w:r w:rsidR="00473148">
        <w:rPr>
          <w:rFonts w:ascii="Calibri" w:hAnsi="Calibri"/>
        </w:rPr>
        <w:t>controls)</w:t>
      </w:r>
      <w:r w:rsidR="00473148">
        <w:rPr>
          <w:lang w:val="en-US"/>
        </w:rPr>
        <w:t xml:space="preserve"> </w:t>
      </w:r>
      <w:r w:rsidR="00D35BF8">
        <w:rPr>
          <w:lang w:val="en-US"/>
        </w:rPr>
        <w:t xml:space="preserve">are annotated with effect estimates, </w:t>
      </w:r>
      <w:r w:rsidR="00D456BB">
        <w:rPr>
          <w:lang w:val="en-US"/>
        </w:rPr>
        <w:t xml:space="preserve">effect </w:t>
      </w:r>
      <w:r w:rsidR="00D35BF8">
        <w:rPr>
          <w:lang w:val="en-US"/>
        </w:rPr>
        <w:t xml:space="preserve">allele frequencies and </w:t>
      </w:r>
      <w:r w:rsidR="00D35BF8" w:rsidRPr="00D35BF8">
        <w:rPr>
          <w:i/>
          <w:lang w:val="en-US"/>
        </w:rPr>
        <w:t>p</w:t>
      </w:r>
      <w:r w:rsidR="00D35BF8">
        <w:rPr>
          <w:lang w:val="en-US"/>
        </w:rPr>
        <w:t xml:space="preserve">-values </w:t>
      </w:r>
      <w:r w:rsidR="00873B60">
        <w:rPr>
          <w:lang w:val="en-US"/>
        </w:rPr>
        <w:t>within</w:t>
      </w:r>
      <w:r w:rsidR="00D35BF8">
        <w:rPr>
          <w:lang w:val="en-US"/>
        </w:rPr>
        <w:t xml:space="preserve"> each cohort.</w:t>
      </w:r>
      <w:r w:rsidR="00941144">
        <w:rPr>
          <w:lang w:val="en-US"/>
        </w:rPr>
        <w:t xml:space="preserve"> </w:t>
      </w:r>
      <w:proofErr w:type="spellStart"/>
      <w:r w:rsidR="00941144" w:rsidRPr="00911497">
        <w:rPr>
          <w:rFonts w:ascii="Calibri" w:hAnsi="Calibri"/>
          <w:i/>
          <w:sz w:val="22"/>
          <w:szCs w:val="22"/>
          <w:lang w:val="en-US"/>
        </w:rPr>
        <w:t>Chr</w:t>
      </w:r>
      <w:proofErr w:type="spellEnd"/>
      <w:r w:rsidR="00941144" w:rsidRPr="00911497">
        <w:rPr>
          <w:rFonts w:ascii="Calibri" w:hAnsi="Calibri"/>
          <w:i/>
          <w:sz w:val="22"/>
          <w:szCs w:val="22"/>
          <w:lang w:val="en-US"/>
        </w:rPr>
        <w:t xml:space="preserve"> = chromosome,</w:t>
      </w:r>
      <w:r w:rsidR="00941144" w:rsidRPr="00911497">
        <w:rPr>
          <w:rFonts w:ascii="Calibri" w:hAnsi="Calibri"/>
          <w:b/>
          <w:i/>
          <w:sz w:val="22"/>
          <w:szCs w:val="22"/>
          <w:lang w:val="en-US"/>
        </w:rPr>
        <w:t xml:space="preserve"> </w:t>
      </w:r>
      <w:r w:rsidR="00941144" w:rsidRPr="00911497">
        <w:rPr>
          <w:rFonts w:ascii="Calibri" w:hAnsi="Calibri"/>
          <w:i/>
          <w:sz w:val="22"/>
          <w:szCs w:val="22"/>
          <w:lang w:val="en-US"/>
        </w:rPr>
        <w:t>EA = effect allele, EAF = effect allele frequency, NEA = non-effect allele, OR = odds ratio, CI = confidence interval.</w:t>
      </w:r>
    </w:p>
    <w:p w14:paraId="75375C95" w14:textId="745CD317" w:rsidR="00C13311" w:rsidRDefault="00C13311" w:rsidP="00042C46">
      <w:pPr>
        <w:rPr>
          <w:lang w:val="en-US"/>
        </w:rPr>
      </w:pPr>
    </w:p>
    <w:p w14:paraId="3300D113" w14:textId="710FEF9E" w:rsidR="00C13311" w:rsidRDefault="00C13311" w:rsidP="00C13311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File Name: </w:t>
      </w:r>
      <w:r w:rsidR="00473148" w:rsidRPr="00473148">
        <w:rPr>
          <w:lang w:val="en-US"/>
        </w:rPr>
        <w:t>Supplementary Data</w:t>
      </w:r>
      <w:r w:rsidR="001A2198">
        <w:rPr>
          <w:lang w:val="en-US"/>
        </w:rPr>
        <w:t xml:space="preserve"> 4</w:t>
      </w:r>
      <w:r w:rsidR="00473148">
        <w:rPr>
          <w:lang w:val="en-US"/>
        </w:rPr>
        <w:t xml:space="preserve">. </w:t>
      </w:r>
      <w:proofErr w:type="spellStart"/>
      <w:r w:rsidR="00473148" w:rsidRPr="00473148">
        <w:rPr>
          <w:lang w:val="en-US"/>
        </w:rPr>
        <w:t>LocusZoom</w:t>
      </w:r>
      <w:proofErr w:type="spellEnd"/>
      <w:r w:rsidR="00473148" w:rsidRPr="00473148">
        <w:rPr>
          <w:lang w:val="en-US"/>
        </w:rPr>
        <w:t xml:space="preserve"> plots for significant loci from the meta-analysis</w:t>
      </w:r>
      <w:r w:rsidR="00473148">
        <w:rPr>
          <w:lang w:val="en-US"/>
        </w:rPr>
        <w:t>.</w:t>
      </w:r>
    </w:p>
    <w:p w14:paraId="4161A5F6" w14:textId="2824E9B6" w:rsidR="00C13311" w:rsidRPr="00C13311" w:rsidRDefault="00C13311" w:rsidP="00316FC7">
      <w:pPr>
        <w:spacing w:line="360" w:lineRule="auto"/>
        <w:jc w:val="both"/>
        <w:rPr>
          <w:lang w:val="en-US"/>
        </w:rPr>
      </w:pPr>
      <w:r>
        <w:rPr>
          <w:b/>
          <w:lang w:val="en-US"/>
        </w:rPr>
        <w:t xml:space="preserve">Description: </w:t>
      </w:r>
      <w:proofErr w:type="spellStart"/>
      <w:r w:rsidR="00473148">
        <w:rPr>
          <w:lang w:val="en-US"/>
        </w:rPr>
        <w:t>LocusZoom</w:t>
      </w:r>
      <w:proofErr w:type="spellEnd"/>
      <w:r w:rsidR="00473148">
        <w:rPr>
          <w:lang w:val="en-US"/>
        </w:rPr>
        <w:t xml:space="preserve"> plots for each </w:t>
      </w:r>
      <w:r w:rsidR="00F00D18">
        <w:rPr>
          <w:lang w:val="en-US"/>
        </w:rPr>
        <w:t>significant locus are shown in the same order as in Table 2.</w:t>
      </w:r>
      <w:r w:rsidR="008977D2">
        <w:rPr>
          <w:lang w:val="en-US"/>
        </w:rPr>
        <w:t xml:space="preserve"> Linkage disequilibrium is shown in </w:t>
      </w:r>
      <w:proofErr w:type="spellStart"/>
      <w:r w:rsidR="008977D2">
        <w:rPr>
          <w:lang w:val="en-US"/>
        </w:rPr>
        <w:t>colour</w:t>
      </w:r>
      <w:proofErr w:type="spellEnd"/>
      <w:r w:rsidR="008977D2">
        <w:rPr>
          <w:lang w:val="en-US"/>
        </w:rPr>
        <w:t xml:space="preserve"> scale </w:t>
      </w:r>
      <w:r w:rsidR="00A37645">
        <w:rPr>
          <w:lang w:val="en-US"/>
        </w:rPr>
        <w:t xml:space="preserve">with the </w:t>
      </w:r>
      <w:r w:rsidR="008977D2">
        <w:rPr>
          <w:lang w:val="en-US"/>
        </w:rPr>
        <w:t>lead variant</w:t>
      </w:r>
      <w:r w:rsidR="00A37645">
        <w:rPr>
          <w:lang w:val="en-US"/>
        </w:rPr>
        <w:t>s as reference</w:t>
      </w:r>
      <w:r w:rsidR="008977D2">
        <w:rPr>
          <w:lang w:val="en-US"/>
        </w:rPr>
        <w:t xml:space="preserve">, </w:t>
      </w:r>
      <w:r w:rsidR="00A37645">
        <w:rPr>
          <w:lang w:val="en-US"/>
        </w:rPr>
        <w:t>based on</w:t>
      </w:r>
      <w:r w:rsidR="008977D2">
        <w:rPr>
          <w:lang w:val="en-US"/>
        </w:rPr>
        <w:t xml:space="preserve"> publicly available European genome</w:t>
      </w:r>
      <w:r w:rsidR="00A37645">
        <w:rPr>
          <w:lang w:val="en-US"/>
        </w:rPr>
        <w:t xml:space="preserve"> data from </w:t>
      </w:r>
      <w:r w:rsidR="008977D2">
        <w:rPr>
          <w:lang w:val="en-US"/>
        </w:rPr>
        <w:t>the 1000</w:t>
      </w:r>
      <w:r w:rsidR="00A37645">
        <w:rPr>
          <w:lang w:val="en-US"/>
        </w:rPr>
        <w:t xml:space="preserve"> Genomes</w:t>
      </w:r>
      <w:r w:rsidR="008977D2">
        <w:rPr>
          <w:lang w:val="en-US"/>
        </w:rPr>
        <w:t xml:space="preserve"> Project</w:t>
      </w:r>
      <w:r w:rsidR="00A37645">
        <w:rPr>
          <w:lang w:val="en-US"/>
        </w:rPr>
        <w:t>.</w:t>
      </w:r>
    </w:p>
    <w:p w14:paraId="5A28A2F6" w14:textId="77777777" w:rsidR="00C13311" w:rsidRDefault="00C13311" w:rsidP="00C13311">
      <w:pPr>
        <w:rPr>
          <w:lang w:val="en-US"/>
        </w:rPr>
      </w:pPr>
    </w:p>
    <w:p w14:paraId="1EDFD85C" w14:textId="1DA53615" w:rsidR="00316FC7" w:rsidRDefault="00316FC7" w:rsidP="00316FC7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File Name: </w:t>
      </w:r>
      <w:r w:rsidR="0092216C" w:rsidRPr="0092216C">
        <w:rPr>
          <w:lang w:val="en-US"/>
        </w:rPr>
        <w:t xml:space="preserve">Supplementary Data </w:t>
      </w:r>
      <w:r w:rsidR="00DC68F0">
        <w:rPr>
          <w:lang w:val="en-US"/>
        </w:rPr>
        <w:t>5.</w:t>
      </w:r>
      <w:r w:rsidR="0092216C" w:rsidRPr="0092216C">
        <w:rPr>
          <w:lang w:val="en-US"/>
        </w:rPr>
        <w:t xml:space="preserve"> Significantly associated missense variants):</w:t>
      </w:r>
    </w:p>
    <w:p w14:paraId="0C7BF43A" w14:textId="1E28B0DE" w:rsidR="00316FC7" w:rsidRPr="00C13311" w:rsidRDefault="00316FC7" w:rsidP="00316FC7">
      <w:pPr>
        <w:spacing w:line="360" w:lineRule="auto"/>
        <w:jc w:val="both"/>
        <w:rPr>
          <w:lang w:val="en-US"/>
        </w:rPr>
      </w:pPr>
      <w:r>
        <w:rPr>
          <w:b/>
          <w:lang w:val="en-US"/>
        </w:rPr>
        <w:t xml:space="preserve">Description: </w:t>
      </w:r>
      <w:r w:rsidR="0092216C">
        <w:rPr>
          <w:lang w:val="en-US"/>
        </w:rPr>
        <w:t xml:space="preserve">Missense </w:t>
      </w:r>
      <w:r w:rsidR="0092216C" w:rsidRPr="0092216C">
        <w:rPr>
          <w:lang w:val="en-US"/>
        </w:rPr>
        <w:t>variants</w:t>
      </w:r>
      <w:r w:rsidR="0092216C">
        <w:rPr>
          <w:lang w:val="en-US"/>
        </w:rPr>
        <w:t xml:space="preserve"> which were significantly associated with otosclerosis (p &lt; 5*10</w:t>
      </w:r>
      <w:r w:rsidR="0092216C" w:rsidRPr="0092216C">
        <w:rPr>
          <w:vertAlign w:val="superscript"/>
          <w:lang w:val="en-US"/>
        </w:rPr>
        <w:t>-8</w:t>
      </w:r>
      <w:r w:rsidR="0092216C">
        <w:rPr>
          <w:lang w:val="en-US"/>
        </w:rPr>
        <w:t>) in the meta-analysis are shown. The Variant Effect Predictor tool was used for variant annotation.</w:t>
      </w:r>
    </w:p>
    <w:p w14:paraId="60581123" w14:textId="0A550E65" w:rsidR="00C13311" w:rsidRDefault="00C13311" w:rsidP="00042C46">
      <w:pPr>
        <w:rPr>
          <w:lang w:val="en-US"/>
        </w:rPr>
      </w:pPr>
    </w:p>
    <w:p w14:paraId="6FCFE244" w14:textId="56E0C1D2" w:rsidR="00316FC7" w:rsidRDefault="00316FC7" w:rsidP="00316FC7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File Name: </w:t>
      </w:r>
      <w:r w:rsidRPr="00C13311">
        <w:rPr>
          <w:lang w:val="en-US"/>
        </w:rPr>
        <w:t>Supplementary Data</w:t>
      </w:r>
      <w:r w:rsidR="00DC68F0">
        <w:rPr>
          <w:lang w:val="en-US"/>
        </w:rPr>
        <w:t xml:space="preserve"> 6</w:t>
      </w:r>
      <w:r w:rsidR="00AF080C">
        <w:rPr>
          <w:lang w:val="en-US"/>
        </w:rPr>
        <w:t>.</w:t>
      </w:r>
      <w:r w:rsidRPr="00C13311">
        <w:rPr>
          <w:lang w:val="en-US"/>
        </w:rPr>
        <w:t xml:space="preserve"> </w:t>
      </w:r>
      <w:r w:rsidR="00AF080C" w:rsidRPr="00AF080C">
        <w:rPr>
          <w:lang w:val="en-US"/>
        </w:rPr>
        <w:t xml:space="preserve">FINEMAP credible sets in </w:t>
      </w:r>
      <w:proofErr w:type="spellStart"/>
      <w:r w:rsidR="00AF080C" w:rsidRPr="00AF080C">
        <w:rPr>
          <w:lang w:val="en-US"/>
        </w:rPr>
        <w:t>FinnGen</w:t>
      </w:r>
      <w:proofErr w:type="spellEnd"/>
      <w:r w:rsidR="00AF080C">
        <w:rPr>
          <w:lang w:val="en-US"/>
        </w:rPr>
        <w:t>.</w:t>
      </w:r>
    </w:p>
    <w:p w14:paraId="1528363A" w14:textId="08C87C94" w:rsidR="00316FC7" w:rsidRDefault="00316FC7" w:rsidP="00316FC7">
      <w:pPr>
        <w:spacing w:line="360" w:lineRule="auto"/>
        <w:jc w:val="both"/>
        <w:rPr>
          <w:lang w:val="en-US"/>
        </w:rPr>
      </w:pPr>
      <w:r>
        <w:rPr>
          <w:b/>
          <w:lang w:val="en-US"/>
        </w:rPr>
        <w:t xml:space="preserve">Description: </w:t>
      </w:r>
      <w:r w:rsidR="000D5737">
        <w:rPr>
          <w:lang w:val="en-US"/>
        </w:rPr>
        <w:t xml:space="preserve">All regions in which the lead </w:t>
      </w:r>
      <w:r w:rsidR="000D5737" w:rsidRPr="000D5737">
        <w:rPr>
          <w:lang w:val="en-US"/>
        </w:rPr>
        <w:t xml:space="preserve">reached a p-value of &lt; 1*10-6 in </w:t>
      </w:r>
      <w:proofErr w:type="spellStart"/>
      <w:r w:rsidR="000D5737" w:rsidRPr="000D5737">
        <w:rPr>
          <w:lang w:val="en-US"/>
        </w:rPr>
        <w:t>FinnGen</w:t>
      </w:r>
      <w:proofErr w:type="spellEnd"/>
      <w:r w:rsidR="000D5737" w:rsidRPr="000D5737">
        <w:rPr>
          <w:lang w:val="en-US"/>
        </w:rPr>
        <w:t xml:space="preserve"> </w:t>
      </w:r>
      <w:r w:rsidR="000D5737">
        <w:rPr>
          <w:lang w:val="en-US"/>
        </w:rPr>
        <w:t xml:space="preserve">were fine-mapped </w:t>
      </w:r>
      <w:r w:rsidR="000D5737" w:rsidRPr="000D5737">
        <w:rPr>
          <w:lang w:val="en-US"/>
        </w:rPr>
        <w:t>using FINEMAP v1.4.68</w:t>
      </w:r>
      <w:r w:rsidR="000D5737">
        <w:rPr>
          <w:lang w:val="en-US"/>
        </w:rPr>
        <w:t>. A</w:t>
      </w:r>
      <w:r w:rsidR="000D5737" w:rsidRPr="000D5737">
        <w:rPr>
          <w:lang w:val="en-US"/>
        </w:rPr>
        <w:t xml:space="preserve"> 3Mb window (± 1.5Mb) </w:t>
      </w:r>
      <w:r w:rsidR="000D5737">
        <w:rPr>
          <w:lang w:val="en-US"/>
        </w:rPr>
        <w:t xml:space="preserve">was used </w:t>
      </w:r>
      <w:r w:rsidR="000D5737" w:rsidRPr="000D5737">
        <w:rPr>
          <w:lang w:val="en-US"/>
        </w:rPr>
        <w:t xml:space="preserve">around each lead variant, and </w:t>
      </w:r>
      <w:r w:rsidR="000D5737" w:rsidRPr="000D5737">
        <w:rPr>
          <w:lang w:val="en-US"/>
        </w:rPr>
        <w:lastRenderedPageBreak/>
        <w:t xml:space="preserve">LD </w:t>
      </w:r>
      <w:r w:rsidR="000D5737">
        <w:rPr>
          <w:lang w:val="en-US"/>
        </w:rPr>
        <w:t xml:space="preserve">was calculated </w:t>
      </w:r>
      <w:r w:rsidR="000D5737" w:rsidRPr="000D5737">
        <w:rPr>
          <w:lang w:val="en-US"/>
        </w:rPr>
        <w:t xml:space="preserve">between each variant from individual-level </w:t>
      </w:r>
      <w:proofErr w:type="spellStart"/>
      <w:r w:rsidR="000D5737" w:rsidRPr="000D5737">
        <w:rPr>
          <w:lang w:val="en-US"/>
        </w:rPr>
        <w:t>FinnGen</w:t>
      </w:r>
      <w:proofErr w:type="spellEnd"/>
      <w:r w:rsidR="000D5737" w:rsidRPr="000D5737">
        <w:rPr>
          <w:lang w:val="en-US"/>
        </w:rPr>
        <w:t xml:space="preserve"> data. For credible sets with over 10 variants</w:t>
      </w:r>
      <w:r w:rsidR="002D2BC3">
        <w:rPr>
          <w:lang w:val="en-US"/>
        </w:rPr>
        <w:t>, only variants with</w:t>
      </w:r>
      <w:r w:rsidR="000D5737" w:rsidRPr="000D5737">
        <w:rPr>
          <w:lang w:val="en-US"/>
        </w:rPr>
        <w:t xml:space="preserve"> a ≥ 0.01 probability of being causal</w:t>
      </w:r>
      <w:r w:rsidR="002D2BC3">
        <w:rPr>
          <w:lang w:val="en-US"/>
        </w:rPr>
        <w:t xml:space="preserve"> are reported</w:t>
      </w:r>
      <w:r w:rsidR="000D5737" w:rsidRPr="000D5737">
        <w:rPr>
          <w:lang w:val="en-US"/>
        </w:rPr>
        <w:t>.</w:t>
      </w:r>
    </w:p>
    <w:p w14:paraId="0E5FFB08" w14:textId="77777777" w:rsidR="00340BBE" w:rsidRDefault="00340BBE" w:rsidP="00316FC7">
      <w:pPr>
        <w:spacing w:line="360" w:lineRule="auto"/>
        <w:jc w:val="both"/>
        <w:rPr>
          <w:lang w:val="en-US"/>
        </w:rPr>
      </w:pPr>
    </w:p>
    <w:p w14:paraId="3F47A32D" w14:textId="364888C0" w:rsidR="00340BBE" w:rsidRDefault="00340BBE" w:rsidP="00340BBE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File Name: </w:t>
      </w:r>
      <w:r w:rsidRPr="00C13311">
        <w:rPr>
          <w:lang w:val="en-US"/>
        </w:rPr>
        <w:t>Supplementary Da</w:t>
      </w:r>
      <w:r w:rsidRPr="00EF05E4">
        <w:rPr>
          <w:lang w:val="en-US"/>
        </w:rPr>
        <w:t>ta</w:t>
      </w:r>
      <w:r w:rsidR="00DC68F0">
        <w:rPr>
          <w:lang w:val="en-US"/>
        </w:rPr>
        <w:t xml:space="preserve"> 7</w:t>
      </w:r>
      <w:r w:rsidRPr="00EF05E4">
        <w:rPr>
          <w:lang w:val="en-US"/>
        </w:rPr>
        <w:t>. Significant genes from a gene set analysis with MAGMA.</w:t>
      </w:r>
    </w:p>
    <w:p w14:paraId="3A4BCB71" w14:textId="77777777" w:rsidR="00340BBE" w:rsidRPr="00C13311" w:rsidRDefault="00340BBE" w:rsidP="00340BBE">
      <w:pPr>
        <w:spacing w:line="360" w:lineRule="auto"/>
        <w:jc w:val="both"/>
        <w:rPr>
          <w:lang w:val="en-US"/>
        </w:rPr>
      </w:pPr>
      <w:r>
        <w:rPr>
          <w:b/>
          <w:lang w:val="en-US"/>
        </w:rPr>
        <w:t xml:space="preserve">Description: </w:t>
      </w:r>
      <w:r w:rsidRPr="001974E2">
        <w:rPr>
          <w:lang w:val="en-US"/>
        </w:rPr>
        <w:t>The MAGMA v1.07 software</w:t>
      </w:r>
      <w:r>
        <w:rPr>
          <w:lang w:val="en-US"/>
        </w:rPr>
        <w:t xml:space="preserve"> was used </w:t>
      </w:r>
      <w:r w:rsidRPr="001974E2">
        <w:rPr>
          <w:lang w:val="en-US"/>
        </w:rPr>
        <w:t xml:space="preserve">to identify </w:t>
      </w:r>
      <w:r>
        <w:rPr>
          <w:lang w:val="en-US"/>
        </w:rPr>
        <w:t>genes</w:t>
      </w:r>
      <w:r w:rsidRPr="001974E2">
        <w:rPr>
          <w:lang w:val="en-US"/>
        </w:rPr>
        <w:t xml:space="preserve"> associated with otosclerosis</w:t>
      </w:r>
      <w:r>
        <w:rPr>
          <w:lang w:val="en-US"/>
        </w:rPr>
        <w:t xml:space="preserve"> based on effect estimates from the meta-analysis</w:t>
      </w:r>
      <w:r w:rsidRPr="001974E2">
        <w:rPr>
          <w:lang w:val="en-US"/>
        </w:rPr>
        <w:t>.</w:t>
      </w:r>
      <w:r>
        <w:rPr>
          <w:lang w:val="en-US"/>
        </w:rPr>
        <w:t xml:space="preserve"> </w:t>
      </w:r>
      <w:r w:rsidRPr="001974E2">
        <w:rPr>
          <w:lang w:val="en-US"/>
        </w:rPr>
        <w:t xml:space="preserve">Variants were </w:t>
      </w:r>
      <w:r>
        <w:rPr>
          <w:lang w:val="en-US"/>
        </w:rPr>
        <w:t>mapped t</w:t>
      </w:r>
      <w:r w:rsidRPr="001974E2">
        <w:rPr>
          <w:lang w:val="en-US"/>
        </w:rPr>
        <w:t xml:space="preserve">o 18,910 genes based on their </w:t>
      </w:r>
      <w:proofErr w:type="spellStart"/>
      <w:r w:rsidRPr="001974E2">
        <w:rPr>
          <w:lang w:val="en-US"/>
        </w:rPr>
        <w:t>RefSNP</w:t>
      </w:r>
      <w:proofErr w:type="spellEnd"/>
      <w:r w:rsidRPr="001974E2">
        <w:rPr>
          <w:lang w:val="en-US"/>
        </w:rPr>
        <w:t xml:space="preserve"> numbers. </w:t>
      </w:r>
      <w:r>
        <w:rPr>
          <w:lang w:val="en-US"/>
        </w:rPr>
        <w:t>A</w:t>
      </w:r>
      <w:r w:rsidRPr="001974E2">
        <w:rPr>
          <w:lang w:val="en-US"/>
        </w:rPr>
        <w:t xml:space="preserve"> gene-based analysis</w:t>
      </w:r>
      <w:r>
        <w:rPr>
          <w:lang w:val="en-US"/>
        </w:rPr>
        <w:t xml:space="preserve"> was performed</w:t>
      </w:r>
      <w:r w:rsidRPr="001974E2">
        <w:rPr>
          <w:lang w:val="en-US"/>
        </w:rPr>
        <w:t xml:space="preserve"> using the default </w:t>
      </w:r>
      <w:proofErr w:type="spellStart"/>
      <w:r w:rsidRPr="001974E2">
        <w:rPr>
          <w:lang w:val="en-US"/>
        </w:rPr>
        <w:t>SNPwise</w:t>
      </w:r>
      <w:proofErr w:type="spellEnd"/>
      <w:r w:rsidRPr="001974E2">
        <w:rPr>
          <w:lang w:val="en-US"/>
        </w:rPr>
        <w:t>-mean model and a Bonferroni-corrected p-value threshold (α = 0.05/18,910).</w:t>
      </w:r>
    </w:p>
    <w:p w14:paraId="7C15EA71" w14:textId="42B51BB9" w:rsidR="00316FC7" w:rsidRDefault="00316FC7" w:rsidP="00042C46">
      <w:pPr>
        <w:rPr>
          <w:lang w:val="en-US"/>
        </w:rPr>
      </w:pPr>
    </w:p>
    <w:p w14:paraId="6CA11A8A" w14:textId="6D038117" w:rsidR="00316FC7" w:rsidRDefault="00316FC7" w:rsidP="00316FC7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File Name: </w:t>
      </w:r>
      <w:r w:rsidRPr="00C13311">
        <w:rPr>
          <w:lang w:val="en-US"/>
        </w:rPr>
        <w:t>Supplementary Dat</w:t>
      </w:r>
      <w:r w:rsidRPr="00AB4E5E">
        <w:rPr>
          <w:lang w:val="en-US"/>
        </w:rPr>
        <w:t>a</w:t>
      </w:r>
      <w:r w:rsidR="00DC68F0">
        <w:rPr>
          <w:lang w:val="en-US"/>
        </w:rPr>
        <w:t xml:space="preserve"> 8</w:t>
      </w:r>
      <w:r w:rsidR="00AB4E5E" w:rsidRPr="00AB4E5E">
        <w:rPr>
          <w:lang w:val="en-US"/>
        </w:rPr>
        <w:t xml:space="preserve">. </w:t>
      </w:r>
      <w:proofErr w:type="spellStart"/>
      <w:r w:rsidR="00AB4E5E" w:rsidRPr="00AB4E5E">
        <w:rPr>
          <w:rFonts w:ascii="Calibri" w:hAnsi="Calibri"/>
          <w:lang w:val="en-US"/>
        </w:rPr>
        <w:t>LocusZoom</w:t>
      </w:r>
      <w:proofErr w:type="spellEnd"/>
      <w:r w:rsidR="00AB4E5E" w:rsidRPr="00AB4E5E">
        <w:rPr>
          <w:rFonts w:ascii="Calibri" w:hAnsi="Calibri"/>
          <w:lang w:val="en-US"/>
        </w:rPr>
        <w:t xml:space="preserve"> plots for genes involved in TGF</w:t>
      </w:r>
      <w:r w:rsidR="002E00A8" w:rsidRPr="00444192">
        <w:rPr>
          <w:rFonts w:ascii="Calibri" w:hAnsi="Calibri"/>
          <w:lang w:val="en-US"/>
        </w:rPr>
        <w:t>β</w:t>
      </w:r>
      <w:r w:rsidR="00AB4E5E" w:rsidRPr="00AB4E5E">
        <w:rPr>
          <w:rFonts w:ascii="Calibri" w:hAnsi="Calibri"/>
          <w:lang w:val="en-US"/>
        </w:rPr>
        <w:t xml:space="preserve"> </w:t>
      </w:r>
      <w:proofErr w:type="spellStart"/>
      <w:r w:rsidR="00AB4E5E" w:rsidRPr="00AB4E5E">
        <w:rPr>
          <w:rFonts w:ascii="Calibri" w:hAnsi="Calibri"/>
          <w:lang w:val="en-US"/>
        </w:rPr>
        <w:t>signalling</w:t>
      </w:r>
      <w:proofErr w:type="spellEnd"/>
    </w:p>
    <w:p w14:paraId="7B8412C5" w14:textId="0BF346B1" w:rsidR="00316FC7" w:rsidRDefault="00316FC7" w:rsidP="00316FC7">
      <w:pPr>
        <w:spacing w:line="360" w:lineRule="auto"/>
        <w:jc w:val="both"/>
        <w:rPr>
          <w:rFonts w:ascii="Calibri" w:hAnsi="Calibri"/>
          <w:lang w:val="en-US"/>
        </w:rPr>
      </w:pPr>
      <w:r>
        <w:rPr>
          <w:b/>
          <w:lang w:val="en-US"/>
        </w:rPr>
        <w:t xml:space="preserve">Description: </w:t>
      </w:r>
      <w:r w:rsidR="002E00A8">
        <w:rPr>
          <w:lang w:val="en-US"/>
        </w:rPr>
        <w:t>Data are shown for selected genes involved in TGF</w:t>
      </w:r>
      <w:r w:rsidR="002E00A8" w:rsidRPr="00444192">
        <w:rPr>
          <w:rFonts w:ascii="Calibri" w:hAnsi="Calibri"/>
          <w:lang w:val="en-US"/>
        </w:rPr>
        <w:t>β</w:t>
      </w:r>
      <w:r w:rsidR="002E00A8">
        <w:rPr>
          <w:lang w:val="en-US"/>
        </w:rPr>
        <w:t xml:space="preserve"> </w:t>
      </w:r>
      <w:proofErr w:type="spellStart"/>
      <w:r w:rsidR="002E00A8">
        <w:rPr>
          <w:lang w:val="en-US"/>
        </w:rPr>
        <w:t>signalling</w:t>
      </w:r>
      <w:proofErr w:type="spellEnd"/>
      <w:r w:rsidR="002E00A8">
        <w:rPr>
          <w:lang w:val="en-US"/>
        </w:rPr>
        <w:t xml:space="preserve">, including </w:t>
      </w:r>
      <w:r w:rsidR="002E00A8" w:rsidRPr="002E00A8">
        <w:rPr>
          <w:i/>
          <w:lang w:val="en-US"/>
        </w:rPr>
        <w:t>TGFB1</w:t>
      </w:r>
      <w:r w:rsidR="002E00A8">
        <w:rPr>
          <w:lang w:val="en-US"/>
        </w:rPr>
        <w:t xml:space="preserve">, </w:t>
      </w:r>
      <w:r w:rsidR="002E00A8" w:rsidRPr="002E00A8">
        <w:rPr>
          <w:i/>
          <w:lang w:val="en-US"/>
        </w:rPr>
        <w:t>TGF</w:t>
      </w:r>
      <w:r w:rsidR="002E00A8">
        <w:rPr>
          <w:i/>
          <w:lang w:val="en-US"/>
        </w:rPr>
        <w:t>B</w:t>
      </w:r>
      <w:r w:rsidR="002E00A8" w:rsidRPr="002E00A8">
        <w:rPr>
          <w:rFonts w:ascii="Calibri" w:hAnsi="Calibri"/>
          <w:i/>
          <w:lang w:val="en-US"/>
        </w:rPr>
        <w:t>2</w:t>
      </w:r>
      <w:r w:rsidR="002E00A8">
        <w:rPr>
          <w:rFonts w:ascii="Calibri" w:hAnsi="Calibri"/>
          <w:lang w:val="en-US"/>
        </w:rPr>
        <w:t xml:space="preserve">, </w:t>
      </w:r>
      <w:r w:rsidR="002E00A8" w:rsidRPr="002E00A8">
        <w:rPr>
          <w:rFonts w:ascii="Calibri" w:hAnsi="Calibri"/>
          <w:i/>
          <w:lang w:val="en-US"/>
        </w:rPr>
        <w:t>TGFB3</w:t>
      </w:r>
      <w:r w:rsidR="002E00A8">
        <w:rPr>
          <w:rFonts w:ascii="Calibri" w:hAnsi="Calibri"/>
          <w:lang w:val="en-US"/>
        </w:rPr>
        <w:t xml:space="preserve">, the receptors </w:t>
      </w:r>
      <w:r w:rsidR="002E00A8" w:rsidRPr="002E00A8">
        <w:rPr>
          <w:rFonts w:ascii="Calibri" w:hAnsi="Calibri"/>
          <w:i/>
          <w:lang w:val="en-US"/>
        </w:rPr>
        <w:t>TGF</w:t>
      </w:r>
      <w:r w:rsidR="002E00A8">
        <w:rPr>
          <w:rFonts w:ascii="Calibri" w:hAnsi="Calibri"/>
          <w:i/>
          <w:lang w:val="en-US"/>
        </w:rPr>
        <w:t>B</w:t>
      </w:r>
      <w:r w:rsidR="002E00A8" w:rsidRPr="002E00A8">
        <w:rPr>
          <w:rFonts w:ascii="Calibri" w:hAnsi="Calibri"/>
          <w:i/>
          <w:lang w:val="en-US"/>
        </w:rPr>
        <w:t>R1</w:t>
      </w:r>
      <w:r w:rsidR="002E00A8">
        <w:rPr>
          <w:rFonts w:ascii="Calibri" w:hAnsi="Calibri"/>
          <w:lang w:val="en-US"/>
        </w:rPr>
        <w:t xml:space="preserve"> and </w:t>
      </w:r>
      <w:r w:rsidR="002E00A8" w:rsidRPr="002E00A8">
        <w:rPr>
          <w:rFonts w:ascii="Calibri" w:hAnsi="Calibri"/>
          <w:i/>
          <w:lang w:val="en-US"/>
        </w:rPr>
        <w:t>TGFBR2</w:t>
      </w:r>
      <w:r w:rsidR="002E00A8">
        <w:rPr>
          <w:rFonts w:ascii="Calibri" w:hAnsi="Calibri"/>
          <w:lang w:val="en-US"/>
        </w:rPr>
        <w:t>, and genes coding for downstream signaling proteins.</w:t>
      </w:r>
    </w:p>
    <w:p w14:paraId="3C7C889E" w14:textId="77777777" w:rsidR="00340BBE" w:rsidRDefault="00340BBE" w:rsidP="00340BBE">
      <w:pPr>
        <w:rPr>
          <w:lang w:val="en-US"/>
        </w:rPr>
      </w:pPr>
    </w:p>
    <w:p w14:paraId="1091E666" w14:textId="64FB20EA" w:rsidR="00340BBE" w:rsidRDefault="00340BBE" w:rsidP="00340BBE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File Name: </w:t>
      </w:r>
      <w:r w:rsidRPr="00C13311">
        <w:rPr>
          <w:lang w:val="en-US"/>
        </w:rPr>
        <w:t>Supplementary Dat</w:t>
      </w:r>
      <w:r w:rsidRPr="00AB4E5E">
        <w:rPr>
          <w:lang w:val="en-US"/>
        </w:rPr>
        <w:t>a</w:t>
      </w:r>
      <w:r w:rsidR="004F379A">
        <w:rPr>
          <w:lang w:val="en-US"/>
        </w:rPr>
        <w:t xml:space="preserve"> 9</w:t>
      </w:r>
      <w:r w:rsidRPr="00AB4E5E">
        <w:rPr>
          <w:lang w:val="en-US"/>
        </w:rPr>
        <w:t xml:space="preserve">. </w:t>
      </w:r>
      <w:proofErr w:type="spellStart"/>
      <w:r w:rsidRPr="0008318E">
        <w:rPr>
          <w:lang w:val="en-US"/>
        </w:rPr>
        <w:t>LocusZoom</w:t>
      </w:r>
      <w:proofErr w:type="spellEnd"/>
      <w:r w:rsidRPr="0008318E">
        <w:rPr>
          <w:lang w:val="en-US"/>
        </w:rPr>
        <w:t xml:space="preserve"> plots for candidate gene regions</w:t>
      </w:r>
      <w:r>
        <w:rPr>
          <w:lang w:val="en-US"/>
        </w:rPr>
        <w:t>.</w:t>
      </w:r>
    </w:p>
    <w:p w14:paraId="48409818" w14:textId="77777777" w:rsidR="00340BBE" w:rsidRDefault="00340BBE" w:rsidP="00340BBE">
      <w:pPr>
        <w:spacing w:line="360" w:lineRule="auto"/>
        <w:jc w:val="both"/>
        <w:rPr>
          <w:lang w:val="en-US"/>
        </w:rPr>
      </w:pPr>
      <w:r>
        <w:rPr>
          <w:b/>
          <w:lang w:val="en-US"/>
        </w:rPr>
        <w:t xml:space="preserve">Description: </w:t>
      </w:r>
      <w:proofErr w:type="spellStart"/>
      <w:r>
        <w:rPr>
          <w:lang w:val="en-US"/>
        </w:rPr>
        <w:t>LocusZoom</w:t>
      </w:r>
      <w:proofErr w:type="spellEnd"/>
      <w:r>
        <w:rPr>
          <w:lang w:val="en-US"/>
        </w:rPr>
        <w:t xml:space="preserve"> plots are presented for the regions of four candidate genes from previous studies (</w:t>
      </w:r>
      <w:r w:rsidRPr="00146425">
        <w:rPr>
          <w:i/>
          <w:lang w:val="en-US"/>
        </w:rPr>
        <w:t>COL1A1</w:t>
      </w:r>
      <w:r>
        <w:rPr>
          <w:lang w:val="en-US"/>
        </w:rPr>
        <w:t xml:space="preserve">, </w:t>
      </w:r>
      <w:r w:rsidRPr="00146425">
        <w:rPr>
          <w:i/>
          <w:lang w:val="en-US"/>
        </w:rPr>
        <w:t>BMP2</w:t>
      </w:r>
      <w:r>
        <w:rPr>
          <w:lang w:val="en-US"/>
        </w:rPr>
        <w:t xml:space="preserve">, </w:t>
      </w:r>
      <w:r w:rsidRPr="00146425">
        <w:rPr>
          <w:i/>
          <w:lang w:val="en-US"/>
        </w:rPr>
        <w:t>BMP4</w:t>
      </w:r>
      <w:r>
        <w:rPr>
          <w:lang w:val="en-US"/>
        </w:rPr>
        <w:t xml:space="preserve">, and </w:t>
      </w:r>
      <w:r w:rsidRPr="00146425">
        <w:rPr>
          <w:i/>
          <w:lang w:val="en-US"/>
        </w:rPr>
        <w:t>SERPINF1</w:t>
      </w:r>
      <w:r>
        <w:rPr>
          <w:lang w:val="en-US"/>
        </w:rPr>
        <w:t>) and for the region of the OTSC7 linkage locus.</w:t>
      </w:r>
    </w:p>
    <w:p w14:paraId="71179DAB" w14:textId="77777777" w:rsidR="00340BBE" w:rsidRDefault="00340BBE" w:rsidP="00340BBE">
      <w:pPr>
        <w:spacing w:line="360" w:lineRule="auto"/>
        <w:jc w:val="both"/>
        <w:rPr>
          <w:lang w:val="en-US"/>
        </w:rPr>
      </w:pPr>
    </w:p>
    <w:p w14:paraId="320897DE" w14:textId="4853AAFB" w:rsidR="00340BBE" w:rsidRDefault="00340BBE" w:rsidP="00340BBE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File Name: </w:t>
      </w:r>
      <w:r w:rsidRPr="00C13311">
        <w:rPr>
          <w:lang w:val="en-US"/>
        </w:rPr>
        <w:t>Supplementary D</w:t>
      </w:r>
      <w:r w:rsidRPr="0008318E">
        <w:rPr>
          <w:lang w:val="en-US"/>
        </w:rPr>
        <w:t>ata</w:t>
      </w:r>
      <w:r w:rsidR="004F379A">
        <w:rPr>
          <w:lang w:val="en-US"/>
        </w:rPr>
        <w:t xml:space="preserve"> 10</w:t>
      </w:r>
      <w:r w:rsidRPr="0008318E">
        <w:rPr>
          <w:lang w:val="en-US"/>
        </w:rPr>
        <w:t xml:space="preserve">. </w:t>
      </w:r>
      <w:r w:rsidRPr="0008318E">
        <w:rPr>
          <w:rFonts w:ascii="Calibri" w:hAnsi="Calibri"/>
          <w:lang w:val="en-US"/>
        </w:rPr>
        <w:t>Replication of candidate variants.</w:t>
      </w:r>
    </w:p>
    <w:p w14:paraId="0EB6E51C" w14:textId="77777777" w:rsidR="00340BBE" w:rsidRPr="00C13311" w:rsidRDefault="00340BBE" w:rsidP="00340BBE">
      <w:pPr>
        <w:spacing w:line="360" w:lineRule="auto"/>
        <w:jc w:val="both"/>
        <w:rPr>
          <w:lang w:val="en-US"/>
        </w:rPr>
      </w:pPr>
      <w:r>
        <w:rPr>
          <w:b/>
          <w:lang w:val="en-US"/>
        </w:rPr>
        <w:t>Description:</w:t>
      </w:r>
      <w:r w:rsidRPr="003650FD">
        <w:rPr>
          <w:lang w:val="en-US"/>
        </w:rPr>
        <w:t xml:space="preserve"> Meta-analysis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Effect estimates and </w:t>
      </w:r>
      <w:r>
        <w:rPr>
          <w:i/>
          <w:lang w:val="en-US"/>
        </w:rPr>
        <w:t>p</w:t>
      </w:r>
      <w:r>
        <w:rPr>
          <w:lang w:val="en-US"/>
        </w:rPr>
        <w:t>-values are shown for variants previously suggested to be associated with otosclerosis. References to the original studies are presented in the main text.</w:t>
      </w:r>
    </w:p>
    <w:p w14:paraId="0B40EC78" w14:textId="03D4BCF7" w:rsidR="00316FC7" w:rsidRDefault="00316FC7" w:rsidP="00042C46">
      <w:pPr>
        <w:rPr>
          <w:lang w:val="en-US"/>
        </w:rPr>
      </w:pPr>
    </w:p>
    <w:p w14:paraId="316CC213" w14:textId="5323B556" w:rsidR="00E865A7" w:rsidRDefault="00E865A7" w:rsidP="00E865A7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File Name: </w:t>
      </w:r>
      <w:r w:rsidRPr="00C13311">
        <w:rPr>
          <w:lang w:val="en-US"/>
        </w:rPr>
        <w:t>Supplementary Dat</w:t>
      </w:r>
      <w:r w:rsidRPr="00AB4E5E">
        <w:rPr>
          <w:lang w:val="en-US"/>
        </w:rPr>
        <w:t>a</w:t>
      </w:r>
      <w:r w:rsidR="004F379A">
        <w:rPr>
          <w:lang w:val="en-US"/>
        </w:rPr>
        <w:t xml:space="preserve"> 11</w:t>
      </w:r>
      <w:r w:rsidRPr="00AB4E5E">
        <w:rPr>
          <w:lang w:val="en-US"/>
        </w:rPr>
        <w:t xml:space="preserve">. </w:t>
      </w:r>
      <w:proofErr w:type="spellStart"/>
      <w:r w:rsidR="005C21B2" w:rsidRPr="005C21B2">
        <w:rPr>
          <w:lang w:val="en-US"/>
        </w:rPr>
        <w:t>eQTL</w:t>
      </w:r>
      <w:proofErr w:type="spellEnd"/>
      <w:r w:rsidR="005C21B2" w:rsidRPr="005C21B2">
        <w:rPr>
          <w:lang w:val="en-US"/>
        </w:rPr>
        <w:t xml:space="preserve"> for lead variants from the meta-analysis</w:t>
      </w:r>
      <w:r w:rsidR="005C21B2">
        <w:rPr>
          <w:lang w:val="en-US"/>
        </w:rPr>
        <w:t>.</w:t>
      </w:r>
    </w:p>
    <w:p w14:paraId="345E2360" w14:textId="775A4505" w:rsidR="00E865A7" w:rsidRPr="005C21B2" w:rsidRDefault="00E865A7" w:rsidP="00E865A7">
      <w:pPr>
        <w:spacing w:line="360" w:lineRule="auto"/>
        <w:jc w:val="both"/>
        <w:rPr>
          <w:i/>
          <w:lang w:val="en-US"/>
        </w:rPr>
      </w:pPr>
      <w:r>
        <w:rPr>
          <w:b/>
          <w:lang w:val="en-US"/>
        </w:rPr>
        <w:t xml:space="preserve">Description: </w:t>
      </w:r>
      <w:r w:rsidR="00073367" w:rsidRPr="00073367">
        <w:rPr>
          <w:lang w:val="en-US"/>
        </w:rPr>
        <w:t xml:space="preserve">We used the </w:t>
      </w:r>
      <w:proofErr w:type="spellStart"/>
      <w:r w:rsidR="00073367" w:rsidRPr="00073367">
        <w:rPr>
          <w:lang w:val="en-US"/>
        </w:rPr>
        <w:t>GTEx</w:t>
      </w:r>
      <w:proofErr w:type="spellEnd"/>
      <w:r w:rsidR="00073367" w:rsidRPr="00073367">
        <w:rPr>
          <w:lang w:val="en-US"/>
        </w:rPr>
        <w:t xml:space="preserve"> v8 database (https://gtexportal.org) to map otosclerosis susceptibility variants to genes and tissues.</w:t>
      </w:r>
      <w:r w:rsidR="00073367">
        <w:rPr>
          <w:lang w:val="en-US"/>
        </w:rPr>
        <w:t xml:space="preserve"> </w:t>
      </w:r>
      <w:r w:rsidR="00073367" w:rsidRPr="00073367">
        <w:rPr>
          <w:lang w:val="en-US"/>
        </w:rPr>
        <w:t xml:space="preserve">We downloaded the data for all 49 tissues, and mapped the lead variants from the meta-analysis </w:t>
      </w:r>
      <w:proofErr w:type="spellStart"/>
      <w:r w:rsidR="00073367" w:rsidRPr="00073367">
        <w:rPr>
          <w:lang w:val="en-US"/>
        </w:rPr>
        <w:t>eQTL</w:t>
      </w:r>
      <w:proofErr w:type="spellEnd"/>
      <w:r w:rsidR="00073367" w:rsidRPr="00073367">
        <w:rPr>
          <w:lang w:val="en-US"/>
        </w:rPr>
        <w:t xml:space="preserve"> (expression quantitative locus) associations using the 5% false discovery rate cut-off provided by the </w:t>
      </w:r>
      <w:proofErr w:type="spellStart"/>
      <w:r w:rsidR="00073367" w:rsidRPr="00073367">
        <w:rPr>
          <w:lang w:val="en-US"/>
        </w:rPr>
        <w:t>GTEx</w:t>
      </w:r>
      <w:proofErr w:type="spellEnd"/>
      <w:r w:rsidR="00073367" w:rsidRPr="00073367">
        <w:rPr>
          <w:lang w:val="en-US"/>
        </w:rPr>
        <w:t xml:space="preserve"> Consortium</w:t>
      </w:r>
      <w:r w:rsidR="00073367">
        <w:rPr>
          <w:lang w:val="en-US"/>
        </w:rPr>
        <w:t>.</w:t>
      </w:r>
    </w:p>
    <w:p w14:paraId="1A7FF6DD" w14:textId="77777777" w:rsidR="00E865A7" w:rsidRPr="00C13311" w:rsidRDefault="00E865A7" w:rsidP="00E865A7">
      <w:pPr>
        <w:rPr>
          <w:lang w:val="en-US"/>
        </w:rPr>
      </w:pPr>
    </w:p>
    <w:p w14:paraId="7DB7032F" w14:textId="120A296B" w:rsidR="00E865A7" w:rsidRDefault="00E865A7" w:rsidP="00E865A7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File Name: </w:t>
      </w:r>
      <w:r w:rsidRPr="00C13311">
        <w:rPr>
          <w:lang w:val="en-US"/>
        </w:rPr>
        <w:t>Supplementary Dat</w:t>
      </w:r>
      <w:r w:rsidRPr="00AB4E5E">
        <w:rPr>
          <w:lang w:val="en-US"/>
        </w:rPr>
        <w:t>a</w:t>
      </w:r>
      <w:r w:rsidR="004F379A">
        <w:rPr>
          <w:lang w:val="en-US"/>
        </w:rPr>
        <w:t xml:space="preserve"> 12</w:t>
      </w:r>
      <w:r w:rsidRPr="00AB4E5E">
        <w:rPr>
          <w:lang w:val="en-US"/>
        </w:rPr>
        <w:t xml:space="preserve">. </w:t>
      </w:r>
      <w:proofErr w:type="spellStart"/>
      <w:r w:rsidR="005C21B2">
        <w:rPr>
          <w:lang w:val="en-US"/>
        </w:rPr>
        <w:t>s</w:t>
      </w:r>
      <w:r w:rsidR="005C21B2" w:rsidRPr="005C21B2">
        <w:rPr>
          <w:lang w:val="en-US"/>
        </w:rPr>
        <w:t>QTL</w:t>
      </w:r>
      <w:proofErr w:type="spellEnd"/>
      <w:r w:rsidR="005C21B2" w:rsidRPr="005C21B2">
        <w:rPr>
          <w:lang w:val="en-US"/>
        </w:rPr>
        <w:t xml:space="preserve"> for lead variants from the meta-analysis</w:t>
      </w:r>
      <w:r w:rsidR="005C21B2">
        <w:rPr>
          <w:lang w:val="en-US"/>
        </w:rPr>
        <w:t>.</w:t>
      </w:r>
    </w:p>
    <w:p w14:paraId="71022605" w14:textId="2D9593BD" w:rsidR="00E865A7" w:rsidRPr="005C21B2" w:rsidRDefault="00E865A7" w:rsidP="00E865A7">
      <w:pPr>
        <w:spacing w:line="360" w:lineRule="auto"/>
        <w:jc w:val="both"/>
        <w:rPr>
          <w:i/>
          <w:lang w:val="en-US"/>
        </w:rPr>
      </w:pPr>
      <w:r>
        <w:rPr>
          <w:b/>
          <w:lang w:val="en-US"/>
        </w:rPr>
        <w:t xml:space="preserve">Description: </w:t>
      </w:r>
      <w:r w:rsidR="009C5621" w:rsidRPr="00073367">
        <w:rPr>
          <w:lang w:val="en-US"/>
        </w:rPr>
        <w:t xml:space="preserve">We used the </w:t>
      </w:r>
      <w:proofErr w:type="spellStart"/>
      <w:r w:rsidR="009C5621" w:rsidRPr="00073367">
        <w:rPr>
          <w:lang w:val="en-US"/>
        </w:rPr>
        <w:t>GTEx</w:t>
      </w:r>
      <w:proofErr w:type="spellEnd"/>
      <w:r w:rsidR="009C5621" w:rsidRPr="00073367">
        <w:rPr>
          <w:lang w:val="en-US"/>
        </w:rPr>
        <w:t xml:space="preserve"> v8 database (https://gtexportal.org) to map otosclerosis susceptibility variants to genes and tissues.</w:t>
      </w:r>
      <w:r w:rsidR="009C5621">
        <w:rPr>
          <w:lang w:val="en-US"/>
        </w:rPr>
        <w:t xml:space="preserve"> </w:t>
      </w:r>
      <w:r w:rsidR="009C5621" w:rsidRPr="00073367">
        <w:rPr>
          <w:lang w:val="en-US"/>
        </w:rPr>
        <w:t xml:space="preserve">We downloaded the data for all 49 tissues, and mapped the lead variants from the meta-analysis </w:t>
      </w:r>
      <w:proofErr w:type="spellStart"/>
      <w:r w:rsidR="009C5621">
        <w:rPr>
          <w:lang w:val="en-US"/>
        </w:rPr>
        <w:t>sQTL</w:t>
      </w:r>
      <w:proofErr w:type="spellEnd"/>
      <w:r w:rsidR="009C5621" w:rsidRPr="00073367">
        <w:rPr>
          <w:lang w:val="en-US"/>
        </w:rPr>
        <w:t xml:space="preserve"> (</w:t>
      </w:r>
      <w:r w:rsidR="009C5621">
        <w:rPr>
          <w:lang w:val="en-US"/>
        </w:rPr>
        <w:t>splicing</w:t>
      </w:r>
      <w:r w:rsidR="009C5621" w:rsidRPr="00073367">
        <w:rPr>
          <w:lang w:val="en-US"/>
        </w:rPr>
        <w:t xml:space="preserve"> quantitative locus) associations using the 5% false discovery rate cut-off provided by the </w:t>
      </w:r>
      <w:proofErr w:type="spellStart"/>
      <w:r w:rsidR="009C5621" w:rsidRPr="00073367">
        <w:rPr>
          <w:lang w:val="en-US"/>
        </w:rPr>
        <w:t>GTEx</w:t>
      </w:r>
      <w:proofErr w:type="spellEnd"/>
      <w:r w:rsidR="009C5621" w:rsidRPr="00073367">
        <w:rPr>
          <w:lang w:val="en-US"/>
        </w:rPr>
        <w:t xml:space="preserve"> Consortium</w:t>
      </w:r>
      <w:r w:rsidR="009C5621">
        <w:rPr>
          <w:lang w:val="en-US"/>
        </w:rPr>
        <w:t>.</w:t>
      </w:r>
    </w:p>
    <w:p w14:paraId="1361FE7D" w14:textId="7A798912" w:rsidR="00E865A7" w:rsidRDefault="00E865A7" w:rsidP="00042C46">
      <w:pPr>
        <w:rPr>
          <w:lang w:val="en-US"/>
        </w:rPr>
      </w:pPr>
    </w:p>
    <w:p w14:paraId="5DB552F6" w14:textId="0202AC4A" w:rsidR="00E865A7" w:rsidRDefault="00E865A7" w:rsidP="00E865A7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File Name: </w:t>
      </w:r>
      <w:r w:rsidRPr="00C13311">
        <w:rPr>
          <w:lang w:val="en-US"/>
        </w:rPr>
        <w:t>Supplementary Dat</w:t>
      </w:r>
      <w:r w:rsidRPr="00AB4E5E">
        <w:rPr>
          <w:lang w:val="en-US"/>
        </w:rPr>
        <w:t>a</w:t>
      </w:r>
      <w:r w:rsidR="004F379A">
        <w:rPr>
          <w:lang w:val="en-US"/>
        </w:rPr>
        <w:t xml:space="preserve"> 13</w:t>
      </w:r>
      <w:r w:rsidRPr="00AB4E5E">
        <w:rPr>
          <w:lang w:val="en-US"/>
        </w:rPr>
        <w:t xml:space="preserve">. </w:t>
      </w:r>
      <w:r w:rsidR="006A2A71">
        <w:rPr>
          <w:rFonts w:ascii="Calibri" w:hAnsi="Calibri"/>
          <w:lang w:val="en-US"/>
        </w:rPr>
        <w:t>Phenome-wide association study</w:t>
      </w:r>
      <w:r w:rsidR="006A2A71" w:rsidRPr="006A2A71">
        <w:rPr>
          <w:rFonts w:ascii="Calibri" w:hAnsi="Calibri"/>
          <w:lang w:val="en-US"/>
        </w:rPr>
        <w:t xml:space="preserve"> of </w:t>
      </w:r>
      <w:r w:rsidR="006A2A71">
        <w:rPr>
          <w:rFonts w:ascii="Calibri" w:hAnsi="Calibri"/>
          <w:lang w:val="en-US"/>
        </w:rPr>
        <w:t>lead variants from the meta-analysis.</w:t>
      </w:r>
    </w:p>
    <w:p w14:paraId="103C8614" w14:textId="5914A85D" w:rsidR="00E865A7" w:rsidRPr="00976BD4" w:rsidRDefault="00E865A7" w:rsidP="00E865A7">
      <w:pPr>
        <w:spacing w:line="360" w:lineRule="auto"/>
        <w:jc w:val="both"/>
        <w:rPr>
          <w:i/>
          <w:lang w:val="en-US"/>
        </w:rPr>
      </w:pPr>
      <w:r>
        <w:rPr>
          <w:b/>
          <w:lang w:val="en-US"/>
        </w:rPr>
        <w:t>Description:</w:t>
      </w:r>
      <w:r w:rsidR="001770AD">
        <w:rPr>
          <w:b/>
          <w:lang w:val="en-US"/>
        </w:rPr>
        <w:t xml:space="preserve"> </w:t>
      </w:r>
      <w:r w:rsidR="001770AD">
        <w:rPr>
          <w:lang w:val="en-US"/>
        </w:rPr>
        <w:t xml:space="preserve">Phenome-wide association </w:t>
      </w:r>
      <w:r w:rsidR="004F379A">
        <w:rPr>
          <w:lang w:val="en-US"/>
        </w:rPr>
        <w:t>study results</w:t>
      </w:r>
      <w:r w:rsidR="001770AD">
        <w:rPr>
          <w:lang w:val="en-US"/>
        </w:rPr>
        <w:t xml:space="preserve"> and previous GWAS </w:t>
      </w:r>
      <w:r w:rsidR="004F379A">
        <w:rPr>
          <w:lang w:val="en-US"/>
        </w:rPr>
        <w:t>reports</w:t>
      </w:r>
      <w:r w:rsidR="001770AD">
        <w:rPr>
          <w:lang w:val="en-US"/>
        </w:rPr>
        <w:t xml:space="preserve"> are presented for the lead variants from the meta-analysis.</w:t>
      </w:r>
      <w:r>
        <w:rPr>
          <w:b/>
          <w:lang w:val="en-US"/>
        </w:rPr>
        <w:t xml:space="preserve"> </w:t>
      </w:r>
      <w:r w:rsidR="00976BD4">
        <w:rPr>
          <w:rFonts w:ascii="Calibri" w:hAnsi="Calibri"/>
        </w:rPr>
        <w:t xml:space="preserve">In </w:t>
      </w:r>
      <w:proofErr w:type="spellStart"/>
      <w:r w:rsidR="00976BD4">
        <w:rPr>
          <w:rFonts w:ascii="Calibri" w:hAnsi="Calibri"/>
        </w:rPr>
        <w:t>FinnGen</w:t>
      </w:r>
      <w:proofErr w:type="spellEnd"/>
      <w:r w:rsidR="00976BD4">
        <w:rPr>
          <w:rFonts w:ascii="Calibri" w:hAnsi="Calibri"/>
        </w:rPr>
        <w:t>, GWAS was performed for 2925 registry-based disease endpoints similarly to the GWAS for otosclerosis</w:t>
      </w:r>
      <w:r w:rsidR="00CD2351">
        <w:rPr>
          <w:rFonts w:ascii="Calibri" w:hAnsi="Calibri"/>
        </w:rPr>
        <w:t>.</w:t>
      </w:r>
      <w:r w:rsidR="00976BD4">
        <w:rPr>
          <w:rFonts w:ascii="Calibri" w:hAnsi="Calibri"/>
        </w:rPr>
        <w:t xml:space="preserve"> For UKBB, publicly </w:t>
      </w:r>
      <w:r w:rsidR="001770AD">
        <w:rPr>
          <w:rFonts w:ascii="Calibri" w:hAnsi="Calibri"/>
        </w:rPr>
        <w:t>available</w:t>
      </w:r>
      <w:r w:rsidR="00976BD4">
        <w:rPr>
          <w:rFonts w:ascii="Calibri" w:hAnsi="Calibri"/>
        </w:rPr>
        <w:t xml:space="preserve"> association results for 2419 phenotypes including diseases and anthropometric traits (</w:t>
      </w:r>
      <w:hyperlink r:id="rId4" w:history="1">
        <w:r w:rsidR="00976BD4" w:rsidRPr="0096058C">
          <w:rPr>
            <w:rStyle w:val="Hyperlink"/>
            <w:rFonts w:ascii="Calibri" w:hAnsi="Calibri" w:cs="Times New Roman"/>
          </w:rPr>
          <w:t>http://www.nealelab.is/uk-biobank</w:t>
        </w:r>
      </w:hyperlink>
      <w:r w:rsidR="00976BD4">
        <w:rPr>
          <w:rFonts w:ascii="Calibri" w:hAnsi="Calibri" w:cs="Times New Roman"/>
          <w:color w:val="000000" w:themeColor="text1"/>
        </w:rPr>
        <w:t xml:space="preserve"> &amp; </w:t>
      </w:r>
      <w:hyperlink r:id="rId5" w:history="1">
        <w:r w:rsidR="00976BD4" w:rsidRPr="0096058C">
          <w:rPr>
            <w:rStyle w:val="Hyperlink"/>
            <w:rFonts w:ascii="Calibri" w:hAnsi="Calibri" w:cs="Times New Roman"/>
          </w:rPr>
          <w:t>http://pheweb.sph.umich.edu:5000</w:t>
        </w:r>
      </w:hyperlink>
      <w:r w:rsidR="00976BD4">
        <w:rPr>
          <w:rFonts w:ascii="Calibri" w:hAnsi="Calibri" w:cs="Times New Roman"/>
          <w:color w:val="000000" w:themeColor="text1"/>
        </w:rPr>
        <w:t>).</w:t>
      </w:r>
      <w:r w:rsidR="00976BD4">
        <w:rPr>
          <w:rFonts w:ascii="Calibri" w:hAnsi="Calibri"/>
        </w:rPr>
        <w:t xml:space="preserve"> Bonferroni-corrected </w:t>
      </w:r>
      <w:r w:rsidR="00976BD4" w:rsidRPr="00957401">
        <w:rPr>
          <w:rFonts w:ascii="Calibri" w:hAnsi="Calibri"/>
          <w:i/>
        </w:rPr>
        <w:t>p</w:t>
      </w:r>
      <w:r w:rsidR="00976BD4">
        <w:rPr>
          <w:rFonts w:ascii="Calibri" w:hAnsi="Calibri"/>
        </w:rPr>
        <w:t>-value thresholds were used for each cohort (</w:t>
      </w:r>
      <w:r w:rsidR="00976BD4" w:rsidRPr="00B91E46">
        <w:rPr>
          <w:rFonts w:ascii="Calibri" w:hAnsi="Calibri" w:cs="Times New Roman"/>
          <w:color w:val="000000" w:themeColor="text1"/>
        </w:rPr>
        <w:t>α</w:t>
      </w:r>
      <w:r w:rsidR="00976BD4">
        <w:rPr>
          <w:rFonts w:ascii="Calibri" w:hAnsi="Calibri" w:cs="Times New Roman"/>
          <w:color w:val="000000" w:themeColor="text1"/>
        </w:rPr>
        <w:t xml:space="preserve"> </w:t>
      </w:r>
      <w:r w:rsidR="00976BD4" w:rsidRPr="00B91E46">
        <w:rPr>
          <w:rFonts w:ascii="Calibri" w:hAnsi="Calibri" w:cs="Times New Roman"/>
          <w:color w:val="000000" w:themeColor="text1"/>
        </w:rPr>
        <w:t>=</w:t>
      </w:r>
      <w:r w:rsidR="00976BD4">
        <w:rPr>
          <w:rFonts w:ascii="Calibri" w:hAnsi="Calibri" w:cs="Times New Roman"/>
          <w:color w:val="000000" w:themeColor="text1"/>
        </w:rPr>
        <w:t xml:space="preserve"> 0.05/2925 for </w:t>
      </w:r>
      <w:proofErr w:type="spellStart"/>
      <w:r w:rsidR="00976BD4">
        <w:rPr>
          <w:rFonts w:ascii="Calibri" w:hAnsi="Calibri" w:cs="Times New Roman"/>
          <w:color w:val="000000" w:themeColor="text1"/>
        </w:rPr>
        <w:t>FinnGen</w:t>
      </w:r>
      <w:proofErr w:type="spellEnd"/>
      <w:r w:rsidR="00976BD4">
        <w:rPr>
          <w:rFonts w:ascii="Calibri" w:hAnsi="Calibri" w:cs="Times New Roman"/>
          <w:color w:val="000000" w:themeColor="text1"/>
        </w:rPr>
        <w:t xml:space="preserve"> and </w:t>
      </w:r>
      <w:r w:rsidR="00976BD4" w:rsidRPr="00B91E46">
        <w:rPr>
          <w:rFonts w:ascii="Calibri" w:hAnsi="Calibri" w:cs="Times New Roman"/>
          <w:color w:val="000000" w:themeColor="text1"/>
        </w:rPr>
        <w:t>α</w:t>
      </w:r>
      <w:r w:rsidR="00976BD4">
        <w:rPr>
          <w:rFonts w:ascii="Calibri" w:hAnsi="Calibri" w:cs="Times New Roman"/>
          <w:color w:val="000000" w:themeColor="text1"/>
        </w:rPr>
        <w:t xml:space="preserve"> </w:t>
      </w:r>
      <w:r w:rsidR="00976BD4" w:rsidRPr="00B91E46">
        <w:rPr>
          <w:rFonts w:ascii="Calibri" w:hAnsi="Calibri" w:cs="Times New Roman"/>
          <w:color w:val="000000" w:themeColor="text1"/>
        </w:rPr>
        <w:t>=</w:t>
      </w:r>
      <w:r w:rsidR="00976BD4">
        <w:rPr>
          <w:rFonts w:ascii="Calibri" w:hAnsi="Calibri" w:cs="Times New Roman"/>
          <w:color w:val="000000" w:themeColor="text1"/>
        </w:rPr>
        <w:t xml:space="preserve"> 0.05/2419 for UKBB). </w:t>
      </w:r>
      <w:r w:rsidR="001770AD">
        <w:rPr>
          <w:rFonts w:ascii="Calibri" w:hAnsi="Calibri"/>
        </w:rPr>
        <w:t xml:space="preserve"> A search was conducted in the</w:t>
      </w:r>
      <w:r w:rsidR="00976BD4">
        <w:rPr>
          <w:rFonts w:ascii="Calibri" w:hAnsi="Calibri"/>
        </w:rPr>
        <w:t xml:space="preserve"> GWAS </w:t>
      </w:r>
      <w:proofErr w:type="spellStart"/>
      <w:r w:rsidR="00976BD4">
        <w:rPr>
          <w:rFonts w:ascii="Calibri" w:hAnsi="Calibri"/>
        </w:rPr>
        <w:t>Catalog</w:t>
      </w:r>
      <w:proofErr w:type="spellEnd"/>
      <w:r w:rsidR="00976BD4">
        <w:rPr>
          <w:rFonts w:ascii="Calibri" w:hAnsi="Calibri"/>
        </w:rPr>
        <w:t xml:space="preserve"> database (accessed on 22 April 2020)</w:t>
      </w:r>
      <w:r w:rsidR="001770AD">
        <w:rPr>
          <w:rFonts w:ascii="Calibri" w:hAnsi="Calibri"/>
        </w:rPr>
        <w:t xml:space="preserve"> for</w:t>
      </w:r>
      <w:r w:rsidR="00976BD4">
        <w:rPr>
          <w:rFonts w:ascii="Calibri" w:hAnsi="Calibri"/>
        </w:rPr>
        <w:t xml:space="preserve"> previously published association results</w:t>
      </w:r>
      <w:r w:rsidR="001770AD">
        <w:rPr>
          <w:rFonts w:ascii="Calibri" w:hAnsi="Calibri"/>
        </w:rPr>
        <w:t>.</w:t>
      </w:r>
      <w:r w:rsidR="00976BD4">
        <w:rPr>
          <w:rFonts w:ascii="Calibri" w:hAnsi="Calibri"/>
        </w:rPr>
        <w:t xml:space="preserve"> </w:t>
      </w:r>
      <w:proofErr w:type="spellStart"/>
      <w:r w:rsidR="00976BD4">
        <w:rPr>
          <w:rFonts w:ascii="Calibri" w:hAnsi="Calibri"/>
          <w:i/>
        </w:rPr>
        <w:t>PheWAS</w:t>
      </w:r>
      <w:proofErr w:type="spellEnd"/>
      <w:r w:rsidR="00976BD4">
        <w:rPr>
          <w:rFonts w:ascii="Calibri" w:hAnsi="Calibri"/>
          <w:i/>
        </w:rPr>
        <w:t xml:space="preserve"> = phenome-wide association study</w:t>
      </w:r>
      <w:r w:rsidR="00C23814">
        <w:rPr>
          <w:rFonts w:ascii="Calibri" w:hAnsi="Calibri"/>
          <w:i/>
        </w:rPr>
        <w:t xml:space="preserve">, </w:t>
      </w:r>
      <w:r w:rsidR="00C23814">
        <w:rPr>
          <w:i/>
          <w:lang w:val="en-US"/>
        </w:rPr>
        <w:t>GWAS = genome-wide association study.</w:t>
      </w:r>
    </w:p>
    <w:p w14:paraId="04A0AAEE" w14:textId="77777777" w:rsidR="00875E71" w:rsidRDefault="00875E71" w:rsidP="00875E71">
      <w:pPr>
        <w:spacing w:line="360" w:lineRule="auto"/>
        <w:rPr>
          <w:b/>
          <w:lang w:val="en-US"/>
        </w:rPr>
      </w:pPr>
    </w:p>
    <w:p w14:paraId="559CE1F8" w14:textId="43AF8439" w:rsidR="00875E71" w:rsidRDefault="00875E71" w:rsidP="00875E71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File Name: </w:t>
      </w:r>
      <w:r w:rsidRPr="00C13311">
        <w:rPr>
          <w:lang w:val="en-US"/>
        </w:rPr>
        <w:t>Supplementary Dat</w:t>
      </w:r>
      <w:r w:rsidRPr="00AB4E5E">
        <w:rPr>
          <w:lang w:val="en-US"/>
        </w:rPr>
        <w:t>a</w:t>
      </w:r>
      <w:r w:rsidR="002F7037">
        <w:rPr>
          <w:lang w:val="en-US"/>
        </w:rPr>
        <w:t xml:space="preserve"> 14</w:t>
      </w:r>
      <w:r w:rsidRPr="00AB4E5E">
        <w:rPr>
          <w:lang w:val="en-US"/>
        </w:rPr>
        <w:t xml:space="preserve">. </w:t>
      </w:r>
      <w:r w:rsidR="00557742" w:rsidRPr="00557742">
        <w:rPr>
          <w:lang w:val="en-US"/>
        </w:rPr>
        <w:t xml:space="preserve">Previous GWAS </w:t>
      </w:r>
      <w:r w:rsidR="002F7037">
        <w:rPr>
          <w:lang w:val="en-US"/>
        </w:rPr>
        <w:t>reports</w:t>
      </w:r>
      <w:r w:rsidR="00557742" w:rsidRPr="00557742">
        <w:rPr>
          <w:lang w:val="en-US"/>
        </w:rPr>
        <w:t xml:space="preserve"> for all significant variants from the meta-analysis</w:t>
      </w:r>
    </w:p>
    <w:p w14:paraId="7E95B8C3" w14:textId="38113774" w:rsidR="00875E71" w:rsidRPr="006218C5" w:rsidRDefault="00875E71" w:rsidP="00875E71">
      <w:pPr>
        <w:spacing w:line="360" w:lineRule="auto"/>
        <w:jc w:val="both"/>
        <w:rPr>
          <w:i/>
          <w:lang w:val="en-US"/>
        </w:rPr>
      </w:pPr>
      <w:r>
        <w:rPr>
          <w:b/>
          <w:lang w:val="en-US"/>
        </w:rPr>
        <w:t xml:space="preserve">Description: </w:t>
      </w:r>
      <w:r w:rsidR="001F636A">
        <w:rPr>
          <w:lang w:val="en-US"/>
        </w:rPr>
        <w:t xml:space="preserve">Using the </w:t>
      </w:r>
      <w:r w:rsidR="001F636A">
        <w:rPr>
          <w:rFonts w:ascii="Calibri" w:hAnsi="Calibri"/>
        </w:rPr>
        <w:t xml:space="preserve">GWAS </w:t>
      </w:r>
      <w:proofErr w:type="spellStart"/>
      <w:r w:rsidR="001F636A">
        <w:rPr>
          <w:rFonts w:ascii="Calibri" w:hAnsi="Calibri"/>
        </w:rPr>
        <w:t>Catalog</w:t>
      </w:r>
      <w:proofErr w:type="spellEnd"/>
      <w:r w:rsidR="001F636A">
        <w:rPr>
          <w:rFonts w:ascii="Calibri" w:hAnsi="Calibri"/>
        </w:rPr>
        <w:t xml:space="preserve"> database (accessed on 22 April 2020), p</w:t>
      </w:r>
      <w:proofErr w:type="spellStart"/>
      <w:r w:rsidR="00343D62">
        <w:rPr>
          <w:lang w:val="en-US"/>
        </w:rPr>
        <w:t>revious</w:t>
      </w:r>
      <w:proofErr w:type="spellEnd"/>
      <w:r w:rsidR="00343D62">
        <w:rPr>
          <w:lang w:val="en-US"/>
        </w:rPr>
        <w:t xml:space="preserve"> </w:t>
      </w:r>
      <w:r w:rsidR="006218C5">
        <w:rPr>
          <w:lang w:val="en-US"/>
        </w:rPr>
        <w:t>GWAS</w:t>
      </w:r>
      <w:r w:rsidR="00C23814">
        <w:rPr>
          <w:lang w:val="en-US"/>
        </w:rPr>
        <w:t xml:space="preserve"> </w:t>
      </w:r>
      <w:r w:rsidR="00343D62">
        <w:rPr>
          <w:lang w:val="en-US"/>
        </w:rPr>
        <w:t>results were accessed for all 1,257 variants which were significantly associated with otosclerosis (p &lt; 5*10</w:t>
      </w:r>
      <w:r w:rsidR="00343D62" w:rsidRPr="00343D62">
        <w:rPr>
          <w:vertAlign w:val="superscript"/>
          <w:lang w:val="en-US"/>
        </w:rPr>
        <w:t>-8</w:t>
      </w:r>
      <w:r w:rsidR="00343D62">
        <w:rPr>
          <w:lang w:val="en-US"/>
        </w:rPr>
        <w:t>) in the meta-analysis.</w:t>
      </w:r>
      <w:r w:rsidR="006218C5">
        <w:rPr>
          <w:lang w:val="en-US"/>
        </w:rPr>
        <w:t xml:space="preserve"> </w:t>
      </w:r>
      <w:r w:rsidR="006218C5">
        <w:rPr>
          <w:i/>
          <w:lang w:val="en-US"/>
        </w:rPr>
        <w:t xml:space="preserve">GWAS </w:t>
      </w:r>
      <w:r w:rsidR="00C23814">
        <w:rPr>
          <w:i/>
          <w:lang w:val="en-US"/>
        </w:rPr>
        <w:t>= genome-wide association study.</w:t>
      </w:r>
    </w:p>
    <w:p w14:paraId="238C701A" w14:textId="22CA0E7B" w:rsidR="00E865A7" w:rsidRDefault="00E865A7" w:rsidP="00042C46">
      <w:pPr>
        <w:rPr>
          <w:lang w:val="en-US"/>
        </w:rPr>
      </w:pPr>
    </w:p>
    <w:p w14:paraId="542CD81F" w14:textId="5B10584B" w:rsidR="002D7A07" w:rsidRDefault="002D7A07" w:rsidP="002D7A07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File Name: </w:t>
      </w:r>
      <w:r w:rsidRPr="00C13311">
        <w:rPr>
          <w:lang w:val="en-US"/>
        </w:rPr>
        <w:t>Supplementary Dat</w:t>
      </w:r>
      <w:r w:rsidRPr="00AB4E5E">
        <w:rPr>
          <w:lang w:val="en-US"/>
        </w:rPr>
        <w:t>a</w:t>
      </w:r>
      <w:r>
        <w:rPr>
          <w:lang w:val="en-US"/>
        </w:rPr>
        <w:t xml:space="preserve"> 1</w:t>
      </w:r>
      <w:r w:rsidR="006B2A93">
        <w:rPr>
          <w:lang w:val="en-US"/>
        </w:rPr>
        <w:t>5</w:t>
      </w:r>
      <w:r w:rsidRPr="00AB4E5E">
        <w:rPr>
          <w:lang w:val="en-US"/>
        </w:rPr>
        <w:t>.</w:t>
      </w:r>
      <w:r w:rsidR="002F4CDE">
        <w:rPr>
          <w:lang w:val="en-US"/>
        </w:rPr>
        <w:t xml:space="preserve"> References for the reported biological functions of selected genes in the association loci.</w:t>
      </w:r>
    </w:p>
    <w:p w14:paraId="576C0C61" w14:textId="55F59304" w:rsidR="002D7A07" w:rsidRPr="006218C5" w:rsidRDefault="002D7A07" w:rsidP="002D7A07">
      <w:pPr>
        <w:spacing w:line="360" w:lineRule="auto"/>
        <w:jc w:val="both"/>
        <w:rPr>
          <w:i/>
          <w:lang w:val="en-US"/>
        </w:rPr>
      </w:pPr>
      <w:r>
        <w:rPr>
          <w:b/>
          <w:lang w:val="en-US"/>
        </w:rPr>
        <w:t xml:space="preserve">Description: </w:t>
      </w:r>
      <w:r w:rsidR="003E2C42">
        <w:rPr>
          <w:lang w:val="en-US"/>
        </w:rPr>
        <w:t>References to the biological functions summarized in Table 3.</w:t>
      </w:r>
    </w:p>
    <w:p w14:paraId="41FCE124" w14:textId="77777777" w:rsidR="00875E71" w:rsidRPr="00C13311" w:rsidRDefault="00875E71" w:rsidP="00042C46">
      <w:pPr>
        <w:rPr>
          <w:lang w:val="en-US"/>
        </w:rPr>
      </w:pPr>
    </w:p>
    <w:sectPr w:rsidR="00875E71" w:rsidRPr="00C13311" w:rsidSect="006F1F75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46"/>
    <w:rsid w:val="000010CD"/>
    <w:rsid w:val="00003F16"/>
    <w:rsid w:val="00042C46"/>
    <w:rsid w:val="0004366C"/>
    <w:rsid w:val="00051390"/>
    <w:rsid w:val="00073367"/>
    <w:rsid w:val="000751D1"/>
    <w:rsid w:val="0008318E"/>
    <w:rsid w:val="000A2285"/>
    <w:rsid w:val="000C1B10"/>
    <w:rsid w:val="000D5737"/>
    <w:rsid w:val="000E0A58"/>
    <w:rsid w:val="0010512D"/>
    <w:rsid w:val="00141028"/>
    <w:rsid w:val="00141238"/>
    <w:rsid w:val="00146425"/>
    <w:rsid w:val="001770AD"/>
    <w:rsid w:val="001974E2"/>
    <w:rsid w:val="001A2198"/>
    <w:rsid w:val="001B4BF2"/>
    <w:rsid w:val="001C06B1"/>
    <w:rsid w:val="001D3237"/>
    <w:rsid w:val="001F636A"/>
    <w:rsid w:val="002A2D69"/>
    <w:rsid w:val="002A4DBE"/>
    <w:rsid w:val="002C3E9D"/>
    <w:rsid w:val="002D2BC3"/>
    <w:rsid w:val="002D7A07"/>
    <w:rsid w:val="002E00A8"/>
    <w:rsid w:val="002E1EFB"/>
    <w:rsid w:val="002F4CDE"/>
    <w:rsid w:val="002F7037"/>
    <w:rsid w:val="00300FA6"/>
    <w:rsid w:val="00302993"/>
    <w:rsid w:val="003101A4"/>
    <w:rsid w:val="00316FC7"/>
    <w:rsid w:val="00340BBE"/>
    <w:rsid w:val="00343D62"/>
    <w:rsid w:val="003614E9"/>
    <w:rsid w:val="00363288"/>
    <w:rsid w:val="003650FD"/>
    <w:rsid w:val="00384104"/>
    <w:rsid w:val="003927AB"/>
    <w:rsid w:val="003B7601"/>
    <w:rsid w:val="003C00F5"/>
    <w:rsid w:val="003C2E79"/>
    <w:rsid w:val="003E222E"/>
    <w:rsid w:val="003E2B2F"/>
    <w:rsid w:val="003E2C42"/>
    <w:rsid w:val="003F0D13"/>
    <w:rsid w:val="00404642"/>
    <w:rsid w:val="004129F2"/>
    <w:rsid w:val="0041625D"/>
    <w:rsid w:val="004508F4"/>
    <w:rsid w:val="00453096"/>
    <w:rsid w:val="00473148"/>
    <w:rsid w:val="004753B4"/>
    <w:rsid w:val="004867DD"/>
    <w:rsid w:val="004A1601"/>
    <w:rsid w:val="004A1867"/>
    <w:rsid w:val="004E1F9B"/>
    <w:rsid w:val="004E75A8"/>
    <w:rsid w:val="004F379A"/>
    <w:rsid w:val="004F473D"/>
    <w:rsid w:val="004F6CF1"/>
    <w:rsid w:val="00520BEB"/>
    <w:rsid w:val="00526020"/>
    <w:rsid w:val="005554A3"/>
    <w:rsid w:val="00557742"/>
    <w:rsid w:val="00584F73"/>
    <w:rsid w:val="005C21B2"/>
    <w:rsid w:val="005C7217"/>
    <w:rsid w:val="005D40C9"/>
    <w:rsid w:val="005E6F09"/>
    <w:rsid w:val="0061310D"/>
    <w:rsid w:val="006218C5"/>
    <w:rsid w:val="006346B7"/>
    <w:rsid w:val="00635461"/>
    <w:rsid w:val="00645E5A"/>
    <w:rsid w:val="006A2A71"/>
    <w:rsid w:val="006B078B"/>
    <w:rsid w:val="006B2A93"/>
    <w:rsid w:val="006E2721"/>
    <w:rsid w:val="006F1F75"/>
    <w:rsid w:val="006F328C"/>
    <w:rsid w:val="00743AFE"/>
    <w:rsid w:val="00756977"/>
    <w:rsid w:val="007806BE"/>
    <w:rsid w:val="00785DC5"/>
    <w:rsid w:val="007A1DF8"/>
    <w:rsid w:val="007A5101"/>
    <w:rsid w:val="007B3AE3"/>
    <w:rsid w:val="007C0A23"/>
    <w:rsid w:val="007F6F01"/>
    <w:rsid w:val="00812B1B"/>
    <w:rsid w:val="008148EC"/>
    <w:rsid w:val="00851B8C"/>
    <w:rsid w:val="00870CB6"/>
    <w:rsid w:val="00873B60"/>
    <w:rsid w:val="00875E71"/>
    <w:rsid w:val="00884362"/>
    <w:rsid w:val="008977D2"/>
    <w:rsid w:val="008D290B"/>
    <w:rsid w:val="0092216C"/>
    <w:rsid w:val="00941144"/>
    <w:rsid w:val="00941912"/>
    <w:rsid w:val="00945110"/>
    <w:rsid w:val="00955D7E"/>
    <w:rsid w:val="00976BD4"/>
    <w:rsid w:val="009C5621"/>
    <w:rsid w:val="00A26B8D"/>
    <w:rsid w:val="00A345A7"/>
    <w:rsid w:val="00A37645"/>
    <w:rsid w:val="00A5056A"/>
    <w:rsid w:val="00A5636D"/>
    <w:rsid w:val="00AB3D36"/>
    <w:rsid w:val="00AB4E5E"/>
    <w:rsid w:val="00AF080C"/>
    <w:rsid w:val="00B021BA"/>
    <w:rsid w:val="00B12A15"/>
    <w:rsid w:val="00B45E57"/>
    <w:rsid w:val="00B502C6"/>
    <w:rsid w:val="00B80ECD"/>
    <w:rsid w:val="00BF212F"/>
    <w:rsid w:val="00BF73E5"/>
    <w:rsid w:val="00C13311"/>
    <w:rsid w:val="00C23814"/>
    <w:rsid w:val="00C31F10"/>
    <w:rsid w:val="00CB29AD"/>
    <w:rsid w:val="00CC46F0"/>
    <w:rsid w:val="00CD14A5"/>
    <w:rsid w:val="00CD2351"/>
    <w:rsid w:val="00CD5D21"/>
    <w:rsid w:val="00CE6E6D"/>
    <w:rsid w:val="00CF215F"/>
    <w:rsid w:val="00CF6B52"/>
    <w:rsid w:val="00D3259F"/>
    <w:rsid w:val="00D35BF8"/>
    <w:rsid w:val="00D456BB"/>
    <w:rsid w:val="00D574CF"/>
    <w:rsid w:val="00D673A7"/>
    <w:rsid w:val="00DC68F0"/>
    <w:rsid w:val="00DF3997"/>
    <w:rsid w:val="00E02619"/>
    <w:rsid w:val="00E35EC3"/>
    <w:rsid w:val="00E73E07"/>
    <w:rsid w:val="00E865A7"/>
    <w:rsid w:val="00EA5108"/>
    <w:rsid w:val="00EA6577"/>
    <w:rsid w:val="00EE1E27"/>
    <w:rsid w:val="00EE7420"/>
    <w:rsid w:val="00EF05E4"/>
    <w:rsid w:val="00EF1B1A"/>
    <w:rsid w:val="00F00D18"/>
    <w:rsid w:val="00F62BE5"/>
    <w:rsid w:val="00F74444"/>
    <w:rsid w:val="00FC2F74"/>
    <w:rsid w:val="00FC45D3"/>
    <w:rsid w:val="00FE3C8F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6CB4BF"/>
  <w14:defaultImageDpi w14:val="32767"/>
  <w15:chartTrackingRefBased/>
  <w15:docId w15:val="{6CBF1B34-5930-FC46-9018-974E3B7C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42C46"/>
  </w:style>
  <w:style w:type="paragraph" w:styleId="Heading1">
    <w:name w:val="heading 1"/>
    <w:basedOn w:val="Normal"/>
    <w:next w:val="Normal"/>
    <w:link w:val="Heading1Char"/>
    <w:uiPriority w:val="9"/>
    <w:qFormat/>
    <w:rsid w:val="00042C46"/>
    <w:pPr>
      <w:keepNext/>
      <w:keepLines/>
      <w:spacing w:before="480" w:after="240" w:line="480" w:lineRule="auto"/>
      <w:jc w:val="both"/>
      <w:outlineLvl w:val="0"/>
    </w:pPr>
    <w:rPr>
      <w:rFonts w:ascii="Arial" w:eastAsiaTheme="majorEastAsia" w:hAnsi="Arial" w:cstheme="majorBidi"/>
      <w:b/>
      <w:bCs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C46"/>
    <w:rPr>
      <w:rFonts w:ascii="Arial" w:eastAsiaTheme="majorEastAsia" w:hAnsi="Arial" w:cstheme="majorBidi"/>
      <w:b/>
      <w:bCs/>
      <w:sz w:val="28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976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heweb.sph.umich.edu:5000" TargetMode="External"/><Relationship Id="rId4" Type="http://schemas.openxmlformats.org/officeDocument/2006/relationships/hyperlink" Target="http://www.nealelab.is/uk-biob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Rämö</dc:creator>
  <cp:keywords/>
  <dc:description/>
  <cp:lastModifiedBy>Joel Rämö</cp:lastModifiedBy>
  <cp:revision>151</cp:revision>
  <dcterms:created xsi:type="dcterms:W3CDTF">2020-10-18T10:40:00Z</dcterms:created>
  <dcterms:modified xsi:type="dcterms:W3CDTF">2020-10-31T16:05:00Z</dcterms:modified>
</cp:coreProperties>
</file>