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1D487" w14:textId="77777777" w:rsidR="000F4788" w:rsidRPr="00175E77" w:rsidRDefault="000F4788" w:rsidP="000F4788">
      <w:pPr>
        <w:rPr>
          <w:b/>
          <w:bCs/>
        </w:rPr>
      </w:pPr>
      <w:r w:rsidRPr="008A49A9">
        <w:rPr>
          <w:b/>
          <w:bCs/>
        </w:rPr>
        <w:t>Appendix</w:t>
      </w:r>
    </w:p>
    <w:p w14:paraId="29A2FF2F" w14:textId="77777777" w:rsidR="000F4788" w:rsidRDefault="000F4788" w:rsidP="000F4788">
      <w:pPr>
        <w:rPr>
          <w:b/>
          <w:bCs/>
        </w:rPr>
      </w:pPr>
    </w:p>
    <w:p w14:paraId="6D247421" w14:textId="77777777" w:rsidR="000F4788" w:rsidRDefault="000F4788" w:rsidP="000F4788">
      <w:r w:rsidRPr="005D2642">
        <w:rPr>
          <w:b/>
          <w:bCs/>
        </w:rPr>
        <w:t xml:space="preserve">Figure </w:t>
      </w:r>
      <w:r>
        <w:rPr>
          <w:b/>
          <w:bCs/>
        </w:rPr>
        <w:t>S</w:t>
      </w:r>
      <w:r w:rsidRPr="005D2642">
        <w:rPr>
          <w:b/>
          <w:bCs/>
        </w:rPr>
        <w:t xml:space="preserve">1. </w:t>
      </w:r>
      <w:r>
        <w:t xml:space="preserve">Mobility relative to the median value for trips taken from January 3–February 6, 2020 for trips to A) workplaces or B) retail/recreation for the nine NoroSTAT states included in the analysis.  Different states are shown in different line colors.  Data are publicly available at: </w:t>
      </w:r>
      <w:hyperlink r:id="rId4" w:history="1">
        <w:r w:rsidRPr="00B4350E">
          <w:rPr>
            <w:rStyle w:val="Hyperlink"/>
          </w:rPr>
          <w:t>https://github.com/ActiveConclusion/COVID19_mobility/tree/master/google_reports</w:t>
        </w:r>
      </w:hyperlink>
    </w:p>
    <w:p w14:paraId="2A880FD3" w14:textId="77777777" w:rsidR="000F4788" w:rsidRDefault="000F4788" w:rsidP="000F4788"/>
    <w:p w14:paraId="40D3D29E" w14:textId="77777777" w:rsidR="000F4788" w:rsidRPr="00125DBF" w:rsidRDefault="000F4788" w:rsidP="000F4788">
      <w:r w:rsidRPr="005D2642">
        <w:rPr>
          <w:noProof/>
        </w:rPr>
        <w:drawing>
          <wp:inline distT="0" distB="0" distL="0" distR="0" wp14:anchorId="5A1B843A" wp14:editId="6CAC8B0C">
            <wp:extent cx="5227504" cy="2940471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736" cy="294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BD62" w14:textId="77777777" w:rsidR="000F4788" w:rsidRDefault="000F4788" w:rsidP="000F4788">
      <w:pPr>
        <w:rPr>
          <w:b/>
          <w:bCs/>
        </w:rPr>
      </w:pPr>
    </w:p>
    <w:p w14:paraId="56C5251A" w14:textId="77777777" w:rsidR="000F4788" w:rsidRDefault="000F4788" w:rsidP="000F4788">
      <w:r>
        <w:rPr>
          <w:b/>
          <w:bCs/>
        </w:rPr>
        <w:t xml:space="preserve">Table S1. </w:t>
      </w:r>
      <w:r>
        <w:t>More detailed description of outbreaks in ‘other’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4788" w14:paraId="2A500D7B" w14:textId="77777777" w:rsidTr="00E30453">
        <w:tc>
          <w:tcPr>
            <w:tcW w:w="3116" w:type="dxa"/>
          </w:tcPr>
          <w:p w14:paraId="642D41BE" w14:textId="77777777" w:rsidR="000F4788" w:rsidRDefault="000F4788" w:rsidP="00E30453">
            <w:r>
              <w:t>Location</w:t>
            </w:r>
          </w:p>
        </w:tc>
        <w:tc>
          <w:tcPr>
            <w:tcW w:w="3117" w:type="dxa"/>
          </w:tcPr>
          <w:p w14:paraId="373FF40F" w14:textId="77777777" w:rsidR="000F4788" w:rsidRDefault="000F4788" w:rsidP="00E30453">
            <w:r>
              <w:t>August 2012–February 2020</w:t>
            </w:r>
          </w:p>
          <w:p w14:paraId="2B82BBB7" w14:textId="77777777" w:rsidR="000F4788" w:rsidRDefault="000F4788" w:rsidP="00E30453">
            <w:r>
              <w:t>N=370</w:t>
            </w:r>
          </w:p>
          <w:p w14:paraId="51683445" w14:textId="77777777" w:rsidR="000F4788" w:rsidRDefault="000F4788" w:rsidP="00E30453">
            <w:r>
              <w:t>% (number of outbreaks)</w:t>
            </w:r>
          </w:p>
        </w:tc>
        <w:tc>
          <w:tcPr>
            <w:tcW w:w="3117" w:type="dxa"/>
          </w:tcPr>
          <w:p w14:paraId="25AA1E46" w14:textId="77777777" w:rsidR="000F4788" w:rsidRDefault="000F4788" w:rsidP="00E30453">
            <w:r>
              <w:t>April–July 2020</w:t>
            </w:r>
          </w:p>
          <w:p w14:paraId="0A5829CA" w14:textId="77777777" w:rsidR="000F4788" w:rsidRDefault="000F4788" w:rsidP="00E30453">
            <w:r>
              <w:t>N=1</w:t>
            </w:r>
          </w:p>
          <w:p w14:paraId="7347F35C" w14:textId="77777777" w:rsidR="000F4788" w:rsidRDefault="000F4788" w:rsidP="00E30453">
            <w:r>
              <w:t>% (number of outbreaks)</w:t>
            </w:r>
          </w:p>
        </w:tc>
      </w:tr>
      <w:tr w:rsidR="000F4788" w14:paraId="334B3C07" w14:textId="77777777" w:rsidTr="00E30453">
        <w:tc>
          <w:tcPr>
            <w:tcW w:w="3116" w:type="dxa"/>
          </w:tcPr>
          <w:p w14:paraId="5C21E14D" w14:textId="77777777" w:rsidR="000F4788" w:rsidRDefault="000F4788" w:rsidP="00E30453">
            <w:r>
              <w:t>Restaurant</w:t>
            </w:r>
          </w:p>
        </w:tc>
        <w:tc>
          <w:tcPr>
            <w:tcW w:w="3117" w:type="dxa"/>
          </w:tcPr>
          <w:p w14:paraId="1ACD3AF7" w14:textId="77777777" w:rsidR="000F4788" w:rsidRDefault="000F4788" w:rsidP="00E30453">
            <w:r>
              <w:t>38% (139)</w:t>
            </w:r>
          </w:p>
        </w:tc>
        <w:tc>
          <w:tcPr>
            <w:tcW w:w="3117" w:type="dxa"/>
          </w:tcPr>
          <w:p w14:paraId="4E5BD019" w14:textId="77777777" w:rsidR="000F4788" w:rsidRDefault="000F4788" w:rsidP="00E30453">
            <w:r>
              <w:t>0% (0)</w:t>
            </w:r>
          </w:p>
        </w:tc>
      </w:tr>
      <w:tr w:rsidR="000F4788" w14:paraId="0BDE3278" w14:textId="77777777" w:rsidTr="00E30453">
        <w:tc>
          <w:tcPr>
            <w:tcW w:w="3116" w:type="dxa"/>
          </w:tcPr>
          <w:p w14:paraId="684AB66D" w14:textId="77777777" w:rsidR="000F4788" w:rsidRDefault="000F4788" w:rsidP="00E30453">
            <w:r>
              <w:t>Other (no details provided)</w:t>
            </w:r>
          </w:p>
        </w:tc>
        <w:tc>
          <w:tcPr>
            <w:tcW w:w="3117" w:type="dxa"/>
          </w:tcPr>
          <w:p w14:paraId="1545644B" w14:textId="77777777" w:rsidR="000F4788" w:rsidRDefault="000F4788" w:rsidP="00E30453">
            <w:r>
              <w:t>13% (47)</w:t>
            </w:r>
          </w:p>
        </w:tc>
        <w:tc>
          <w:tcPr>
            <w:tcW w:w="3117" w:type="dxa"/>
          </w:tcPr>
          <w:p w14:paraId="22254BEB" w14:textId="77777777" w:rsidR="000F4788" w:rsidRDefault="000F4788" w:rsidP="00E30453">
            <w:r>
              <w:t>0% (0)</w:t>
            </w:r>
          </w:p>
        </w:tc>
      </w:tr>
      <w:tr w:rsidR="000F4788" w14:paraId="2D6B874B" w14:textId="77777777" w:rsidTr="00E30453">
        <w:tc>
          <w:tcPr>
            <w:tcW w:w="3116" w:type="dxa"/>
          </w:tcPr>
          <w:p w14:paraId="6642CCA1" w14:textId="77777777" w:rsidR="000F4788" w:rsidRDefault="000F4788" w:rsidP="00E30453">
            <w:r>
              <w:t>Camps/cabins</w:t>
            </w:r>
          </w:p>
        </w:tc>
        <w:tc>
          <w:tcPr>
            <w:tcW w:w="3117" w:type="dxa"/>
          </w:tcPr>
          <w:p w14:paraId="2BB12EAE" w14:textId="77777777" w:rsidR="000F4788" w:rsidRDefault="000F4788" w:rsidP="00E30453">
            <w:r>
              <w:t>11% (40)</w:t>
            </w:r>
          </w:p>
        </w:tc>
        <w:tc>
          <w:tcPr>
            <w:tcW w:w="3117" w:type="dxa"/>
          </w:tcPr>
          <w:p w14:paraId="47589C28" w14:textId="77777777" w:rsidR="000F4788" w:rsidRDefault="000F4788" w:rsidP="00E30453">
            <w:r>
              <w:t>0% (0)</w:t>
            </w:r>
          </w:p>
        </w:tc>
      </w:tr>
      <w:tr w:rsidR="000F4788" w14:paraId="1D3E68A6" w14:textId="77777777" w:rsidTr="00E30453">
        <w:tc>
          <w:tcPr>
            <w:tcW w:w="3116" w:type="dxa"/>
          </w:tcPr>
          <w:p w14:paraId="11321D25" w14:textId="77777777" w:rsidR="000F4788" w:rsidRDefault="000F4788" w:rsidP="00E30453">
            <w:r>
              <w:t>Private residence</w:t>
            </w:r>
          </w:p>
        </w:tc>
        <w:tc>
          <w:tcPr>
            <w:tcW w:w="3117" w:type="dxa"/>
          </w:tcPr>
          <w:p w14:paraId="4A94C033" w14:textId="77777777" w:rsidR="000F4788" w:rsidRDefault="000F4788" w:rsidP="00E30453">
            <w:r>
              <w:t>10% (37)</w:t>
            </w:r>
          </w:p>
        </w:tc>
        <w:tc>
          <w:tcPr>
            <w:tcW w:w="3117" w:type="dxa"/>
          </w:tcPr>
          <w:p w14:paraId="479E415D" w14:textId="77777777" w:rsidR="000F4788" w:rsidRDefault="000F4788" w:rsidP="00E30453">
            <w:r>
              <w:t>0% (0)</w:t>
            </w:r>
          </w:p>
        </w:tc>
      </w:tr>
      <w:tr w:rsidR="000F4788" w14:paraId="72872E48" w14:textId="77777777" w:rsidTr="00E30453">
        <w:tc>
          <w:tcPr>
            <w:tcW w:w="3116" w:type="dxa"/>
          </w:tcPr>
          <w:p w14:paraId="7E41764D" w14:textId="77777777" w:rsidR="000F4788" w:rsidRDefault="000F4788" w:rsidP="00E30453">
            <w:r>
              <w:t>Banquet facilities/caterers/other food</w:t>
            </w:r>
          </w:p>
        </w:tc>
        <w:tc>
          <w:tcPr>
            <w:tcW w:w="3117" w:type="dxa"/>
          </w:tcPr>
          <w:p w14:paraId="30646B8C" w14:textId="77777777" w:rsidR="000F4788" w:rsidRDefault="000F4788" w:rsidP="00E30453">
            <w:r>
              <w:t>6% (24)</w:t>
            </w:r>
          </w:p>
        </w:tc>
        <w:tc>
          <w:tcPr>
            <w:tcW w:w="3117" w:type="dxa"/>
          </w:tcPr>
          <w:p w14:paraId="177EB234" w14:textId="77777777" w:rsidR="000F4788" w:rsidRDefault="000F4788" w:rsidP="00E30453">
            <w:r>
              <w:t>0% (0)</w:t>
            </w:r>
          </w:p>
        </w:tc>
      </w:tr>
      <w:tr w:rsidR="000F4788" w14:paraId="0692F57C" w14:textId="77777777" w:rsidTr="00E30453">
        <w:tc>
          <w:tcPr>
            <w:tcW w:w="3116" w:type="dxa"/>
          </w:tcPr>
          <w:p w14:paraId="4707859A" w14:textId="77777777" w:rsidR="000F4788" w:rsidRDefault="000F4788" w:rsidP="00E30453">
            <w:r>
              <w:t>Office/indoor workplace</w:t>
            </w:r>
          </w:p>
        </w:tc>
        <w:tc>
          <w:tcPr>
            <w:tcW w:w="3117" w:type="dxa"/>
          </w:tcPr>
          <w:p w14:paraId="069D521F" w14:textId="77777777" w:rsidR="000F4788" w:rsidRDefault="000F4788" w:rsidP="00E30453">
            <w:r>
              <w:t>5% (19)</w:t>
            </w:r>
          </w:p>
        </w:tc>
        <w:tc>
          <w:tcPr>
            <w:tcW w:w="3117" w:type="dxa"/>
          </w:tcPr>
          <w:p w14:paraId="5C641553" w14:textId="77777777" w:rsidR="000F4788" w:rsidRDefault="000F4788" w:rsidP="00E30453">
            <w:r>
              <w:t>0% (0)</w:t>
            </w:r>
          </w:p>
        </w:tc>
      </w:tr>
      <w:tr w:rsidR="000F4788" w14:paraId="698821B9" w14:textId="77777777" w:rsidTr="00E30453">
        <w:tc>
          <w:tcPr>
            <w:tcW w:w="3116" w:type="dxa"/>
          </w:tcPr>
          <w:p w14:paraId="4EE051D7" w14:textId="77777777" w:rsidR="000F4788" w:rsidRDefault="000F4788" w:rsidP="00E30453">
            <w:r>
              <w:t>Multiple (no details provided)</w:t>
            </w:r>
          </w:p>
        </w:tc>
        <w:tc>
          <w:tcPr>
            <w:tcW w:w="3117" w:type="dxa"/>
          </w:tcPr>
          <w:p w14:paraId="0EB07D00" w14:textId="77777777" w:rsidR="000F4788" w:rsidRDefault="000F4788" w:rsidP="00E30453">
            <w:r>
              <w:t>5% (17)</w:t>
            </w:r>
          </w:p>
        </w:tc>
        <w:tc>
          <w:tcPr>
            <w:tcW w:w="3117" w:type="dxa"/>
          </w:tcPr>
          <w:p w14:paraId="23B81EF3" w14:textId="77777777" w:rsidR="000F4788" w:rsidRDefault="000F4788" w:rsidP="00E30453">
            <w:r>
              <w:t>0% (0)</w:t>
            </w:r>
          </w:p>
        </w:tc>
      </w:tr>
      <w:tr w:rsidR="000F4788" w14:paraId="4DD289DD" w14:textId="77777777" w:rsidTr="00E30453">
        <w:tc>
          <w:tcPr>
            <w:tcW w:w="3116" w:type="dxa"/>
          </w:tcPr>
          <w:p w14:paraId="2682A10F" w14:textId="77777777" w:rsidR="000F4788" w:rsidRDefault="000F4788" w:rsidP="00E30453">
            <w:r>
              <w:t>Prison</w:t>
            </w:r>
          </w:p>
        </w:tc>
        <w:tc>
          <w:tcPr>
            <w:tcW w:w="3117" w:type="dxa"/>
          </w:tcPr>
          <w:p w14:paraId="7C6970AC" w14:textId="77777777" w:rsidR="000F4788" w:rsidRDefault="000F4788" w:rsidP="00E30453">
            <w:r>
              <w:t>3% (12)</w:t>
            </w:r>
          </w:p>
        </w:tc>
        <w:tc>
          <w:tcPr>
            <w:tcW w:w="3117" w:type="dxa"/>
          </w:tcPr>
          <w:p w14:paraId="74146779" w14:textId="77777777" w:rsidR="000F4788" w:rsidRDefault="000F4788" w:rsidP="00E30453">
            <w:r>
              <w:t>0% (0)</w:t>
            </w:r>
          </w:p>
        </w:tc>
      </w:tr>
      <w:tr w:rsidR="000F4788" w14:paraId="514C5823" w14:textId="77777777" w:rsidTr="00E30453">
        <w:tc>
          <w:tcPr>
            <w:tcW w:w="3116" w:type="dxa"/>
          </w:tcPr>
          <w:p w14:paraId="20FFB555" w14:textId="77777777" w:rsidR="000F4788" w:rsidRDefault="000F4788" w:rsidP="00E30453">
            <w:r>
              <w:t>Event space</w:t>
            </w:r>
          </w:p>
        </w:tc>
        <w:tc>
          <w:tcPr>
            <w:tcW w:w="3117" w:type="dxa"/>
          </w:tcPr>
          <w:p w14:paraId="0CDC53C0" w14:textId="77777777" w:rsidR="000F4788" w:rsidRDefault="000F4788" w:rsidP="00E30453">
            <w:r>
              <w:t>2% (8)</w:t>
            </w:r>
          </w:p>
        </w:tc>
        <w:tc>
          <w:tcPr>
            <w:tcW w:w="3117" w:type="dxa"/>
          </w:tcPr>
          <w:p w14:paraId="7B85A65E" w14:textId="77777777" w:rsidR="000F4788" w:rsidRDefault="000F4788" w:rsidP="00E30453">
            <w:r>
              <w:t>0% (0)</w:t>
            </w:r>
          </w:p>
        </w:tc>
      </w:tr>
      <w:tr w:rsidR="000F4788" w14:paraId="2BEF10D9" w14:textId="77777777" w:rsidTr="00E30453">
        <w:tc>
          <w:tcPr>
            <w:tcW w:w="3116" w:type="dxa"/>
          </w:tcPr>
          <w:p w14:paraId="78DE1772" w14:textId="77777777" w:rsidR="000F4788" w:rsidRDefault="000F4788" w:rsidP="00E30453">
            <w:r>
              <w:t>Hotel/Motel</w:t>
            </w:r>
          </w:p>
        </w:tc>
        <w:tc>
          <w:tcPr>
            <w:tcW w:w="3117" w:type="dxa"/>
          </w:tcPr>
          <w:p w14:paraId="7B365D5B" w14:textId="77777777" w:rsidR="000F4788" w:rsidRDefault="000F4788" w:rsidP="00E30453">
            <w:r>
              <w:t>2% (7)</w:t>
            </w:r>
          </w:p>
        </w:tc>
        <w:tc>
          <w:tcPr>
            <w:tcW w:w="3117" w:type="dxa"/>
          </w:tcPr>
          <w:p w14:paraId="6FA87074" w14:textId="77777777" w:rsidR="000F4788" w:rsidRDefault="000F4788" w:rsidP="00E30453">
            <w:r>
              <w:t>0% (0)</w:t>
            </w:r>
          </w:p>
        </w:tc>
      </w:tr>
      <w:tr w:rsidR="000F4788" w14:paraId="649F2D5D" w14:textId="77777777" w:rsidTr="00E30453">
        <w:tc>
          <w:tcPr>
            <w:tcW w:w="3116" w:type="dxa"/>
          </w:tcPr>
          <w:p w14:paraId="0D660E4E" w14:textId="77777777" w:rsidR="000F4788" w:rsidRDefault="000F4788" w:rsidP="00E30453">
            <w:r>
              <w:t>Religious facility</w:t>
            </w:r>
          </w:p>
        </w:tc>
        <w:tc>
          <w:tcPr>
            <w:tcW w:w="3117" w:type="dxa"/>
          </w:tcPr>
          <w:p w14:paraId="1F3F8607" w14:textId="77777777" w:rsidR="000F4788" w:rsidRDefault="000F4788" w:rsidP="00E30453">
            <w:r>
              <w:t>2% (6)</w:t>
            </w:r>
          </w:p>
        </w:tc>
        <w:tc>
          <w:tcPr>
            <w:tcW w:w="3117" w:type="dxa"/>
          </w:tcPr>
          <w:p w14:paraId="63057D27" w14:textId="77777777" w:rsidR="000F4788" w:rsidRDefault="000F4788" w:rsidP="00E30453">
            <w:r>
              <w:t>100% (1)</w:t>
            </w:r>
          </w:p>
        </w:tc>
      </w:tr>
      <w:tr w:rsidR="000F4788" w14:paraId="334546BC" w14:textId="77777777" w:rsidTr="00E30453">
        <w:tc>
          <w:tcPr>
            <w:tcW w:w="3116" w:type="dxa"/>
          </w:tcPr>
          <w:p w14:paraId="499C2DB7" w14:textId="77777777" w:rsidR="000F4788" w:rsidRDefault="000F4788" w:rsidP="00E30453">
            <w:r>
              <w:t>Unknown</w:t>
            </w:r>
          </w:p>
        </w:tc>
        <w:tc>
          <w:tcPr>
            <w:tcW w:w="3117" w:type="dxa"/>
          </w:tcPr>
          <w:p w14:paraId="079292A9" w14:textId="77777777" w:rsidR="000F4788" w:rsidRDefault="000F4788" w:rsidP="00E30453">
            <w:r>
              <w:t>1% (5)</w:t>
            </w:r>
          </w:p>
        </w:tc>
        <w:tc>
          <w:tcPr>
            <w:tcW w:w="3117" w:type="dxa"/>
          </w:tcPr>
          <w:p w14:paraId="1D111452" w14:textId="77777777" w:rsidR="000F4788" w:rsidRDefault="000F4788" w:rsidP="00E30453">
            <w:r>
              <w:t>0% (0)</w:t>
            </w:r>
          </w:p>
        </w:tc>
      </w:tr>
      <w:tr w:rsidR="000F4788" w14:paraId="677E5D26" w14:textId="77777777" w:rsidTr="00E30453">
        <w:tc>
          <w:tcPr>
            <w:tcW w:w="3116" w:type="dxa"/>
          </w:tcPr>
          <w:p w14:paraId="03B775F0" w14:textId="77777777" w:rsidR="000F4788" w:rsidRDefault="000F4788" w:rsidP="00E30453">
            <w:r>
              <w:t>Festival/fair</w:t>
            </w:r>
          </w:p>
        </w:tc>
        <w:tc>
          <w:tcPr>
            <w:tcW w:w="3117" w:type="dxa"/>
          </w:tcPr>
          <w:p w14:paraId="30343149" w14:textId="77777777" w:rsidR="000F4788" w:rsidRDefault="000F4788" w:rsidP="00E30453">
            <w:r>
              <w:t>1% (4)</w:t>
            </w:r>
          </w:p>
        </w:tc>
        <w:tc>
          <w:tcPr>
            <w:tcW w:w="3117" w:type="dxa"/>
          </w:tcPr>
          <w:p w14:paraId="5D5380BB" w14:textId="77777777" w:rsidR="000F4788" w:rsidRDefault="000F4788" w:rsidP="00E30453">
            <w:r>
              <w:t>0% (0)</w:t>
            </w:r>
          </w:p>
        </w:tc>
      </w:tr>
      <w:tr w:rsidR="000F4788" w14:paraId="7AD1772B" w14:textId="77777777" w:rsidTr="00E30453">
        <w:tc>
          <w:tcPr>
            <w:tcW w:w="3116" w:type="dxa"/>
          </w:tcPr>
          <w:p w14:paraId="75C86520" w14:textId="77777777" w:rsidR="000F4788" w:rsidRDefault="000F4788" w:rsidP="00E30453">
            <w:r>
              <w:t>Park</w:t>
            </w:r>
          </w:p>
        </w:tc>
        <w:tc>
          <w:tcPr>
            <w:tcW w:w="3117" w:type="dxa"/>
          </w:tcPr>
          <w:p w14:paraId="23DC732A" w14:textId="77777777" w:rsidR="000F4788" w:rsidRDefault="000F4788" w:rsidP="00E30453">
            <w:r>
              <w:t>1% (3)</w:t>
            </w:r>
          </w:p>
        </w:tc>
        <w:tc>
          <w:tcPr>
            <w:tcW w:w="3117" w:type="dxa"/>
          </w:tcPr>
          <w:p w14:paraId="5B3AD385" w14:textId="77777777" w:rsidR="000F4788" w:rsidRDefault="000F4788" w:rsidP="00E30453">
            <w:r>
              <w:t>0% (0)</w:t>
            </w:r>
          </w:p>
        </w:tc>
      </w:tr>
      <w:tr w:rsidR="000F4788" w14:paraId="158994BB" w14:textId="77777777" w:rsidTr="00E30453">
        <w:tc>
          <w:tcPr>
            <w:tcW w:w="3116" w:type="dxa"/>
          </w:tcPr>
          <w:p w14:paraId="50D5B55D" w14:textId="77777777" w:rsidR="000F4788" w:rsidRDefault="000F4788" w:rsidP="00E30453">
            <w:r>
              <w:t>Shelter/group home/transitional housing</w:t>
            </w:r>
          </w:p>
        </w:tc>
        <w:tc>
          <w:tcPr>
            <w:tcW w:w="3117" w:type="dxa"/>
          </w:tcPr>
          <w:p w14:paraId="319B9DA8" w14:textId="77777777" w:rsidR="000F4788" w:rsidRDefault="000F4788" w:rsidP="00E30453">
            <w:r>
              <w:t>1% (2)</w:t>
            </w:r>
          </w:p>
        </w:tc>
        <w:tc>
          <w:tcPr>
            <w:tcW w:w="3117" w:type="dxa"/>
          </w:tcPr>
          <w:p w14:paraId="39FC0CF3" w14:textId="77777777" w:rsidR="000F4788" w:rsidRDefault="000F4788" w:rsidP="00E30453">
            <w:r>
              <w:t>0% (0)</w:t>
            </w:r>
          </w:p>
        </w:tc>
      </w:tr>
    </w:tbl>
    <w:p w14:paraId="6164659A" w14:textId="77777777" w:rsidR="00955B90" w:rsidRDefault="000F4788"/>
    <w:sectPr w:rsidR="00955B90" w:rsidSect="008E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88"/>
    <w:rsid w:val="00081276"/>
    <w:rsid w:val="000F4788"/>
    <w:rsid w:val="002D699D"/>
    <w:rsid w:val="00325C49"/>
    <w:rsid w:val="00336B0B"/>
    <w:rsid w:val="00466EBE"/>
    <w:rsid w:val="004E65E2"/>
    <w:rsid w:val="004F3961"/>
    <w:rsid w:val="00536878"/>
    <w:rsid w:val="00593C84"/>
    <w:rsid w:val="00607DAD"/>
    <w:rsid w:val="00632BCF"/>
    <w:rsid w:val="00666995"/>
    <w:rsid w:val="00691C4D"/>
    <w:rsid w:val="006F0B67"/>
    <w:rsid w:val="0080637E"/>
    <w:rsid w:val="00883527"/>
    <w:rsid w:val="008E32A3"/>
    <w:rsid w:val="00971D80"/>
    <w:rsid w:val="00B612B2"/>
    <w:rsid w:val="00CD7E5C"/>
    <w:rsid w:val="00D1095C"/>
    <w:rsid w:val="00E4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300B5"/>
  <w15:chartTrackingRefBased/>
  <w15:docId w15:val="{03AC9DAB-49A1-2E4D-BF2D-D988171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47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github.com/ActiveConclusion/COVID19_mobility/tree/master/google_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Kraay, Alicia Nicole Mullis</dc:creator>
  <cp:keywords/>
  <dc:description/>
  <cp:lastModifiedBy>Kraay, Alicia Nicole Mullis</cp:lastModifiedBy>
  <cp:revision>1</cp:revision>
  <dcterms:created xsi:type="dcterms:W3CDTF">2020-11-23T19:30:00Z</dcterms:created>
  <dcterms:modified xsi:type="dcterms:W3CDTF">2020-11-23T19:30:00Z</dcterms:modified>
</cp:coreProperties>
</file>