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C540F2" w14:textId="77777777" w:rsidR="005A2C1D" w:rsidRPr="00CC4CD1" w:rsidRDefault="005A2C1D" w:rsidP="005A2C1D">
      <w:pPr>
        <w:pStyle w:val="Heading1"/>
        <w:spacing w:line="480" w:lineRule="auto"/>
      </w:pPr>
      <w:r w:rsidRPr="00CC4CD1">
        <w:t>Supplemental Material</w:t>
      </w:r>
    </w:p>
    <w:p w14:paraId="10594F12" w14:textId="77777777" w:rsidR="005A2C1D" w:rsidRPr="00CC4CD1" w:rsidRDefault="005A2C1D" w:rsidP="005A2C1D">
      <w:pPr>
        <w:pStyle w:val="Heading2"/>
        <w:spacing w:line="480" w:lineRule="auto"/>
      </w:pPr>
      <w:r w:rsidRPr="00CC4CD1">
        <w:t>Directed Acyclic Graphs (DAGs)</w:t>
      </w:r>
    </w:p>
    <w:p w14:paraId="4D3B2022" w14:textId="77777777" w:rsidR="005A2C1D" w:rsidRPr="00CC4CD1" w:rsidRDefault="005A2C1D" w:rsidP="005A2C1D">
      <w:pPr>
        <w:spacing w:line="480" w:lineRule="auto"/>
      </w:pPr>
      <w:r w:rsidRPr="00CC4CD1">
        <w:t xml:space="preserve">We created two directed acyclic graphs (DAGs) to guide our analyses, presented in Figure S1. DAGs are labeled with PrEP Initiation (BL) as the outcome of interest for illustration, but also apply to the additional outcomes of PrEP </w:t>
      </w:r>
      <w:r>
        <w:t>retention</w:t>
      </w:r>
      <w:r w:rsidRPr="00CC4CD1">
        <w:t xml:space="preserve"> at three months and PrEP </w:t>
      </w:r>
      <w:r>
        <w:t>continuation</w:t>
      </w:r>
      <w:r w:rsidRPr="00CC4CD1">
        <w:t xml:space="preserve"> at three months. We propose that internalized stigma (Figure 2a) directly affects PrEP initiation at baseline, and is affected by gestational age at baseline, education level and gravidity. PrEP initiation at baseline is directly affected by gestational age at baseline, education level, gravidity, partner HIV testing and </w:t>
      </w:r>
      <w:proofErr w:type="spellStart"/>
      <w:r w:rsidRPr="00CC4CD1">
        <w:t>martial</w:t>
      </w:r>
      <w:proofErr w:type="spellEnd"/>
      <w:r w:rsidRPr="00CC4CD1">
        <w:t xml:space="preserve"> status. Based on the causal relationships defined in Figure S1a, we controlled for gestational age, education level and gravidity to minimize confounding from known sources and to measure the direct effect of internalized PrEP stigma on PrEP initiation at baseline. In Figure S1b, we propose that anticipated stigma directly affects PrEP initiation at baseline, and is affected by gestational age at baseline, education level, gravidity and partner HIV testing. PrEP initiation at baseline is directly affected by gestational age at baseline, education level, gravidity, partner HIV testing and marital status. Based on the causal relationships defined in Figure S1b, we controlled for gestational age, education level, gravidity and partner HIV testing to minimize confounding from known sources and to measure the direct effect of anticipated PrEP stigma on PrEP initiation at baseline. We propose that partner HIV status affects anticipated stigma (and not internalized stigma) because a partner’s unwillingness to be tested for HIV, or fear of partner’s unknown status, may affect a participant’s anticipation of stigma from her partner for taking her own steps to prevent HIV and to engage in HIV prevention, testing and care services. Aside from these causal differences, we did not examine internalized PrEP stigma and anticipated PrEP stigma together due to collinearity concerns (ρ = 0.5). </w:t>
      </w:r>
      <w:r>
        <w:t xml:space="preserve">For the PrEP adherence outcome, we also considered STI status at baseline under the premise that having an STI could affect PrEP stigma (internalized or anticipated) and could also affect ability or willingness to adhere to PrEP. In contrast, we decided that while STI at baseline could affect PrEP stigma (internalized or </w:t>
      </w:r>
      <w:r>
        <w:lastRenderedPageBreak/>
        <w:t xml:space="preserve">anticipated) it would not affect PrEP initiation, retention and continuation. These DAGs are shown in Figure S2. </w:t>
      </w:r>
      <w:r w:rsidRPr="00CC4CD1">
        <w:t>All DAGs were drawn using the R package ‘</w:t>
      </w:r>
      <w:proofErr w:type="spellStart"/>
      <w:r w:rsidRPr="00CC4CD1">
        <w:t>dagitty</w:t>
      </w:r>
      <w:proofErr w:type="spellEnd"/>
      <w:r w:rsidRPr="00CC4CD1">
        <w:t>’.</w:t>
      </w:r>
      <w:r>
        <w:t xml:space="preserve"> </w:t>
      </w:r>
      <w:r w:rsidRPr="00CC4CD1">
        <w:fldChar w:fldCharType="begin"/>
      </w:r>
      <w:r>
        <w:instrText xml:space="preserve"> ADDIN ZOTERO_ITEM CSL_CITATION {"citationID":"TC3qaiNr","properties":{"formattedCitation":"(45)","plainCitation":"(45)","noteIndex":0},"citationItems":[{"id":3299,"uris":["http://zotero.org/users/2641135/items/HRVEKC9W"],"uri":["http://zotero.org/users/2641135/items/HRVEKC9W"],"itemData":{"id":3299,"type":"article-journal","abstract":"Abstract.  Directed acyclic graphs (DAGs), which offer systematic representations of causal relationships, have become an established framework for the analysis","container-title":"International Journal of Epidemiology","DOI":"10.1093/ije/dyw341","ISSN":"0300-5771","issue":"6","journalAbbreviation":"Int J Epidemiol","language":"en","note":"publisher: Oxford Academic","page":"1887-1894","source":"academic.oup.com","title":"Robust causal inference using directed acyclic graphs: the R package ‘dagitty’","title-short":"Robust causal inference using directed acyclic graphs","volume":"45","author":[{"family":"Textor","given":"Johannes"},{"family":"Zander","given":"Benito","non-dropping-particle":"van der"},{"family":"Gilthorpe","given":"Mark S."},{"family":"Liśkiewicz","given":"Maciej"},{"family":"Ellison","given":"George TH"}],"issued":{"date-parts":[["2016",12,1]]}}}],"schema":"https://github.com/citation-style-language/schema/raw/master/csl-citation.json"} </w:instrText>
      </w:r>
      <w:r w:rsidRPr="00CC4CD1">
        <w:fldChar w:fldCharType="separate"/>
      </w:r>
      <w:r>
        <w:t>(45)</w:t>
      </w:r>
      <w:r w:rsidRPr="00CC4CD1">
        <w:fldChar w:fldCharType="end"/>
      </w:r>
    </w:p>
    <w:p w14:paraId="704C93D6" w14:textId="77777777" w:rsidR="005A2C1D" w:rsidRPr="00CC4CD1" w:rsidRDefault="005A2C1D" w:rsidP="005A2C1D">
      <w:pPr>
        <w:spacing w:line="480" w:lineRule="auto"/>
      </w:pPr>
    </w:p>
    <w:tbl>
      <w:tblPr>
        <w:tblStyle w:val="TableGrid"/>
        <w:tblW w:w="0" w:type="auto"/>
        <w:tblLayout w:type="fixed"/>
        <w:tblLook w:val="04A0" w:firstRow="1" w:lastRow="0" w:firstColumn="1" w:lastColumn="0" w:noHBand="0" w:noVBand="1"/>
      </w:tblPr>
      <w:tblGrid>
        <w:gridCol w:w="360"/>
        <w:gridCol w:w="4314"/>
        <w:gridCol w:w="378"/>
        <w:gridCol w:w="4308"/>
      </w:tblGrid>
      <w:tr w:rsidR="005A2C1D" w:rsidRPr="00CC4CD1" w14:paraId="16B30863" w14:textId="77777777" w:rsidTr="001E5F20">
        <w:trPr>
          <w:trHeight w:val="2537"/>
        </w:trPr>
        <w:tc>
          <w:tcPr>
            <w:tcW w:w="360" w:type="dxa"/>
            <w:tcBorders>
              <w:top w:val="nil"/>
              <w:left w:val="nil"/>
              <w:bottom w:val="nil"/>
              <w:right w:val="nil"/>
            </w:tcBorders>
            <w:vAlign w:val="bottom"/>
          </w:tcPr>
          <w:p w14:paraId="44D070A1" w14:textId="77777777" w:rsidR="005A2C1D" w:rsidRPr="00CC4CD1" w:rsidRDefault="005A2C1D" w:rsidP="005A2C1D">
            <w:pPr>
              <w:spacing w:line="480" w:lineRule="auto"/>
            </w:pPr>
            <w:r w:rsidRPr="00CC4CD1">
              <w:t xml:space="preserve">a. </w:t>
            </w:r>
          </w:p>
        </w:tc>
        <w:tc>
          <w:tcPr>
            <w:tcW w:w="4314" w:type="dxa"/>
            <w:tcBorders>
              <w:top w:val="nil"/>
              <w:left w:val="nil"/>
              <w:bottom w:val="nil"/>
              <w:right w:val="nil"/>
            </w:tcBorders>
          </w:tcPr>
          <w:p w14:paraId="0B7D9BF2" w14:textId="77777777" w:rsidR="005A2C1D" w:rsidRPr="00CC4CD1" w:rsidRDefault="005A2C1D" w:rsidP="005A2C1D">
            <w:pPr>
              <w:spacing w:line="480" w:lineRule="auto"/>
            </w:pPr>
            <w:r w:rsidRPr="00CC4CD1">
              <w:rPr>
                <w:noProof/>
                <w:lang w:val="en-ZA" w:eastAsia="en-ZA"/>
              </w:rPr>
              <w:drawing>
                <wp:inline distT="0" distB="0" distL="0" distR="0" wp14:anchorId="3D5F07DF" wp14:editId="4F049C82">
                  <wp:extent cx="2637155" cy="1911839"/>
                  <wp:effectExtent l="0" t="0" r="4445" b="635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map&#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59003" cy="1927678"/>
                          </a:xfrm>
                          <a:prstGeom prst="rect">
                            <a:avLst/>
                          </a:prstGeom>
                        </pic:spPr>
                      </pic:pic>
                    </a:graphicData>
                  </a:graphic>
                </wp:inline>
              </w:drawing>
            </w:r>
          </w:p>
        </w:tc>
        <w:tc>
          <w:tcPr>
            <w:tcW w:w="378" w:type="dxa"/>
            <w:tcBorders>
              <w:top w:val="nil"/>
              <w:left w:val="nil"/>
              <w:bottom w:val="nil"/>
              <w:right w:val="nil"/>
            </w:tcBorders>
            <w:vAlign w:val="bottom"/>
          </w:tcPr>
          <w:p w14:paraId="6CD44304" w14:textId="77777777" w:rsidR="005A2C1D" w:rsidRPr="00CC4CD1" w:rsidRDefault="005A2C1D" w:rsidP="005A2C1D">
            <w:pPr>
              <w:spacing w:line="480" w:lineRule="auto"/>
            </w:pPr>
            <w:r w:rsidRPr="00CC4CD1">
              <w:t>b.</w:t>
            </w:r>
          </w:p>
        </w:tc>
        <w:tc>
          <w:tcPr>
            <w:tcW w:w="4308" w:type="dxa"/>
            <w:tcBorders>
              <w:top w:val="nil"/>
              <w:left w:val="nil"/>
              <w:bottom w:val="nil"/>
              <w:right w:val="nil"/>
            </w:tcBorders>
          </w:tcPr>
          <w:p w14:paraId="261BE1D2" w14:textId="77777777" w:rsidR="005A2C1D" w:rsidRPr="00CC4CD1" w:rsidRDefault="005A2C1D" w:rsidP="005A2C1D">
            <w:pPr>
              <w:spacing w:line="480" w:lineRule="auto"/>
            </w:pPr>
            <w:r w:rsidRPr="00CC4CD1">
              <w:rPr>
                <w:noProof/>
                <w:lang w:val="en-ZA" w:eastAsia="en-ZA"/>
              </w:rPr>
              <w:drawing>
                <wp:inline distT="0" distB="0" distL="0" distR="0" wp14:anchorId="6B799D3E" wp14:editId="7EF4F5AC">
                  <wp:extent cx="2637155" cy="1874894"/>
                  <wp:effectExtent l="0" t="0" r="4445" b="508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map&#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82308" cy="1906995"/>
                          </a:xfrm>
                          <a:prstGeom prst="rect">
                            <a:avLst/>
                          </a:prstGeom>
                        </pic:spPr>
                      </pic:pic>
                    </a:graphicData>
                  </a:graphic>
                </wp:inline>
              </w:drawing>
            </w:r>
          </w:p>
        </w:tc>
      </w:tr>
      <w:tr w:rsidR="005A2C1D" w:rsidRPr="007B1F28" w14:paraId="047490A1" w14:textId="77777777" w:rsidTr="001E5F20">
        <w:tc>
          <w:tcPr>
            <w:tcW w:w="9360" w:type="dxa"/>
            <w:gridSpan w:val="4"/>
            <w:tcBorders>
              <w:top w:val="nil"/>
              <w:left w:val="nil"/>
              <w:bottom w:val="nil"/>
              <w:right w:val="nil"/>
            </w:tcBorders>
          </w:tcPr>
          <w:p w14:paraId="6D55824C" w14:textId="77777777" w:rsidR="005A2C1D" w:rsidRPr="007B1F28" w:rsidRDefault="005A2C1D" w:rsidP="005A2C1D">
            <w:pPr>
              <w:spacing w:line="480" w:lineRule="auto"/>
            </w:pPr>
            <w:r w:rsidRPr="00CC4CD1">
              <w:rPr>
                <w:b/>
                <w:bCs/>
              </w:rPr>
              <w:t xml:space="preserve">Figure S1. </w:t>
            </w:r>
            <w:r w:rsidRPr="00CC4CD1">
              <w:t>Directed acyclic graphs (DAGs) for internalized PrEP stigma (a) and anticipated PrEP stigma (b)</w:t>
            </w:r>
            <w:r>
              <w:t xml:space="preserve"> in the context of PrEP initiation, PrEP retention and PrEP continuation</w:t>
            </w:r>
            <w:r w:rsidRPr="00CC4CD1">
              <w:t>.</w:t>
            </w:r>
          </w:p>
        </w:tc>
      </w:tr>
    </w:tbl>
    <w:p w14:paraId="06DD1D13" w14:textId="77777777" w:rsidR="005A2C1D" w:rsidRDefault="005A2C1D" w:rsidP="005A2C1D">
      <w:pPr>
        <w:spacing w:line="480" w:lineRule="auto"/>
      </w:pPr>
    </w:p>
    <w:p w14:paraId="6BB1184C" w14:textId="77777777" w:rsidR="005A2C1D" w:rsidRPr="00CC4CD1" w:rsidRDefault="005A2C1D" w:rsidP="005A2C1D">
      <w:pPr>
        <w:spacing w:line="480" w:lineRule="auto"/>
      </w:pPr>
    </w:p>
    <w:tbl>
      <w:tblPr>
        <w:tblStyle w:val="TableGrid"/>
        <w:tblW w:w="0" w:type="auto"/>
        <w:tblLayout w:type="fixed"/>
        <w:tblLook w:val="04A0" w:firstRow="1" w:lastRow="0" w:firstColumn="1" w:lastColumn="0" w:noHBand="0" w:noVBand="1"/>
      </w:tblPr>
      <w:tblGrid>
        <w:gridCol w:w="450"/>
        <w:gridCol w:w="4224"/>
        <w:gridCol w:w="456"/>
        <w:gridCol w:w="4230"/>
      </w:tblGrid>
      <w:tr w:rsidR="005A2C1D" w:rsidRPr="00CC4CD1" w14:paraId="4FCE7D6F" w14:textId="77777777" w:rsidTr="001E5F20">
        <w:trPr>
          <w:trHeight w:val="2537"/>
        </w:trPr>
        <w:tc>
          <w:tcPr>
            <w:tcW w:w="450" w:type="dxa"/>
            <w:tcBorders>
              <w:top w:val="nil"/>
              <w:left w:val="nil"/>
              <w:bottom w:val="nil"/>
              <w:right w:val="nil"/>
            </w:tcBorders>
            <w:vAlign w:val="bottom"/>
          </w:tcPr>
          <w:p w14:paraId="03FE16DF" w14:textId="77777777" w:rsidR="005A2C1D" w:rsidRPr="00CC4CD1" w:rsidRDefault="005A2C1D" w:rsidP="005A2C1D">
            <w:pPr>
              <w:spacing w:line="480" w:lineRule="auto"/>
            </w:pPr>
            <w:r w:rsidRPr="00CC4CD1">
              <w:t xml:space="preserve">a. </w:t>
            </w:r>
          </w:p>
        </w:tc>
        <w:tc>
          <w:tcPr>
            <w:tcW w:w="4224" w:type="dxa"/>
            <w:tcBorders>
              <w:top w:val="nil"/>
              <w:left w:val="nil"/>
              <w:bottom w:val="nil"/>
              <w:right w:val="nil"/>
            </w:tcBorders>
          </w:tcPr>
          <w:p w14:paraId="45C014D8" w14:textId="77777777" w:rsidR="005A2C1D" w:rsidRPr="00CC4CD1" w:rsidRDefault="005A2C1D" w:rsidP="005A2C1D">
            <w:pPr>
              <w:spacing w:line="480" w:lineRule="auto"/>
            </w:pPr>
            <w:r w:rsidRPr="0024650A">
              <w:rPr>
                <w:noProof/>
              </w:rPr>
              <w:drawing>
                <wp:inline distT="0" distB="0" distL="0" distR="0" wp14:anchorId="0CDFCF10" wp14:editId="1681CE82">
                  <wp:extent cx="2602230" cy="1993900"/>
                  <wp:effectExtent l="0" t="0" r="127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6"/>
                          <a:stretch>
                            <a:fillRect/>
                          </a:stretch>
                        </pic:blipFill>
                        <pic:spPr>
                          <a:xfrm>
                            <a:off x="0" y="0"/>
                            <a:ext cx="2602230" cy="1993900"/>
                          </a:xfrm>
                          <a:prstGeom prst="rect">
                            <a:avLst/>
                          </a:prstGeom>
                        </pic:spPr>
                      </pic:pic>
                    </a:graphicData>
                  </a:graphic>
                </wp:inline>
              </w:drawing>
            </w:r>
          </w:p>
        </w:tc>
        <w:tc>
          <w:tcPr>
            <w:tcW w:w="456" w:type="dxa"/>
            <w:tcBorders>
              <w:top w:val="nil"/>
              <w:left w:val="nil"/>
              <w:bottom w:val="nil"/>
              <w:right w:val="nil"/>
            </w:tcBorders>
            <w:vAlign w:val="bottom"/>
          </w:tcPr>
          <w:p w14:paraId="74EC8645" w14:textId="77777777" w:rsidR="005A2C1D" w:rsidRPr="00CC4CD1" w:rsidRDefault="005A2C1D" w:rsidP="005A2C1D">
            <w:pPr>
              <w:spacing w:line="480" w:lineRule="auto"/>
            </w:pPr>
            <w:r w:rsidRPr="00CC4CD1">
              <w:t>b.</w:t>
            </w:r>
          </w:p>
        </w:tc>
        <w:tc>
          <w:tcPr>
            <w:tcW w:w="4230" w:type="dxa"/>
            <w:tcBorders>
              <w:top w:val="nil"/>
              <w:left w:val="nil"/>
              <w:bottom w:val="nil"/>
              <w:right w:val="nil"/>
            </w:tcBorders>
          </w:tcPr>
          <w:p w14:paraId="30E8032C" w14:textId="77777777" w:rsidR="005A2C1D" w:rsidRPr="00CC4CD1" w:rsidRDefault="005A2C1D" w:rsidP="005A2C1D">
            <w:pPr>
              <w:spacing w:line="480" w:lineRule="auto"/>
            </w:pPr>
            <w:r w:rsidRPr="0024650A">
              <w:rPr>
                <w:noProof/>
              </w:rPr>
              <w:drawing>
                <wp:inline distT="0" distB="0" distL="0" distR="0" wp14:anchorId="76DC18C8" wp14:editId="0CDC10FE">
                  <wp:extent cx="2598420" cy="1990725"/>
                  <wp:effectExtent l="0" t="0" r="5080" b="317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7"/>
                          <a:stretch>
                            <a:fillRect/>
                          </a:stretch>
                        </pic:blipFill>
                        <pic:spPr>
                          <a:xfrm>
                            <a:off x="0" y="0"/>
                            <a:ext cx="2598420" cy="1990725"/>
                          </a:xfrm>
                          <a:prstGeom prst="rect">
                            <a:avLst/>
                          </a:prstGeom>
                        </pic:spPr>
                      </pic:pic>
                    </a:graphicData>
                  </a:graphic>
                </wp:inline>
              </w:drawing>
            </w:r>
          </w:p>
        </w:tc>
      </w:tr>
      <w:tr w:rsidR="005A2C1D" w:rsidRPr="007B1F28" w14:paraId="349FE229" w14:textId="77777777" w:rsidTr="001E5F20">
        <w:tc>
          <w:tcPr>
            <w:tcW w:w="9360" w:type="dxa"/>
            <w:gridSpan w:val="4"/>
            <w:tcBorders>
              <w:top w:val="nil"/>
              <w:left w:val="nil"/>
              <w:bottom w:val="nil"/>
              <w:right w:val="nil"/>
            </w:tcBorders>
          </w:tcPr>
          <w:p w14:paraId="3FAEEBFB" w14:textId="77777777" w:rsidR="005A2C1D" w:rsidRPr="007B1F28" w:rsidRDefault="005A2C1D" w:rsidP="005A2C1D">
            <w:pPr>
              <w:spacing w:line="480" w:lineRule="auto"/>
            </w:pPr>
            <w:r w:rsidRPr="00CC4CD1">
              <w:rPr>
                <w:b/>
                <w:bCs/>
              </w:rPr>
              <w:t>Figure S</w:t>
            </w:r>
            <w:r>
              <w:rPr>
                <w:b/>
                <w:bCs/>
              </w:rPr>
              <w:t>2</w:t>
            </w:r>
            <w:r w:rsidRPr="00CC4CD1">
              <w:rPr>
                <w:b/>
                <w:bCs/>
              </w:rPr>
              <w:t xml:space="preserve">. </w:t>
            </w:r>
            <w:r w:rsidRPr="00CC4CD1">
              <w:t>Directed acyclic graphs (DAGs) for internalized PrEP stigma (a) and anticipated PrEP stigma (b)</w:t>
            </w:r>
            <w:r>
              <w:t xml:space="preserve"> in the context of PrEP adherence</w:t>
            </w:r>
            <w:r w:rsidRPr="00CC4CD1">
              <w:t>.</w:t>
            </w:r>
          </w:p>
        </w:tc>
      </w:tr>
    </w:tbl>
    <w:p w14:paraId="024F244A" w14:textId="77777777" w:rsidR="007863D2" w:rsidRDefault="005A2C1D" w:rsidP="005A2C1D">
      <w:pPr>
        <w:spacing w:line="480" w:lineRule="auto"/>
      </w:pPr>
    </w:p>
    <w:sectPr w:rsidR="007863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C1D"/>
    <w:rsid w:val="005A2C1D"/>
    <w:rsid w:val="00954F44"/>
    <w:rsid w:val="00FE5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BAA065"/>
  <w15:chartTrackingRefBased/>
  <w15:docId w15:val="{B79D4744-8A60-BD49-8600-F9D60804F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C1D"/>
    <w:pPr>
      <w:spacing w:after="120"/>
      <w:jc w:val="both"/>
    </w:pPr>
    <w:rPr>
      <w:rFonts w:ascii="Times New Roman" w:hAnsi="Times New Roman" w:cs="Times New Roman"/>
      <w:sz w:val="22"/>
      <w:szCs w:val="22"/>
    </w:rPr>
  </w:style>
  <w:style w:type="paragraph" w:styleId="Heading1">
    <w:name w:val="heading 1"/>
    <w:basedOn w:val="Normal"/>
    <w:next w:val="Normal"/>
    <w:link w:val="Heading1Char"/>
    <w:uiPriority w:val="9"/>
    <w:qFormat/>
    <w:rsid w:val="005A2C1D"/>
    <w:pPr>
      <w:keepNext/>
      <w:keepLines/>
      <w:spacing w:before="240"/>
      <w:outlineLvl w:val="0"/>
    </w:pPr>
    <w:rPr>
      <w:rFonts w:eastAsiaTheme="majorEastAsia"/>
      <w:b/>
      <w:bCs/>
      <w:sz w:val="26"/>
      <w:szCs w:val="26"/>
    </w:rPr>
  </w:style>
  <w:style w:type="paragraph" w:styleId="Heading2">
    <w:name w:val="heading 2"/>
    <w:basedOn w:val="Heading1"/>
    <w:next w:val="Normal"/>
    <w:link w:val="Heading2Char"/>
    <w:uiPriority w:val="9"/>
    <w:unhideWhenUsed/>
    <w:qFormat/>
    <w:rsid w:val="005A2C1D"/>
    <w:pPr>
      <w:outlineLvl w:val="1"/>
    </w:pPr>
    <w:rPr>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2C1D"/>
    <w:rPr>
      <w:rFonts w:ascii="Times New Roman" w:eastAsiaTheme="majorEastAsia" w:hAnsi="Times New Roman" w:cs="Times New Roman"/>
      <w:b/>
      <w:bCs/>
      <w:sz w:val="26"/>
      <w:szCs w:val="26"/>
    </w:rPr>
  </w:style>
  <w:style w:type="character" w:customStyle="1" w:styleId="Heading2Char">
    <w:name w:val="Heading 2 Char"/>
    <w:basedOn w:val="DefaultParagraphFont"/>
    <w:link w:val="Heading2"/>
    <w:uiPriority w:val="9"/>
    <w:rsid w:val="005A2C1D"/>
    <w:rPr>
      <w:rFonts w:ascii="Times New Roman" w:eastAsiaTheme="majorEastAsia" w:hAnsi="Times New Roman" w:cs="Times New Roman"/>
      <w:b/>
      <w:bCs/>
      <w:sz w:val="22"/>
    </w:rPr>
  </w:style>
  <w:style w:type="table" w:styleId="TableGrid">
    <w:name w:val="Table Grid"/>
    <w:basedOn w:val="TableNormal"/>
    <w:uiPriority w:val="39"/>
    <w:rsid w:val="005A2C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628</Words>
  <Characters>3586</Characters>
  <Application>Microsoft Office Word</Application>
  <DocSecurity>0</DocSecurity>
  <Lines>29</Lines>
  <Paragraphs>8</Paragraphs>
  <ScaleCrop>false</ScaleCrop>
  <Company/>
  <LinksUpToDate>false</LinksUpToDate>
  <CharactersWithSpaces>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Moran</dc:creator>
  <cp:keywords/>
  <dc:description/>
  <cp:lastModifiedBy>Alexander Moran</cp:lastModifiedBy>
  <cp:revision>1</cp:revision>
  <dcterms:created xsi:type="dcterms:W3CDTF">2020-11-10T13:41:00Z</dcterms:created>
  <dcterms:modified xsi:type="dcterms:W3CDTF">2020-11-10T13:41:00Z</dcterms:modified>
</cp:coreProperties>
</file>