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93" w:rsidRPr="00C2243E" w:rsidRDefault="002A3C93" w:rsidP="002A3C93">
      <w:pPr>
        <w:rPr>
          <w:rFonts w:cstheme="minorHAnsi"/>
          <w:b/>
          <w:bCs/>
          <w:sz w:val="32"/>
          <w:szCs w:val="32"/>
        </w:rPr>
      </w:pPr>
      <w:r w:rsidRPr="00C2243E">
        <w:rPr>
          <w:rFonts w:cstheme="minorHAnsi"/>
          <w:b/>
          <w:bCs/>
          <w:sz w:val="32"/>
          <w:szCs w:val="32"/>
        </w:rPr>
        <w:t>Preliminary Estimates of Years of Life Lost (</w:t>
      </w:r>
      <w:proofErr w:type="spellStart"/>
      <w:r w:rsidRPr="00C2243E">
        <w:rPr>
          <w:rFonts w:cstheme="minorHAnsi"/>
          <w:b/>
          <w:bCs/>
          <w:sz w:val="32"/>
          <w:szCs w:val="32"/>
        </w:rPr>
        <w:t>YLL</w:t>
      </w:r>
      <w:proofErr w:type="spellEnd"/>
      <w:r w:rsidRPr="00C2243E">
        <w:rPr>
          <w:rFonts w:cstheme="minorHAnsi"/>
          <w:b/>
          <w:bCs/>
          <w:sz w:val="32"/>
          <w:szCs w:val="32"/>
        </w:rPr>
        <w:t xml:space="preserve">) Due to </w:t>
      </w:r>
      <w:proofErr w:type="spellStart"/>
      <w:r w:rsidRPr="00C2243E">
        <w:rPr>
          <w:rFonts w:cstheme="minorHAnsi"/>
          <w:b/>
          <w:bCs/>
          <w:sz w:val="32"/>
          <w:szCs w:val="32"/>
        </w:rPr>
        <w:t>COVID</w:t>
      </w:r>
      <w:proofErr w:type="spellEnd"/>
      <w:r w:rsidRPr="00C2243E">
        <w:rPr>
          <w:rFonts w:cstheme="minorHAnsi"/>
          <w:b/>
          <w:bCs/>
          <w:sz w:val="32"/>
          <w:szCs w:val="32"/>
        </w:rPr>
        <w:t>-19 in India</w:t>
      </w:r>
    </w:p>
    <w:p w:rsidR="004A4B5D" w:rsidRDefault="004A4B5D" w:rsidP="004A4B5D">
      <w:pPr>
        <w:tabs>
          <w:tab w:val="left" w:pos="1260"/>
        </w:tabs>
        <w:rPr>
          <w:rFonts w:eastAsiaTheme="minorEastAsia" w:cstheme="minorHAnsi"/>
          <w:b/>
          <w:bCs/>
          <w:sz w:val="24"/>
          <w:szCs w:val="24"/>
        </w:rPr>
      </w:pPr>
      <w:r w:rsidRPr="004649F0">
        <w:rPr>
          <w:rFonts w:eastAsiaTheme="minorEastAsia" w:cstheme="minorHAnsi"/>
          <w:b/>
          <w:bCs/>
          <w:sz w:val="24"/>
          <w:szCs w:val="24"/>
        </w:rPr>
        <w:t>SUPPLEMENT</w:t>
      </w:r>
    </w:p>
    <w:p w:rsidR="004A4B5D" w:rsidRPr="00A44012" w:rsidRDefault="004A4B5D" w:rsidP="004A4B5D">
      <w:pPr>
        <w:tabs>
          <w:tab w:val="left" w:pos="1260"/>
        </w:tabs>
        <w:rPr>
          <w:rFonts w:eastAsiaTheme="minorEastAsia" w:cstheme="minorHAnsi"/>
          <w:sz w:val="24"/>
          <w:szCs w:val="24"/>
        </w:rPr>
      </w:pPr>
      <w:r w:rsidRPr="00A44012">
        <w:rPr>
          <w:rFonts w:eastAsiaTheme="minorEastAsia" w:cstheme="minorHAnsi"/>
          <w:sz w:val="24"/>
          <w:szCs w:val="24"/>
        </w:rPr>
        <w:t xml:space="preserve">The following two figures provide visual comparison of the age distribution of </w:t>
      </w:r>
      <w:proofErr w:type="spellStart"/>
      <w:r w:rsidRPr="00A44012">
        <w:rPr>
          <w:rFonts w:eastAsiaTheme="minorEastAsia" w:cstheme="minorHAnsi"/>
          <w:sz w:val="24"/>
          <w:szCs w:val="24"/>
        </w:rPr>
        <w:t>COVID</w:t>
      </w:r>
      <w:proofErr w:type="spellEnd"/>
      <w:r w:rsidRPr="00A44012">
        <w:rPr>
          <w:rFonts w:eastAsiaTheme="minorEastAsia" w:cstheme="minorHAnsi"/>
          <w:sz w:val="24"/>
          <w:szCs w:val="24"/>
        </w:rPr>
        <w:t xml:space="preserve"> cases, </w:t>
      </w:r>
      <w:bookmarkStart w:id="0" w:name="_GoBack"/>
      <w:bookmarkEnd w:id="0"/>
      <w:proofErr w:type="spellStart"/>
      <w:r w:rsidRPr="00A44012">
        <w:rPr>
          <w:rFonts w:eastAsiaTheme="minorEastAsia" w:cstheme="minorHAnsi"/>
          <w:sz w:val="24"/>
          <w:szCs w:val="24"/>
        </w:rPr>
        <w:t>COVID</w:t>
      </w:r>
      <w:proofErr w:type="spellEnd"/>
      <w:r w:rsidRPr="00A44012">
        <w:rPr>
          <w:rFonts w:eastAsiaTheme="minorEastAsia" w:cstheme="minorHAnsi"/>
          <w:sz w:val="24"/>
          <w:szCs w:val="24"/>
        </w:rPr>
        <w:t xml:space="preserve"> deaths, general population and deaths in the general population.</w:t>
      </w:r>
    </w:p>
    <w:p w:rsidR="004A4B5D" w:rsidRPr="004649F0" w:rsidRDefault="004A4B5D" w:rsidP="004A4B5D">
      <w:pPr>
        <w:tabs>
          <w:tab w:val="left" w:pos="1260"/>
        </w:tabs>
        <w:jc w:val="center"/>
        <w:rPr>
          <w:rFonts w:eastAsiaTheme="minorEastAsia" w:cstheme="minorHAnsi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0637D2E4" wp14:editId="26A2248F">
            <wp:extent cx="59436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4B5D" w:rsidRPr="00767FB9" w:rsidRDefault="004A4B5D" w:rsidP="004A4B5D">
      <w:pPr>
        <w:tabs>
          <w:tab w:val="left" w:pos="1260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Figure 1S. Age distribution of </w:t>
      </w:r>
      <w:proofErr w:type="spellStart"/>
      <w:r>
        <w:rPr>
          <w:rFonts w:eastAsiaTheme="minorEastAsia" w:cstheme="minorHAnsi"/>
          <w:sz w:val="24"/>
          <w:szCs w:val="24"/>
        </w:rPr>
        <w:t>COVID</w:t>
      </w:r>
      <w:proofErr w:type="spellEnd"/>
      <w:r>
        <w:rPr>
          <w:rFonts w:eastAsiaTheme="minorEastAsia" w:cstheme="minorHAnsi"/>
          <w:sz w:val="24"/>
          <w:szCs w:val="24"/>
        </w:rPr>
        <w:t xml:space="preserve"> cases in India in comparison to the age distribution in the general population</w:t>
      </w:r>
    </w:p>
    <w:p w:rsidR="004A4B5D" w:rsidRDefault="004A4B5D" w:rsidP="004A4B5D">
      <w:pPr>
        <w:tabs>
          <w:tab w:val="left" w:pos="1260"/>
        </w:tabs>
        <w:jc w:val="center"/>
        <w:rPr>
          <w:rFonts w:eastAsiaTheme="minorEastAsia" w:cstheme="minorHAnsi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3561507A" wp14:editId="71591995">
            <wp:extent cx="59436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58CD" w:rsidRPr="004A4B5D" w:rsidRDefault="004A4B5D" w:rsidP="004A4B5D">
      <w:pPr>
        <w:tabs>
          <w:tab w:val="left" w:pos="1260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Figure 2S. Age distribution of </w:t>
      </w:r>
      <w:proofErr w:type="spellStart"/>
      <w:r>
        <w:rPr>
          <w:rFonts w:eastAsiaTheme="minorEastAsia" w:cstheme="minorHAnsi"/>
          <w:sz w:val="24"/>
          <w:szCs w:val="24"/>
        </w:rPr>
        <w:t>COVID</w:t>
      </w:r>
      <w:proofErr w:type="spellEnd"/>
      <w:r>
        <w:rPr>
          <w:rFonts w:eastAsiaTheme="minorEastAsia" w:cstheme="minorHAnsi"/>
          <w:sz w:val="24"/>
          <w:szCs w:val="24"/>
        </w:rPr>
        <w:t xml:space="preserve"> deaths in India in comparison to the age distribution of all deaths in the general population</w:t>
      </w:r>
    </w:p>
    <w:sectPr w:rsidR="005E58CD" w:rsidRPr="004A4B5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5D" w:rsidRDefault="00A2735D">
      <w:pPr>
        <w:spacing w:after="0" w:line="240" w:lineRule="auto"/>
      </w:pPr>
      <w:r>
        <w:separator/>
      </w:r>
    </w:p>
  </w:endnote>
  <w:endnote w:type="continuationSeparator" w:id="0">
    <w:p w:rsidR="00A2735D" w:rsidRDefault="00A2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5D" w:rsidRDefault="00A2735D">
      <w:pPr>
        <w:spacing w:after="0" w:line="240" w:lineRule="auto"/>
      </w:pPr>
      <w:r>
        <w:separator/>
      </w:r>
    </w:p>
  </w:footnote>
  <w:footnote w:type="continuationSeparator" w:id="0">
    <w:p w:rsidR="00A2735D" w:rsidRDefault="00A2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5281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42DA" w:rsidRDefault="004A4B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C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42DA" w:rsidRDefault="00A27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5D"/>
    <w:rsid w:val="002A3C93"/>
    <w:rsid w:val="002E4C42"/>
    <w:rsid w:val="003C5BF7"/>
    <w:rsid w:val="004A4B5D"/>
    <w:rsid w:val="005E58CD"/>
    <w:rsid w:val="00644AB1"/>
    <w:rsid w:val="00A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9718-6658-472D-9037-DB32458A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an%20mishra\Downloads\ASMR_19Oct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an%20mishra\Downloads\ASMR_19Oct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68425821772279"/>
          <c:y val="3.8194444444444448E-2"/>
          <c:w val="0.4973791977925836"/>
          <c:h val="0.926795439632545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Graphs!$B$1</c:f>
              <c:strCache>
                <c:ptCount val="1"/>
                <c:pt idx="0">
                  <c:v>Percent distribution of COVID cases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3.9173336640061513E-17"/>
                  <c:y val="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3888888888888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Graphs!$A$2:$A$10</c:f>
              <c:strCache>
                <c:ptCount val="9"/>
                <c:pt idx="0">
                  <c:v>0-9</c:v>
                </c:pt>
                <c:pt idx="1">
                  <c:v>10-19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50-59</c:v>
                </c:pt>
                <c:pt idx="6">
                  <c:v>60-69</c:v>
                </c:pt>
                <c:pt idx="7">
                  <c:v>70-79</c:v>
                </c:pt>
                <c:pt idx="8">
                  <c:v>&gt;=80</c:v>
                </c:pt>
              </c:strCache>
            </c:strRef>
          </c:cat>
          <c:val>
            <c:numRef>
              <c:f>Graphs!$B$2:$B$10</c:f>
              <c:numCache>
                <c:formatCode>0.0%</c:formatCode>
                <c:ptCount val="9"/>
                <c:pt idx="0">
                  <c:v>3.9E-2</c:v>
                </c:pt>
                <c:pt idx="1">
                  <c:v>7.9899999999999999E-2</c:v>
                </c:pt>
                <c:pt idx="2">
                  <c:v>0.22329999999999997</c:v>
                </c:pt>
                <c:pt idx="3">
                  <c:v>0.21629999999999999</c:v>
                </c:pt>
                <c:pt idx="4">
                  <c:v>0.17329999999999998</c:v>
                </c:pt>
                <c:pt idx="5">
                  <c:v>0.1452</c:v>
                </c:pt>
                <c:pt idx="6">
                  <c:v>8.2400000000000001E-2</c:v>
                </c:pt>
                <c:pt idx="7">
                  <c:v>3.1899999999999998E-2</c:v>
                </c:pt>
                <c:pt idx="8">
                  <c:v>8.6E-3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31-4FE1-9E0C-B0A5E0180969}"/>
            </c:ext>
          </c:extLst>
        </c:ser>
        <c:ser>
          <c:idx val="1"/>
          <c:order val="1"/>
          <c:tx>
            <c:strRef>
              <c:f>Graphs!$C$1</c:f>
              <c:strCache>
                <c:ptCount val="1"/>
                <c:pt idx="0">
                  <c:v>Percent distribution of general population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-1.3888888888888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1.3888888888888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1.3888888888888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173336640061513E-17"/>
                  <c:y val="-9.25925925925930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9586668320030757E-17"/>
                  <c:y val="-9.25925925925928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-9.25925925925926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Graphs!$A$2:$A$10</c:f>
              <c:strCache>
                <c:ptCount val="9"/>
                <c:pt idx="0">
                  <c:v>0-9</c:v>
                </c:pt>
                <c:pt idx="1">
                  <c:v>10-19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50-59</c:v>
                </c:pt>
                <c:pt idx="6">
                  <c:v>60-69</c:v>
                </c:pt>
                <c:pt idx="7">
                  <c:v>70-79</c:v>
                </c:pt>
                <c:pt idx="8">
                  <c:v>&gt;=80</c:v>
                </c:pt>
              </c:strCache>
            </c:strRef>
          </c:cat>
          <c:val>
            <c:numRef>
              <c:f>Graphs!$C$2:$C$10</c:f>
              <c:numCache>
                <c:formatCode>0.0%</c:formatCode>
                <c:ptCount val="9"/>
                <c:pt idx="0">
                  <c:v>0.16600000000000001</c:v>
                </c:pt>
                <c:pt idx="1">
                  <c:v>0.19500000000000001</c:v>
                </c:pt>
                <c:pt idx="2">
                  <c:v>0.20899999999999999</c:v>
                </c:pt>
                <c:pt idx="3">
                  <c:v>0.157</c:v>
                </c:pt>
                <c:pt idx="4">
                  <c:v>0.115</c:v>
                </c:pt>
                <c:pt idx="5">
                  <c:v>7.6999999999999999E-2</c:v>
                </c:pt>
                <c:pt idx="6">
                  <c:v>5.0999999999999997E-2</c:v>
                </c:pt>
                <c:pt idx="7">
                  <c:v>2.3E-2</c:v>
                </c:pt>
                <c:pt idx="8">
                  <c:v>8.0000000000000002E-3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31-4FE1-9E0C-B0A5E01809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469285872"/>
        <c:axId val="-469283696"/>
      </c:barChart>
      <c:catAx>
        <c:axId val="-4692858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Age (years)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69283696"/>
        <c:crosses val="autoZero"/>
        <c:auto val="1"/>
        <c:lblAlgn val="ctr"/>
        <c:lblOffset val="100"/>
        <c:noMultiLvlLbl val="0"/>
      </c:catAx>
      <c:valAx>
        <c:axId val="-469283696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-469285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633891917356491"/>
          <c:y val="7.8415718868474774E-2"/>
          <c:w val="0.33063093074904099"/>
          <c:h val="0.324362058909302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68425821772279"/>
          <c:y val="3.8194444444444448E-2"/>
          <c:w val="0.49982115216367184"/>
          <c:h val="0.924771434820647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Graphs!$B$22</c:f>
              <c:strCache>
                <c:ptCount val="1"/>
                <c:pt idx="0">
                  <c:v>Percent distribution of deaths to total deaths in COVID cases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73336640061513E-17"/>
                  <c:y val="1.3888888888888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Graphs!$A$23:$A$31</c:f>
              <c:strCache>
                <c:ptCount val="9"/>
                <c:pt idx="0">
                  <c:v>0-9</c:v>
                </c:pt>
                <c:pt idx="1">
                  <c:v>10-19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50-59</c:v>
                </c:pt>
                <c:pt idx="6">
                  <c:v>60-69</c:v>
                </c:pt>
                <c:pt idx="7">
                  <c:v>70-79</c:v>
                </c:pt>
                <c:pt idx="8">
                  <c:v>&gt;=80</c:v>
                </c:pt>
              </c:strCache>
            </c:strRef>
          </c:cat>
          <c:val>
            <c:numRef>
              <c:f>Graphs!$B$23:$B$31</c:f>
              <c:numCache>
                <c:formatCode>0.0%</c:formatCode>
                <c:ptCount val="9"/>
                <c:pt idx="0">
                  <c:v>5.0000000000000001E-3</c:v>
                </c:pt>
                <c:pt idx="1">
                  <c:v>6.9999999999999993E-3</c:v>
                </c:pt>
                <c:pt idx="2">
                  <c:v>2.6000000000000002E-2</c:v>
                </c:pt>
                <c:pt idx="3">
                  <c:v>6.0999999999999999E-2</c:v>
                </c:pt>
                <c:pt idx="4">
                  <c:v>0.13400000000000001</c:v>
                </c:pt>
                <c:pt idx="5">
                  <c:v>0.253</c:v>
                </c:pt>
                <c:pt idx="6">
                  <c:v>0.28600000000000003</c:v>
                </c:pt>
                <c:pt idx="7">
                  <c:v>0.17</c:v>
                </c:pt>
                <c:pt idx="8">
                  <c:v>5.7999999999999996E-2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5B-4A90-9E8E-221F2B418E45}"/>
            </c:ext>
          </c:extLst>
        </c:ser>
        <c:ser>
          <c:idx val="1"/>
          <c:order val="1"/>
          <c:tx>
            <c:strRef>
              <c:f>Graphs!$C$22</c:f>
              <c:strCache>
                <c:ptCount val="1"/>
                <c:pt idx="0">
                  <c:v>Percent distribution of deaths to total deaths in general population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586668320030757E-17"/>
                  <c:y val="-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4.62962962962971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367521367520585E-3"/>
                  <c:y val="-1.38888888888889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Graphs!$A$23:$A$31</c:f>
              <c:strCache>
                <c:ptCount val="9"/>
                <c:pt idx="0">
                  <c:v>0-9</c:v>
                </c:pt>
                <c:pt idx="1">
                  <c:v>10-19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50-59</c:v>
                </c:pt>
                <c:pt idx="6">
                  <c:v>60-69</c:v>
                </c:pt>
                <c:pt idx="7">
                  <c:v>70-79</c:v>
                </c:pt>
                <c:pt idx="8">
                  <c:v>&gt;=80</c:v>
                </c:pt>
              </c:strCache>
            </c:strRef>
          </c:cat>
          <c:val>
            <c:numRef>
              <c:f>Graphs!$C$23:$C$31</c:f>
              <c:numCache>
                <c:formatCode>0.0%</c:formatCode>
                <c:ptCount val="9"/>
                <c:pt idx="0">
                  <c:v>0.122</c:v>
                </c:pt>
                <c:pt idx="1">
                  <c:v>2.1000000000000001E-2</c:v>
                </c:pt>
                <c:pt idx="2">
                  <c:v>3.9E-2</c:v>
                </c:pt>
                <c:pt idx="3">
                  <c:v>5.0999999999999997E-2</c:v>
                </c:pt>
                <c:pt idx="4">
                  <c:v>7.6999999999999999E-2</c:v>
                </c:pt>
                <c:pt idx="5">
                  <c:v>0.129</c:v>
                </c:pt>
                <c:pt idx="6">
                  <c:v>0.20100000000000001</c:v>
                </c:pt>
                <c:pt idx="7">
                  <c:v>0.20199999999999999</c:v>
                </c:pt>
                <c:pt idx="8">
                  <c:v>0.157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5B-4A90-9E8E-221F2B418E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469282608"/>
        <c:axId val="-469285328"/>
      </c:barChart>
      <c:catAx>
        <c:axId val="-4692826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Age (years)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69285328"/>
        <c:crosses val="autoZero"/>
        <c:auto val="1"/>
        <c:lblAlgn val="ctr"/>
        <c:lblOffset val="100"/>
        <c:noMultiLvlLbl val="0"/>
      </c:catAx>
      <c:valAx>
        <c:axId val="-469285328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-46928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543609933373718"/>
          <c:y val="0.61111402741324006"/>
          <c:w val="0.42437209771855439"/>
          <c:h val="0.333330417031204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Mishra</dc:creator>
  <cp:keywords/>
  <dc:description/>
  <cp:lastModifiedBy>Aman Mishra</cp:lastModifiedBy>
  <cp:revision>4</cp:revision>
  <dcterms:created xsi:type="dcterms:W3CDTF">2020-11-04T10:57:00Z</dcterms:created>
  <dcterms:modified xsi:type="dcterms:W3CDTF">2020-11-05T04:28:00Z</dcterms:modified>
</cp:coreProperties>
</file>