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153" w:rsidP="7440AE75" w:rsidRDefault="00312153" w14:paraId="0CFF3093" w14:textId="438697BD">
      <w:pPr>
        <w:rPr>
          <w:rFonts w:ascii="Open Sans" w:hAnsi="Open Sans" w:cs="Open Sans"/>
          <w:b w:val="1"/>
          <w:bCs w:val="1"/>
        </w:rPr>
      </w:pPr>
      <w:r w:rsidRPr="7440AE75" w:rsidR="00312153">
        <w:rPr>
          <w:rFonts w:ascii="Open Sans" w:hAnsi="Open Sans" w:cs="Open Sans"/>
          <w:b w:val="1"/>
          <w:bCs w:val="1"/>
        </w:rPr>
        <w:t xml:space="preserve">Supplementary </w:t>
      </w:r>
      <w:r w:rsidRPr="7440AE75" w:rsidR="76C213AF">
        <w:rPr>
          <w:rFonts w:ascii="Open Sans" w:hAnsi="Open Sans" w:cs="Open Sans"/>
          <w:b w:val="1"/>
          <w:bCs w:val="1"/>
        </w:rPr>
        <w:t>Table 3</w:t>
      </w:r>
    </w:p>
    <w:p w:rsidR="00312153" w:rsidP="7440AE75" w:rsidRDefault="00312153" w14:paraId="34F7281C" w14:textId="774BA77C">
      <w:pPr>
        <w:rPr>
          <w:rFonts w:ascii="Open Sans" w:hAnsi="Open Sans" w:cs="Open Sans"/>
          <w:i w:val="1"/>
          <w:iCs w:val="1"/>
        </w:rPr>
      </w:pPr>
      <w:r w:rsidRPr="7440AE75" w:rsidR="76C213AF">
        <w:rPr>
          <w:rFonts w:ascii="Open Sans" w:hAnsi="Open Sans" w:cs="Open Sans"/>
          <w:i w:val="1"/>
          <w:iCs w:val="1"/>
        </w:rPr>
        <w:t xml:space="preserve">Genes </w:t>
      </w:r>
      <w:r w:rsidRPr="7440AE75" w:rsidR="00312153">
        <w:rPr>
          <w:rFonts w:ascii="Open Sans" w:hAnsi="Open Sans" w:cs="Open Sans"/>
          <w:i w:val="1"/>
          <w:iCs w:val="1"/>
        </w:rPr>
        <w:t>frequently associated with atopic dermatitis, and not prioritised as our top candidate genes</w:t>
      </w:r>
      <w:r w:rsidRPr="7440AE75">
        <w:rPr>
          <w:rFonts w:ascii="Open Sans" w:hAnsi="Open Sans" w:cs="Open Sans"/>
          <w:i w:val="1"/>
          <w:iCs w:val="1"/>
        </w:rPr>
        <w:fldChar w:fldCharType="begin" w:fldLock="true"/>
      </w:r>
      <w:r w:rsidRPr="7440AE75">
        <w:rPr>
          <w:rFonts w:ascii="Open Sans" w:hAnsi="Open Sans" w:cs="Open Sans"/>
          <w:i w:val="1"/>
          <w:iCs w:val="1"/>
        </w:rPr>
        <w:instrText xml:space="preserve">ADDIN CSL_CITATION {"citationItems":[{"id":"ITEM-1","itemData":{"DOI":"10.1007/s00403-015-1550-6","ISBN":"0040301515506","ISSN":"0340-3696","author":[{"dropping-particle":"","family":"Hoffjan","given":"Sabine","non-dropping-particle":"","parse-names":false,"suffix":""},{"dropping-particle":"","family":"Stemmler","given":"Susanne","non-dropping-particle":"","parse-names":false,"suffix":""}],"container-title":"Archives of Dermatological Research","id":"ITEM-1","issued":{"date-parts":[["2015"]]},"page":"659-670","publisher":"Springer Berlin Heidelberg","title":"Unravelling the complex genetic background of atopic dermatitis : from genetic association results towards novel therapeutic strategies","type":"article-journal"},"uris":["http://www.mendeley.com/documents/?uuid=870fdd9b-e810-4de3-ae7e-48e0021c3987"]},{"id":"ITEM-2","itemData":{"DOI":"10.1186/s13223-016-0158-5","ISSN":"17101492","abstract":"Atopic dermatitis (AD) is a chronic inflammatory disease caused by the complex interaction of genetic, immune and environmental factors. There have many recent discoveries involving the genetic and epigenetic studies of AD. A retrospective PubMed search was carried out from June 2009 to June 2016 using the terms “atopic dermatitis”, “association”, “eczema”, “gene”, “polymorphism”, “mutation”, “variant”, “genome wide association study”, “microarray” “gene profiling”, “RNA sequencing”, “epigenetics” and “microRNA”. A total of 132 publications in English were identified. To elucidate the genetic factors for AD pathogenesis, candidate gene association studies, genome-wide association studies (GWAS) and transcriptomic profiling assays have been performed in this period. Epigenetic mechanisms for AD development, including genomic DNA modification and microRNA posttranscriptional regulation, have been explored. To date, candidate gene association studies indicate that filaggrin (FLG) null gene mutations are the most significant known risk factor for AD, and genes in the type 2 T helper lymphocyte (Th2) signaling pathways are the second replicated genetic risk factor for AD. GWAS studies identified 34 risk loci for AD, these loci also suggest that genes in immune responses and epidermal skin barrier functions are associated with AD. Additionally, gene profiling assays demonstrated AD is associated with decreased gene expression of epidermal differentiation complex genes and elevated Th2 and Th17 genes. Hypomethylation of TSLP and FCER1G in AD were reported; and miR-155, which target the immune suppressor CTLA-4, was found to be significantly over-expressed in infiltrating T cells in AD skin lesions. The results suggest that two major biologic pathways are responsible for AD etiology: skin epithelial function and innate/adaptive immune responses. The dysfunctional epidermal barrier and immune responses reciprocally affect each other, and thereby drive development of AD.","author":[{"dropping-particle":"","family":"Bin","given":"Lianghua","non-dropping-particle":"","parse-names":false,"suffix":""},{"dropping-particle":"","family":"Leung","given":"Donald Y.M. M","non-dropping-particle":"","parse-names":false,"suffix":""}],"container-title":"Allergy, Asthma and Clinical Immunology","id":"ITEM-2","issue":"1","issued":{"date-parts":[["2016"]]},"page":"1-14","publisher":"BioMed Central","title":"Genetic and epigenetic studies of atopic dermatitis","type":"article-journal","volume":"12"},"uris":["http://www.mendeley.com/documents/?uuid=13cb0ae9-a64c-4b1d-9897-f6f75f4f7725"]},{"id":"ITEM-3","itemData":{"DOI":"10.3390/ijms17081234","ISSN":"14220067","abstract":"Atopic dermatitis (AD) is a multifactorial inflammatory skin disease resulting from interactions between genetic susceptibility and environmental factors. The pathogenesis of AD is poorly understood, and the treatment of recalcitrant AD is still challenging. There is accumulating evidence for new gene polymorphisms related to the epidermal barrier function and innate and adaptive immunity in patients with AD. Newly-found T cells and dendritic cell subsets, cytokines, chemokines and signaling pathways have extended our understanding of the molecular pathomechanism underlying AD. Genetic changes caused by environmental factors have been shown to contribute to the pathogenesis of AD. We herein present a review of the genetics, epigenetics, barrier dysfunction and immunological abnormalities in AD with a focus on updated molecular biology.","author":[{"dropping-particle":"","family":"Kim","given":"Jung Eun Jong Sic","non-dropping-particle":"","parse-names":false,"suffix":""},{"dropping-particle":"","family":"Kim","given":"Jung Eun Jong Sic","non-dropping-particle":"","parse-names":false,"suffix":""},{"dropping-particle":"","family":"Cho","given":"Dae Ho","non-dropping-particle":"","parse-names":false,"suffix":""},{"dropping-particle":"","family":"Park","given":"Hyun Jeong","non-dropping-particle":"","parse-names":false,"suffix":""}],"container-title":"International Journal of Molecular Sciences","id":"ITEM-3","issue":"8","issued":{"date-parts":[["2016"]]},"title":"Molecular mechanisms of cutaneous inflammatory disorder: Atopic dermatitis","type":"article-journal","volume":"17"},"uris":["http://www.mendeley.com/documents/?uuid=2ba8353d-e06d-414a-b797-7e3b3b736300"]},{"id":"ITEM-4","itemData":{"DOI":"10.1007/s12016-015-8508-5","ISSN":"15590267","abstract":"Atopic dermatitis (AD) is a chronic inflammatory skin disease caused by a combination of genetic and environmental factors. Genetic evidences depict a complex network comprising by epidermal barrier dysfunctions and dysregulation of innate and adaptive immunity in the pathogenesis of AD. Mutations in the human filaggrin gene (FLG) are the most significant and well-replicated genetic mutation associated with AD, and other mutations associated with epidermal barriers such as SPINK5, FLG-2, SPRR3, and CLDN1 have all been linked to AD. Gene variants may also contribute to the abnormal innate and adaptive responses found in AD, including mutations in PRRs and AMPs, TSLP and TSLPR, IL-1 family cytokines and receptors genes, vitamin D pathway genes, FCER1A, and Th2 and other cytokines genes. GWAS and Immunochip analysis have identified a total of 19 susceptibility loci for AD. Candidate genes at these susceptibility loci identified by GWAS and Immunochip analysis also suggest roles for epidermal barrier functions, innate and adaptive immunity, interleukin-1 family signaling, regulatory T cells, the vitamin D pathway, and the nerve growth factor pathway in the pathogenesis of AD. Increasing evidences show the modern lifestyle (i.e., the hygiene hypothesis, Western diet) and other environmental factors such as pollution and environmental tobacco smoke (ETS) lead to the increasing prevalence of AD with the development of industrialization. Epigenetic alterations in response to these environmental factors, including DNA methylation and microRNA related to immune system and skin barriers, have been found to contribute to the pathogenesis of AD. Genetic variants and epigenetic alteration might be the key tools for the molecular taxonomy of AD and provide the background for the personalized management.","author":[{"dropping-particle":"","family":"Liang","given":"Yunsheng","non-dropping-particle":"","parse-names":false,"suffix":""},{"dropping-particle":"","family":"Chang","given":"Christopher","non-dropping-particle":"","parse-names":false,"suffix":""},{"dropping-particle":"","family":"Lu","given":"Qianjin","non-dropping-particle":"","parse-names":false,"suffix":""}],"container-title":"Clinical Reviews in Allergy and Immunology","id":"ITEM-4","issue":"3","issued":{"date-parts":[["2016"]]},"page":"315-328","publisher":"Clinical Reviews in Allergy &amp; Immunology","title":"The Genetics and Epigenetics of Atopic Dermatitis—Filaggrin and Other Polymorphisms","type":"article-journal","volume":"51"},"uris":["http://www.mendeley.com/documents/?uuid=da74971c-b927-4ee0-8c09-871ad99b5d47"]}],"mendeley":{"formattedCitation":"(1–4)","plainTextFormattedCitation":"(1–4)","previouslyFormattedCitation":"(1–4)"},"properties":{"noteIndex":0},"schema":"https://github.com/citation-style-language/schema/raw/master/csl-citation.json"}</w:instrText>
      </w:r>
      <w:r w:rsidRPr="7440AE75">
        <w:rPr>
          <w:rFonts w:ascii="Open Sans" w:hAnsi="Open Sans" w:cs="Open Sans"/>
          <w:i w:val="1"/>
          <w:iCs w:val="1"/>
        </w:rPr>
        <w:fldChar w:fldCharType="separate"/>
      </w:r>
      <w:r w:rsidRPr="7440AE75" w:rsidR="00683EA5">
        <w:rPr>
          <w:rFonts w:ascii="Open Sans" w:hAnsi="Open Sans" w:cs="Open Sans"/>
          <w:noProof/>
        </w:rPr>
        <w:t>(1–4)</w:t>
      </w:r>
      <w:r w:rsidRPr="7440AE75">
        <w:rPr>
          <w:rFonts w:ascii="Open Sans" w:hAnsi="Open Sans" w:cs="Open Sans"/>
          <w:i w:val="1"/>
          <w:iCs w:val="1"/>
        </w:rPr>
        <w:fldChar w:fldCharType="end"/>
      </w:r>
      <w:r w:rsidRPr="7440AE75" w:rsidR="00312153">
        <w:rPr>
          <w:rFonts w:ascii="Open Sans" w:hAnsi="Open Sans" w:cs="Open Sans"/>
          <w:i w:val="1"/>
          <w:iCs w:val="1"/>
        </w:rPr>
        <w:t>.</w:t>
      </w:r>
    </w:p>
    <w:p w:rsidRPr="00312153" w:rsidR="00312153" w:rsidP="00312153" w:rsidRDefault="00312153" w14:paraId="08CA7BB3" w14:textId="77777777">
      <w:pPr>
        <w:rPr>
          <w:rFonts w:ascii="Open Sans" w:hAnsi="Open Sans" w:cs="Open Sans"/>
        </w:rPr>
      </w:pPr>
      <w:r w:rsidRPr="00312153">
        <w:rPr>
          <w:rFonts w:ascii="Open Sans" w:hAnsi="Open Sans" w:cs="Open Sans"/>
        </w:rPr>
        <w:t>TSLP</w:t>
      </w:r>
    </w:p>
    <w:p w:rsidRPr="00312153" w:rsidR="00312153" w:rsidP="00312153" w:rsidRDefault="00312153" w14:paraId="5AF842BA" w14:textId="77777777">
      <w:pPr>
        <w:rPr>
          <w:rFonts w:ascii="Open Sans" w:hAnsi="Open Sans" w:cs="Open Sans"/>
        </w:rPr>
      </w:pPr>
      <w:r w:rsidRPr="00312153">
        <w:rPr>
          <w:rFonts w:ascii="Open Sans" w:hAnsi="Open Sans" w:cs="Open Sans"/>
        </w:rPr>
        <w:t>TSLPR</w:t>
      </w:r>
    </w:p>
    <w:p w:rsidRPr="00312153" w:rsidR="00312153" w:rsidP="00312153" w:rsidRDefault="00312153" w14:paraId="0124C0B7" w14:textId="77777777">
      <w:pPr>
        <w:rPr>
          <w:rFonts w:ascii="Open Sans" w:hAnsi="Open Sans" w:cs="Open Sans"/>
        </w:rPr>
      </w:pPr>
      <w:r w:rsidRPr="00312153">
        <w:rPr>
          <w:rFonts w:ascii="Open Sans" w:hAnsi="Open Sans" w:cs="Open Sans"/>
        </w:rPr>
        <w:t>TLR2</w:t>
      </w:r>
    </w:p>
    <w:p w:rsidRPr="00312153" w:rsidR="00312153" w:rsidP="00312153" w:rsidRDefault="00312153" w14:paraId="7A01CDE5" w14:textId="77777777">
      <w:pPr>
        <w:rPr>
          <w:rFonts w:ascii="Open Sans" w:hAnsi="Open Sans" w:cs="Open Sans"/>
        </w:rPr>
      </w:pPr>
      <w:r w:rsidRPr="00312153">
        <w:rPr>
          <w:rFonts w:ascii="Open Sans" w:hAnsi="Open Sans" w:cs="Open Sans"/>
        </w:rPr>
        <w:t>IFNGR1</w:t>
      </w:r>
    </w:p>
    <w:p w:rsidRPr="00312153" w:rsidR="00312153" w:rsidP="00312153" w:rsidRDefault="00312153" w14:paraId="3244CAD8" w14:textId="77777777">
      <w:pPr>
        <w:rPr>
          <w:rFonts w:ascii="Open Sans" w:hAnsi="Open Sans" w:cs="Open Sans"/>
        </w:rPr>
      </w:pPr>
      <w:r w:rsidRPr="00312153">
        <w:rPr>
          <w:rFonts w:ascii="Open Sans" w:hAnsi="Open Sans" w:cs="Open Sans"/>
        </w:rPr>
        <w:t>SPINK5</w:t>
      </w:r>
    </w:p>
    <w:p w:rsidRPr="00312153" w:rsidR="00312153" w:rsidP="00312153" w:rsidRDefault="00312153" w14:paraId="1426A134" w14:textId="77777777">
      <w:pPr>
        <w:rPr>
          <w:rFonts w:ascii="Open Sans" w:hAnsi="Open Sans" w:cs="Open Sans"/>
        </w:rPr>
      </w:pPr>
      <w:r w:rsidRPr="00312153">
        <w:rPr>
          <w:rFonts w:ascii="Open Sans" w:hAnsi="Open Sans" w:cs="Open Sans"/>
        </w:rPr>
        <w:t>SPRR3</w:t>
      </w:r>
    </w:p>
    <w:p w:rsidRPr="00312153" w:rsidR="00312153" w:rsidP="00312153" w:rsidRDefault="00312153" w14:paraId="29030E7A" w14:textId="77777777">
      <w:pPr>
        <w:rPr>
          <w:rFonts w:ascii="Open Sans" w:hAnsi="Open Sans" w:cs="Open Sans"/>
        </w:rPr>
      </w:pPr>
      <w:r w:rsidRPr="00312153">
        <w:rPr>
          <w:rFonts w:ascii="Open Sans" w:hAnsi="Open Sans" w:cs="Open Sans"/>
        </w:rPr>
        <w:t>FLG</w:t>
      </w:r>
    </w:p>
    <w:p w:rsidRPr="00312153" w:rsidR="00312153" w:rsidP="00312153" w:rsidRDefault="00312153" w14:paraId="754F15D7" w14:textId="77777777">
      <w:pPr>
        <w:rPr>
          <w:rFonts w:ascii="Open Sans" w:hAnsi="Open Sans" w:cs="Open Sans"/>
        </w:rPr>
      </w:pPr>
      <w:r w:rsidRPr="00312153">
        <w:rPr>
          <w:rFonts w:ascii="Open Sans" w:hAnsi="Open Sans" w:cs="Open Sans"/>
        </w:rPr>
        <w:t>FLG2</w:t>
      </w:r>
    </w:p>
    <w:p w:rsidRPr="00312153" w:rsidR="00312153" w:rsidP="00312153" w:rsidRDefault="00312153" w14:paraId="7605C9CB" w14:textId="77777777">
      <w:pPr>
        <w:rPr>
          <w:rFonts w:ascii="Open Sans" w:hAnsi="Open Sans" w:cs="Open Sans"/>
        </w:rPr>
      </w:pPr>
      <w:r w:rsidRPr="00312153">
        <w:rPr>
          <w:rFonts w:ascii="Open Sans" w:hAnsi="Open Sans" w:cs="Open Sans"/>
        </w:rPr>
        <w:t>FCER1G</w:t>
      </w:r>
    </w:p>
    <w:p w:rsidRPr="00312153" w:rsidR="00312153" w:rsidP="00312153" w:rsidRDefault="00312153" w14:paraId="571B7824" w14:textId="77777777">
      <w:pPr>
        <w:rPr>
          <w:rFonts w:ascii="Open Sans" w:hAnsi="Open Sans" w:cs="Open Sans"/>
        </w:rPr>
      </w:pPr>
      <w:r w:rsidRPr="00312153">
        <w:rPr>
          <w:rFonts w:ascii="Open Sans" w:hAnsi="Open Sans" w:cs="Open Sans"/>
        </w:rPr>
        <w:t>FCER1A</w:t>
      </w:r>
    </w:p>
    <w:p w:rsidRPr="00312153" w:rsidR="00312153" w:rsidP="00312153" w:rsidRDefault="00312153" w14:paraId="53DCDF9C" w14:textId="77777777">
      <w:pPr>
        <w:rPr>
          <w:rFonts w:ascii="Open Sans" w:hAnsi="Open Sans" w:cs="Open Sans"/>
        </w:rPr>
      </w:pPr>
      <w:r w:rsidRPr="00312153">
        <w:rPr>
          <w:rFonts w:ascii="Open Sans" w:hAnsi="Open Sans" w:cs="Open Sans"/>
        </w:rPr>
        <w:t>IL4</w:t>
      </w:r>
    </w:p>
    <w:p w:rsidRPr="00312153" w:rsidR="00312153" w:rsidP="00312153" w:rsidRDefault="00312153" w14:paraId="5B7B380A" w14:textId="77777777">
      <w:pPr>
        <w:rPr>
          <w:rFonts w:ascii="Open Sans" w:hAnsi="Open Sans" w:cs="Open Sans"/>
        </w:rPr>
      </w:pPr>
      <w:r w:rsidRPr="00312153">
        <w:rPr>
          <w:rFonts w:ascii="Open Sans" w:hAnsi="Open Sans" w:cs="Open Sans"/>
        </w:rPr>
        <w:t>IL31</w:t>
      </w:r>
    </w:p>
    <w:p w:rsidRPr="00312153" w:rsidR="00312153" w:rsidP="00312153" w:rsidRDefault="00312153" w14:paraId="2121C5B4" w14:textId="77777777">
      <w:pPr>
        <w:rPr>
          <w:rFonts w:ascii="Open Sans" w:hAnsi="Open Sans" w:cs="Open Sans"/>
        </w:rPr>
      </w:pPr>
      <w:r w:rsidRPr="00312153">
        <w:rPr>
          <w:rFonts w:ascii="Open Sans" w:hAnsi="Open Sans" w:cs="Open Sans"/>
        </w:rPr>
        <w:t>IVL</w:t>
      </w:r>
    </w:p>
    <w:p w:rsidRPr="00312153" w:rsidR="00312153" w:rsidP="00312153" w:rsidRDefault="00312153" w14:paraId="27AA5DB6" w14:textId="77777777">
      <w:pPr>
        <w:rPr>
          <w:rFonts w:ascii="Open Sans" w:hAnsi="Open Sans" w:cs="Open Sans"/>
        </w:rPr>
      </w:pPr>
      <w:r w:rsidRPr="00312153">
        <w:rPr>
          <w:rFonts w:ascii="Open Sans" w:hAnsi="Open Sans" w:cs="Open Sans"/>
        </w:rPr>
        <w:t>LOR</w:t>
      </w:r>
    </w:p>
    <w:p w:rsidRPr="00312153" w:rsidR="00312153" w:rsidP="00312153" w:rsidRDefault="00312153" w14:paraId="4DD9E85B" w14:textId="77777777">
      <w:pPr>
        <w:rPr>
          <w:rFonts w:ascii="Open Sans" w:hAnsi="Open Sans" w:cs="Open Sans"/>
        </w:rPr>
      </w:pPr>
      <w:r w:rsidRPr="00312153">
        <w:rPr>
          <w:rFonts w:ascii="Open Sans" w:hAnsi="Open Sans" w:cs="Open Sans"/>
        </w:rPr>
        <w:t>CLDN1</w:t>
      </w:r>
    </w:p>
    <w:p w:rsidRPr="00312153" w:rsidR="00312153" w:rsidP="00312153" w:rsidRDefault="00312153" w14:paraId="3BB3D1B6" w14:textId="77777777">
      <w:pPr>
        <w:rPr>
          <w:rFonts w:ascii="Open Sans" w:hAnsi="Open Sans" w:cs="Open Sans"/>
        </w:rPr>
      </w:pPr>
      <w:r w:rsidRPr="00312153">
        <w:rPr>
          <w:rFonts w:ascii="Open Sans" w:hAnsi="Open Sans" w:cs="Open Sans"/>
        </w:rPr>
        <w:t>DSG1</w:t>
      </w:r>
    </w:p>
    <w:p w:rsidRPr="00312153" w:rsidR="00312153" w:rsidP="00312153" w:rsidRDefault="00312153" w14:paraId="7C81071C" w14:textId="77777777">
      <w:pPr>
        <w:rPr>
          <w:rFonts w:ascii="Open Sans" w:hAnsi="Open Sans" w:cs="Open Sans"/>
        </w:rPr>
      </w:pPr>
      <w:r w:rsidRPr="00312153">
        <w:rPr>
          <w:rFonts w:ascii="Open Sans" w:hAnsi="Open Sans" w:cs="Open Sans"/>
        </w:rPr>
        <w:t>TMEM79</w:t>
      </w:r>
    </w:p>
    <w:p w:rsidR="00911CBB" w:rsidP="00312153" w:rsidRDefault="00312153" w14:paraId="7CFAAEC3" w14:textId="77777777">
      <w:pPr>
        <w:rPr>
          <w:rFonts w:ascii="Open Sans" w:hAnsi="Open Sans" w:cs="Open Sans"/>
        </w:rPr>
      </w:pPr>
      <w:r w:rsidRPr="00312153">
        <w:rPr>
          <w:rFonts w:ascii="Open Sans" w:hAnsi="Open Sans" w:cs="Open Sans"/>
        </w:rPr>
        <w:t>STAT6</w:t>
      </w:r>
    </w:p>
    <w:p w:rsidR="00751D14" w:rsidP="00312153" w:rsidRDefault="00751D14" w14:paraId="380F56C4" w14:textId="77777777">
      <w:pPr>
        <w:rPr>
          <w:rFonts w:ascii="Open Sans" w:hAnsi="Open Sans" w:cs="Open Sans"/>
        </w:rPr>
      </w:pPr>
    </w:p>
    <w:p w:rsidRPr="00751D14" w:rsidR="00751D14" w:rsidP="00751D14" w:rsidRDefault="00751D14" w14:paraId="44366312" w14:textId="38DA9273">
      <w:pPr>
        <w:widowControl w:val="0"/>
        <w:autoSpaceDE w:val="0"/>
        <w:autoSpaceDN w:val="0"/>
        <w:adjustRightInd w:val="0"/>
        <w:spacing w:line="240" w:lineRule="auto"/>
        <w:ind w:left="640" w:hanging="640"/>
        <w:rPr>
          <w:rFonts w:ascii="Open Sans" w:hAnsi="Open Sans" w:cs="Open Sans"/>
          <w:noProof/>
          <w:szCs w:val="24"/>
        </w:rPr>
      </w:pPr>
      <w:r>
        <w:rPr>
          <w:rFonts w:ascii="Open Sans" w:hAnsi="Open Sans" w:cs="Open Sans"/>
        </w:rPr>
        <w:fldChar w:fldCharType="begin" w:fldLock="1"/>
      </w:r>
      <w:r>
        <w:rPr>
          <w:rFonts w:ascii="Open Sans" w:hAnsi="Open Sans" w:cs="Open Sans"/>
        </w:rPr>
        <w:instrText xml:space="preserve">ADDIN Mendeley Bibliography CSL_BIBLIOGRAPHY </w:instrText>
      </w:r>
      <w:r>
        <w:rPr>
          <w:rFonts w:ascii="Open Sans" w:hAnsi="Open Sans" w:cs="Open Sans"/>
        </w:rPr>
        <w:fldChar w:fldCharType="separate"/>
      </w:r>
      <w:r w:rsidRPr="00751D14">
        <w:rPr>
          <w:rFonts w:ascii="Open Sans" w:hAnsi="Open Sans" w:cs="Open Sans"/>
          <w:noProof/>
          <w:szCs w:val="24"/>
        </w:rPr>
        <w:t xml:space="preserve">1. </w:t>
      </w:r>
      <w:r w:rsidRPr="00751D14">
        <w:rPr>
          <w:rFonts w:ascii="Open Sans" w:hAnsi="Open Sans" w:cs="Open Sans"/>
          <w:noProof/>
          <w:szCs w:val="24"/>
        </w:rPr>
        <w:tab/>
      </w:r>
      <w:r w:rsidRPr="00751D14">
        <w:rPr>
          <w:rFonts w:ascii="Open Sans" w:hAnsi="Open Sans" w:cs="Open Sans"/>
          <w:noProof/>
          <w:szCs w:val="24"/>
        </w:rPr>
        <w:t>Hoffjan S, Stemmler S. Unravelling the complex genetic background of atopic dermatitis : from genetic association results towards novel therapeutic strategies. Arch Dermatol Res [Internet]. 2015;659–70. Available from: http://dx.doi.org/10.1007/s00403-015-1550-6</w:t>
      </w:r>
    </w:p>
    <w:p w:rsidRPr="00751D14" w:rsidR="00751D14" w:rsidP="00751D14" w:rsidRDefault="00751D14" w14:paraId="7583713E" w14:textId="77777777">
      <w:pPr>
        <w:widowControl w:val="0"/>
        <w:autoSpaceDE w:val="0"/>
        <w:autoSpaceDN w:val="0"/>
        <w:adjustRightInd w:val="0"/>
        <w:spacing w:line="240" w:lineRule="auto"/>
        <w:ind w:left="640" w:hanging="640"/>
        <w:rPr>
          <w:rFonts w:ascii="Open Sans" w:hAnsi="Open Sans" w:cs="Open Sans"/>
          <w:noProof/>
          <w:szCs w:val="24"/>
        </w:rPr>
      </w:pPr>
      <w:r w:rsidRPr="00751D14">
        <w:rPr>
          <w:rFonts w:ascii="Open Sans" w:hAnsi="Open Sans" w:cs="Open Sans"/>
          <w:noProof/>
          <w:szCs w:val="24"/>
        </w:rPr>
        <w:t xml:space="preserve">2. </w:t>
      </w:r>
      <w:r w:rsidRPr="00751D14">
        <w:rPr>
          <w:rFonts w:ascii="Open Sans" w:hAnsi="Open Sans" w:cs="Open Sans"/>
          <w:noProof/>
          <w:szCs w:val="24"/>
        </w:rPr>
        <w:tab/>
      </w:r>
      <w:r w:rsidRPr="00751D14">
        <w:rPr>
          <w:rFonts w:ascii="Open Sans" w:hAnsi="Open Sans" w:cs="Open Sans"/>
          <w:noProof/>
          <w:szCs w:val="24"/>
        </w:rPr>
        <w:t xml:space="preserve">Bin L, Leung DYMM. Genetic and epigenetic studies of atopic dermatitis. Allergy, Asthma Clin Immunol. 2016;12(1):1–14. </w:t>
      </w:r>
    </w:p>
    <w:p w:rsidRPr="00751D14" w:rsidR="00751D14" w:rsidP="00751D14" w:rsidRDefault="00751D14" w14:paraId="4E9C5135" w14:textId="77777777">
      <w:pPr>
        <w:widowControl w:val="0"/>
        <w:autoSpaceDE w:val="0"/>
        <w:autoSpaceDN w:val="0"/>
        <w:adjustRightInd w:val="0"/>
        <w:spacing w:line="240" w:lineRule="auto"/>
        <w:ind w:left="640" w:hanging="640"/>
        <w:rPr>
          <w:rFonts w:ascii="Open Sans" w:hAnsi="Open Sans" w:cs="Open Sans"/>
          <w:noProof/>
          <w:szCs w:val="24"/>
        </w:rPr>
      </w:pPr>
      <w:r w:rsidRPr="00751D14">
        <w:rPr>
          <w:rFonts w:ascii="Open Sans" w:hAnsi="Open Sans" w:cs="Open Sans"/>
          <w:noProof/>
          <w:szCs w:val="24"/>
        </w:rPr>
        <w:t xml:space="preserve">3. </w:t>
      </w:r>
      <w:r w:rsidRPr="00751D14">
        <w:rPr>
          <w:rFonts w:ascii="Open Sans" w:hAnsi="Open Sans" w:cs="Open Sans"/>
          <w:noProof/>
          <w:szCs w:val="24"/>
        </w:rPr>
        <w:tab/>
      </w:r>
      <w:r w:rsidRPr="00751D14">
        <w:rPr>
          <w:rFonts w:ascii="Open Sans" w:hAnsi="Open Sans" w:cs="Open Sans"/>
          <w:noProof/>
          <w:szCs w:val="24"/>
        </w:rPr>
        <w:t xml:space="preserve">Kim JEJS, Kim JEJS, Cho DH, Park HJ. Molecular mechanisms of cutaneous inflammatory disorder: Atopic dermatitis. Int J Mol Sci. 2016;17(8). </w:t>
      </w:r>
    </w:p>
    <w:p w:rsidRPr="00751D14" w:rsidR="00751D14" w:rsidP="00751D14" w:rsidRDefault="00751D14" w14:paraId="5DE4377E" w14:textId="77777777">
      <w:pPr>
        <w:widowControl w:val="0"/>
        <w:autoSpaceDE w:val="0"/>
        <w:autoSpaceDN w:val="0"/>
        <w:adjustRightInd w:val="0"/>
        <w:spacing w:line="240" w:lineRule="auto"/>
        <w:ind w:left="640" w:hanging="640"/>
        <w:rPr>
          <w:rFonts w:ascii="Open Sans" w:hAnsi="Open Sans" w:cs="Open Sans"/>
          <w:noProof/>
        </w:rPr>
      </w:pPr>
      <w:r w:rsidRPr="00751D14">
        <w:rPr>
          <w:rFonts w:ascii="Open Sans" w:hAnsi="Open Sans" w:cs="Open Sans"/>
          <w:noProof/>
          <w:szCs w:val="24"/>
        </w:rPr>
        <w:t xml:space="preserve">4. </w:t>
      </w:r>
      <w:r w:rsidRPr="00751D14">
        <w:rPr>
          <w:rFonts w:ascii="Open Sans" w:hAnsi="Open Sans" w:cs="Open Sans"/>
          <w:noProof/>
          <w:szCs w:val="24"/>
        </w:rPr>
        <w:tab/>
      </w:r>
      <w:r w:rsidRPr="00751D14">
        <w:rPr>
          <w:rFonts w:ascii="Open Sans" w:hAnsi="Open Sans" w:cs="Open Sans"/>
          <w:noProof/>
          <w:szCs w:val="24"/>
        </w:rPr>
        <w:t xml:space="preserve">Liang Y, Chang C, Lu Q. The Genetics and Epigenetics of Atopic Dermatitis—Filaggrin and Other Polymorphisms. Clin Rev Allergy Immunol [Internet]. </w:t>
      </w:r>
      <w:r w:rsidRPr="00751D14">
        <w:rPr>
          <w:rFonts w:ascii="Open Sans" w:hAnsi="Open Sans" w:cs="Open Sans"/>
          <w:noProof/>
          <w:szCs w:val="24"/>
        </w:rPr>
        <w:lastRenderedPageBreak/>
        <w:t>2016;51(3):315–28. Available from: http://dx.doi.org/10.1007/s12016-015-8508-5</w:t>
      </w:r>
    </w:p>
    <w:p w:rsidRPr="00312153" w:rsidR="00751D14" w:rsidP="00312153" w:rsidRDefault="00751D14" w14:paraId="3F8074A5" w14:textId="6B230097">
      <w:pPr>
        <w:rPr>
          <w:rFonts w:ascii="Open Sans" w:hAnsi="Open Sans" w:cs="Open Sans"/>
        </w:rPr>
      </w:pPr>
      <w:r>
        <w:rPr>
          <w:rFonts w:ascii="Open Sans" w:hAnsi="Open Sans" w:cs="Open Sans"/>
        </w:rPr>
        <w:fldChar w:fldCharType="end"/>
      </w:r>
      <w:bookmarkStart w:name="_GoBack" w:id="0"/>
      <w:bookmarkEnd w:id="0"/>
    </w:p>
    <w:sectPr w:rsidRPr="00312153" w:rsidR="00751D1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53"/>
    <w:rsid w:val="00312153"/>
    <w:rsid w:val="00683EA5"/>
    <w:rsid w:val="00751D14"/>
    <w:rsid w:val="00825702"/>
    <w:rsid w:val="00D34428"/>
    <w:rsid w:val="68DC0D63"/>
    <w:rsid w:val="7440AE75"/>
    <w:rsid w:val="76C21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FFDF"/>
  <w15:chartTrackingRefBased/>
  <w15:docId w15:val="{EEF6DEF8-A5F8-4666-B1AE-C196AC563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EC65BDEDC4CA448DAF5880B1E0B82B" ma:contentTypeVersion="10" ma:contentTypeDescription="Create a new document." ma:contentTypeScope="" ma:versionID="75a089027435d0e712be3955fd1801ee">
  <xsd:schema xmlns:xsd="http://www.w3.org/2001/XMLSchema" xmlns:xs="http://www.w3.org/2001/XMLSchema" xmlns:p="http://schemas.microsoft.com/office/2006/metadata/properties" xmlns:ns2="70512762-2f1a-49b5-aca7-c5ad60a4e071" xmlns:ns3="69ddc3e7-60c2-45e5-b6df-5596b39ddcb5" targetNamespace="http://schemas.microsoft.com/office/2006/metadata/properties" ma:root="true" ma:fieldsID="6d350de167640c45679bd4c74dba767c" ns2:_="" ns3:_="">
    <xsd:import namespace="70512762-2f1a-49b5-aca7-c5ad60a4e071"/>
    <xsd:import namespace="69ddc3e7-60c2-45e5-b6df-5596b39ddc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12762-2f1a-49b5-aca7-c5ad60a4e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ddc3e7-60c2-45e5-b6df-5596b39ddc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69710-B1A7-4A4E-AA2F-8CCE6935316F}">
  <ds:schemaRefs>
    <ds:schemaRef ds:uri="http://schemas.openxmlformats.org/officeDocument/2006/bibliography"/>
  </ds:schemaRefs>
</ds:datastoreItem>
</file>

<file path=customXml/itemProps2.xml><?xml version="1.0" encoding="utf-8"?>
<ds:datastoreItem xmlns:ds="http://schemas.openxmlformats.org/officeDocument/2006/customXml" ds:itemID="{F6262F38-8391-4BDB-BADA-FCDDBFFA1549}"/>
</file>

<file path=customXml/itemProps3.xml><?xml version="1.0" encoding="utf-8"?>
<ds:datastoreItem xmlns:ds="http://schemas.openxmlformats.org/officeDocument/2006/customXml" ds:itemID="{A217D376-11E4-4797-AF58-2D4A85D1E658}"/>
</file>

<file path=customXml/itemProps4.xml><?xml version="1.0" encoding="utf-8"?>
<ds:datastoreItem xmlns:ds="http://schemas.openxmlformats.org/officeDocument/2006/customXml" ds:itemID="{41487774-F2FD-4C3F-A429-27ED4F8F10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Sobczyk</dc:creator>
  <cp:keywords/>
  <dc:description/>
  <cp:lastModifiedBy>Lavinia Paternoster</cp:lastModifiedBy>
  <cp:revision>4</cp:revision>
  <dcterms:created xsi:type="dcterms:W3CDTF">2019-06-03T10:45:00Z</dcterms:created>
  <dcterms:modified xsi:type="dcterms:W3CDTF">2020-06-08T11:42:56Z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c86fb50c-74d3-3b94-a440-a1f5af9fd916</vt:lpwstr>
  </property>
  <property fmtid="{D5CDD505-2E9C-101B-9397-08002B2CF9AE}" pid="24" name="Mendeley Citation Style_1">
    <vt:lpwstr>http://www.zotero.org/styles/vancouver</vt:lpwstr>
  </property>
  <property fmtid="{D5CDD505-2E9C-101B-9397-08002B2CF9AE}" pid="25" name="ContentTypeId">
    <vt:lpwstr>0x010100BBEC65BDEDC4CA448DAF5880B1E0B82B</vt:lpwstr>
  </property>
</Properties>
</file>