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79B65B" w14:textId="77777777" w:rsidR="00EC1F6C" w:rsidRPr="00E85CFE" w:rsidRDefault="00EC1F6C" w:rsidP="00EC1F6C">
      <w:pPr>
        <w:spacing w:after="0" w:line="240" w:lineRule="auto"/>
        <w:jc w:val="both"/>
        <w:rPr>
          <w:rFonts w:ascii="Times New Roman" w:eastAsia="Courier New" w:hAnsi="Times New Roman" w:cs="Times New Roman"/>
          <w:b/>
          <w:color w:val="000000"/>
          <w:sz w:val="21"/>
          <w:szCs w:val="21"/>
        </w:rPr>
      </w:pPr>
      <w:r w:rsidRPr="00E85CFE">
        <w:rPr>
          <w:rFonts w:ascii="Times New Roman" w:eastAsia="Courier New" w:hAnsi="Times New Roman" w:cs="Times New Roman"/>
          <w:b/>
          <w:color w:val="000000"/>
          <w:sz w:val="21"/>
          <w:szCs w:val="21"/>
        </w:rPr>
        <w:t>Supplementary figure 1. Detection limits (</w:t>
      </w:r>
      <w:proofErr w:type="spellStart"/>
      <w:r w:rsidRPr="00E85CFE">
        <w:rPr>
          <w:rFonts w:ascii="Times New Roman" w:eastAsia="Courier New" w:hAnsi="Times New Roman" w:cs="Times New Roman"/>
          <w:b/>
          <w:color w:val="000000"/>
          <w:sz w:val="21"/>
          <w:szCs w:val="21"/>
        </w:rPr>
        <w:t>LoD</w:t>
      </w:r>
      <w:proofErr w:type="spellEnd"/>
      <w:r w:rsidRPr="00E85CFE">
        <w:rPr>
          <w:rFonts w:ascii="Times New Roman" w:eastAsia="Courier New" w:hAnsi="Times New Roman" w:cs="Times New Roman"/>
          <w:b/>
          <w:color w:val="000000"/>
          <w:sz w:val="21"/>
          <w:szCs w:val="21"/>
        </w:rPr>
        <w:t>) of N1 and N2 targets using commercial plasmids.</w:t>
      </w:r>
      <w:r w:rsidRPr="00E85CFE">
        <w:rPr>
          <w:rFonts w:ascii="Times New Roman" w:eastAsia="Courier New" w:hAnsi="Times New Roman" w:cs="Times New Roman"/>
          <w:color w:val="000000"/>
          <w:sz w:val="21"/>
          <w:szCs w:val="21"/>
        </w:rPr>
        <w:t xml:space="preserve"> IDT commercial plasmids contained SARS-COV-2-N gene were used to determinates the </w:t>
      </w:r>
      <w:proofErr w:type="spellStart"/>
      <w:r w:rsidRPr="00E85CFE">
        <w:rPr>
          <w:rFonts w:ascii="Times New Roman" w:eastAsia="Courier New" w:hAnsi="Times New Roman" w:cs="Times New Roman"/>
          <w:color w:val="000000"/>
          <w:sz w:val="21"/>
          <w:szCs w:val="21"/>
        </w:rPr>
        <w:t>LoD</w:t>
      </w:r>
      <w:proofErr w:type="spellEnd"/>
      <w:r w:rsidRPr="00E85CFE">
        <w:rPr>
          <w:rFonts w:ascii="Times New Roman" w:eastAsia="Courier New" w:hAnsi="Times New Roman" w:cs="Times New Roman"/>
          <w:color w:val="000000"/>
          <w:sz w:val="21"/>
          <w:szCs w:val="21"/>
        </w:rPr>
        <w:t xml:space="preserve"> of N1 and N2 U</w:t>
      </w:r>
      <w:r>
        <w:rPr>
          <w:rFonts w:ascii="Times New Roman" w:eastAsia="Courier New" w:hAnsi="Times New Roman" w:cs="Times New Roman"/>
          <w:color w:val="000000"/>
          <w:sz w:val="21"/>
          <w:szCs w:val="21"/>
        </w:rPr>
        <w:t xml:space="preserve">S </w:t>
      </w:r>
      <w:r w:rsidRPr="00E85CFE">
        <w:rPr>
          <w:rFonts w:ascii="Times New Roman" w:eastAsia="Courier New" w:hAnsi="Times New Roman" w:cs="Times New Roman"/>
          <w:color w:val="000000"/>
          <w:sz w:val="21"/>
          <w:szCs w:val="21"/>
        </w:rPr>
        <w:t>CDC primers sets and probes. All samples analyses of Ct value in this study were realized using threshold of standard curves. left panels show the linear regression and right panels show the amplification plots of plasmids dilutions detected by (A) N1 and (B)N2 primer/probe sets. (C) shows pairwise analyses of N1 and N2 Ct values of samples with 5 GC/</w:t>
      </w:r>
      <w:proofErr w:type="spellStart"/>
      <w:r w:rsidRPr="00E85CFE">
        <w:rPr>
          <w:rFonts w:ascii="Times New Roman" w:eastAsia="Courier New" w:hAnsi="Times New Roman" w:cs="Times New Roman"/>
          <w:color w:val="000000"/>
          <w:sz w:val="21"/>
          <w:szCs w:val="21"/>
        </w:rPr>
        <w:t>uL</w:t>
      </w:r>
      <w:proofErr w:type="spellEnd"/>
      <w:r w:rsidRPr="00E85CFE">
        <w:rPr>
          <w:rFonts w:ascii="Times New Roman" w:eastAsia="Courier New" w:hAnsi="Times New Roman" w:cs="Times New Roman"/>
          <w:color w:val="000000"/>
          <w:sz w:val="21"/>
          <w:szCs w:val="21"/>
        </w:rPr>
        <w:t xml:space="preserve"> of N gene. GC: genome copies.</w:t>
      </w:r>
    </w:p>
    <w:p w14:paraId="77969552" w14:textId="6EDACA91" w:rsidR="00EC1F6C" w:rsidRDefault="00EC1F6C" w:rsidP="00EC1F6C">
      <w:pPr>
        <w:spacing w:after="0" w:line="240" w:lineRule="auto"/>
        <w:jc w:val="both"/>
        <w:rPr>
          <w:rFonts w:ascii="Times New Roman" w:eastAsia="Courier New" w:hAnsi="Times New Roman" w:cs="Times New Roman"/>
          <w:b/>
          <w:color w:val="000000"/>
          <w:sz w:val="21"/>
          <w:szCs w:val="21"/>
        </w:rPr>
      </w:pPr>
      <w:r w:rsidRPr="00E85CFE">
        <w:rPr>
          <w:rFonts w:ascii="Times New Roman" w:eastAsia="Courier New" w:hAnsi="Times New Roman" w:cs="Times New Roman"/>
          <w:b/>
          <w:noProof/>
          <w:color w:val="000000"/>
          <w:sz w:val="21"/>
          <w:szCs w:val="21"/>
        </w:rPr>
        <w:drawing>
          <wp:inline distT="0" distB="0" distL="0" distR="0" wp14:anchorId="75C86F4A" wp14:editId="2562654B">
            <wp:extent cx="4351655" cy="5959475"/>
            <wp:effectExtent l="0" t="0" r="0" b="3175"/>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351655" cy="5959475"/>
                    </a:xfrm>
                    <a:prstGeom prst="rect">
                      <a:avLst/>
                    </a:prstGeom>
                    <a:noFill/>
                    <a:ln>
                      <a:noFill/>
                    </a:ln>
                  </pic:spPr>
                </pic:pic>
              </a:graphicData>
            </a:graphic>
          </wp:inline>
        </w:drawing>
      </w:r>
      <w:r>
        <w:rPr>
          <w:rFonts w:ascii="Times New Roman" w:eastAsia="Courier New" w:hAnsi="Times New Roman" w:cs="Times New Roman"/>
          <w:b/>
          <w:color w:val="000000"/>
          <w:sz w:val="21"/>
          <w:szCs w:val="21"/>
        </w:rPr>
        <w:br w:type="page"/>
      </w:r>
    </w:p>
    <w:p w14:paraId="66EB7238" w14:textId="77777777" w:rsidR="00EC1F6C" w:rsidRPr="00E85CFE" w:rsidRDefault="00EC1F6C" w:rsidP="00EC1F6C">
      <w:pPr>
        <w:spacing w:after="0" w:line="240" w:lineRule="auto"/>
        <w:jc w:val="both"/>
        <w:rPr>
          <w:rFonts w:ascii="Times New Roman" w:eastAsia="Courier New" w:hAnsi="Times New Roman" w:cs="Times New Roman"/>
          <w:color w:val="000000"/>
          <w:sz w:val="21"/>
          <w:szCs w:val="21"/>
        </w:rPr>
      </w:pPr>
      <w:r w:rsidRPr="00E85CFE">
        <w:rPr>
          <w:rFonts w:ascii="Times New Roman" w:eastAsia="Courier New" w:hAnsi="Times New Roman" w:cs="Times New Roman"/>
          <w:b/>
          <w:color w:val="000000"/>
          <w:sz w:val="21"/>
          <w:szCs w:val="21"/>
        </w:rPr>
        <w:lastRenderedPageBreak/>
        <w:t>Supplementary figure 2.</w:t>
      </w:r>
      <w:r w:rsidRPr="00E85CFE">
        <w:rPr>
          <w:rFonts w:ascii="Times New Roman" w:eastAsia="Courier New" w:hAnsi="Times New Roman" w:cs="Times New Roman"/>
          <w:color w:val="000000"/>
          <w:sz w:val="21"/>
          <w:szCs w:val="21"/>
        </w:rPr>
        <w:t xml:space="preserve"> </w:t>
      </w:r>
      <w:r w:rsidRPr="00E85CFE">
        <w:rPr>
          <w:rFonts w:ascii="Times New Roman" w:eastAsia="Courier New" w:hAnsi="Times New Roman" w:cs="Times New Roman"/>
          <w:b/>
          <w:color w:val="000000"/>
          <w:sz w:val="21"/>
          <w:szCs w:val="21"/>
        </w:rPr>
        <w:t>No mutations in melting regions of N gene targets in U</w:t>
      </w:r>
      <w:r>
        <w:rPr>
          <w:rFonts w:ascii="Times New Roman" w:eastAsia="Courier New" w:hAnsi="Times New Roman" w:cs="Times New Roman"/>
          <w:b/>
          <w:color w:val="000000"/>
          <w:sz w:val="21"/>
          <w:szCs w:val="21"/>
        </w:rPr>
        <w:t xml:space="preserve">S </w:t>
      </w:r>
      <w:r w:rsidRPr="00E85CFE">
        <w:rPr>
          <w:rFonts w:ascii="Times New Roman" w:eastAsia="Courier New" w:hAnsi="Times New Roman" w:cs="Times New Roman"/>
          <w:b/>
          <w:color w:val="000000"/>
          <w:sz w:val="21"/>
          <w:szCs w:val="21"/>
        </w:rPr>
        <w:t>CDC protocol. (</w:t>
      </w:r>
      <w:r w:rsidRPr="00E85CFE">
        <w:rPr>
          <w:rFonts w:ascii="Times New Roman" w:eastAsia="Courier New" w:hAnsi="Times New Roman" w:cs="Times New Roman"/>
          <w:color w:val="000000"/>
          <w:sz w:val="21"/>
          <w:szCs w:val="21"/>
        </w:rPr>
        <w:t xml:space="preserve">A) Sequence of the first case of SARS-COV-2 infection was compared with disposable N gene sequences from Latin American isolates until September 2020. (B-C) shows no mutation </w:t>
      </w:r>
      <w:r w:rsidRPr="00E85CFE">
        <w:rPr>
          <w:rFonts w:ascii="Times New Roman" w:eastAsia="Courier New" w:hAnsi="Times New Roman" w:cs="Times New Roman"/>
          <w:sz w:val="21"/>
          <w:szCs w:val="21"/>
        </w:rPr>
        <w:t>in the region</w:t>
      </w:r>
      <w:r w:rsidRPr="00E85CFE">
        <w:rPr>
          <w:rFonts w:ascii="Times New Roman" w:eastAsia="Courier New" w:hAnsi="Times New Roman" w:cs="Times New Roman"/>
          <w:color w:val="000000"/>
          <w:sz w:val="21"/>
          <w:szCs w:val="21"/>
        </w:rPr>
        <w:t xml:space="preserve"> of N1 and N2 targets in the analyzed sequences. </w:t>
      </w:r>
    </w:p>
    <w:p w14:paraId="7189C780" w14:textId="77777777" w:rsidR="00EC1F6C" w:rsidRPr="00E85CFE" w:rsidRDefault="00EC1F6C" w:rsidP="00EC1F6C">
      <w:pPr>
        <w:spacing w:after="0" w:line="240" w:lineRule="auto"/>
        <w:jc w:val="both"/>
        <w:rPr>
          <w:rFonts w:ascii="Times New Roman" w:eastAsia="Courier New" w:hAnsi="Times New Roman" w:cs="Times New Roman"/>
          <w:color w:val="000000"/>
          <w:sz w:val="21"/>
          <w:szCs w:val="21"/>
        </w:rPr>
      </w:pPr>
    </w:p>
    <w:p w14:paraId="4DB76EB0" w14:textId="77777777" w:rsidR="00EC1F6C" w:rsidRPr="00E85CFE" w:rsidRDefault="00EC1F6C" w:rsidP="00EC1F6C">
      <w:pPr>
        <w:spacing w:after="0" w:line="240" w:lineRule="auto"/>
        <w:jc w:val="both"/>
        <w:rPr>
          <w:rFonts w:ascii="Times New Roman" w:eastAsia="Courier New" w:hAnsi="Times New Roman" w:cs="Times New Roman"/>
          <w:color w:val="000000"/>
          <w:sz w:val="21"/>
          <w:szCs w:val="21"/>
        </w:rPr>
      </w:pPr>
      <w:r w:rsidRPr="00E85CFE">
        <w:rPr>
          <w:rFonts w:ascii="Times New Roman" w:eastAsia="Courier New" w:hAnsi="Times New Roman" w:cs="Times New Roman"/>
          <w:color w:val="000000"/>
          <w:sz w:val="21"/>
          <w:szCs w:val="21"/>
        </w:rPr>
        <w:t>(A)</w:t>
      </w:r>
    </w:p>
    <w:p w14:paraId="111E3314" w14:textId="77777777" w:rsidR="00EC1F6C" w:rsidRPr="00E85CFE" w:rsidRDefault="00EC1F6C" w:rsidP="00EC1F6C">
      <w:pPr>
        <w:spacing w:after="0" w:line="240" w:lineRule="auto"/>
        <w:jc w:val="both"/>
        <w:rPr>
          <w:rFonts w:ascii="Times New Roman" w:eastAsia="Courier New" w:hAnsi="Times New Roman" w:cs="Times New Roman"/>
          <w:color w:val="000000"/>
          <w:sz w:val="21"/>
          <w:szCs w:val="21"/>
        </w:rPr>
      </w:pPr>
    </w:p>
    <w:p w14:paraId="4E9A3146" w14:textId="77777777" w:rsidR="00EC1F6C" w:rsidRPr="004F15DC" w:rsidRDefault="00EC1F6C" w:rsidP="00EC1F6C">
      <w:pPr>
        <w:spacing w:after="0" w:line="240" w:lineRule="auto"/>
        <w:jc w:val="both"/>
        <w:rPr>
          <w:rFonts w:ascii="Courier New" w:eastAsia="Courier New" w:hAnsi="Courier New" w:cs="Courier New"/>
          <w:color w:val="000000"/>
          <w:sz w:val="21"/>
          <w:szCs w:val="21"/>
        </w:rPr>
      </w:pPr>
      <w:r w:rsidRPr="004F15DC">
        <w:rPr>
          <w:rFonts w:ascii="Courier New" w:eastAsia="Courier New" w:hAnsi="Courier New" w:cs="Courier New"/>
          <w:color w:val="000000"/>
          <w:sz w:val="21"/>
          <w:szCs w:val="21"/>
        </w:rPr>
        <w:t>&gt;NC_045512.2:28274-29533 Severe acute respiratory syndrome coronavirus 2 isolate Wuhan-Hu-1, complete genome</w:t>
      </w:r>
    </w:p>
    <w:p w14:paraId="0C612E50" w14:textId="77777777" w:rsidR="00EC1F6C" w:rsidRPr="004F15DC" w:rsidRDefault="00EC1F6C" w:rsidP="00EC1F6C">
      <w:pPr>
        <w:spacing w:after="0" w:line="240" w:lineRule="auto"/>
        <w:jc w:val="both"/>
        <w:rPr>
          <w:rFonts w:ascii="Courier New" w:eastAsia="Courier New" w:hAnsi="Courier New" w:cs="Courier New"/>
          <w:color w:val="000000"/>
          <w:sz w:val="21"/>
          <w:szCs w:val="21"/>
        </w:rPr>
      </w:pPr>
      <w:r w:rsidRPr="004F15DC">
        <w:rPr>
          <w:rFonts w:ascii="Courier New" w:eastAsia="Courier New" w:hAnsi="Courier New" w:cs="Courier New"/>
          <w:color w:val="000000"/>
          <w:sz w:val="21"/>
          <w:szCs w:val="21"/>
        </w:rPr>
        <w:t>ATGTCTGATAATG</w:t>
      </w:r>
      <w:r w:rsidRPr="004F15DC">
        <w:rPr>
          <w:rFonts w:ascii="Courier New" w:eastAsia="Courier New" w:hAnsi="Courier New" w:cs="Courier New"/>
          <w:color w:val="000000"/>
          <w:sz w:val="21"/>
          <w:szCs w:val="21"/>
          <w:highlight w:val="lightGray"/>
        </w:rPr>
        <w:t>GACCCCAAAATCAGCGAAAT</w:t>
      </w:r>
      <w:r w:rsidRPr="004F15DC">
        <w:rPr>
          <w:rFonts w:ascii="Courier New" w:eastAsia="Courier New" w:hAnsi="Courier New" w:cs="Courier New"/>
          <w:color w:val="000000"/>
          <w:sz w:val="21"/>
          <w:szCs w:val="21"/>
        </w:rPr>
        <w:t>GC</w:t>
      </w:r>
      <w:r w:rsidRPr="004F15DC">
        <w:rPr>
          <w:rFonts w:ascii="Courier New" w:eastAsia="Courier New" w:hAnsi="Courier New" w:cs="Courier New"/>
          <w:color w:val="000000"/>
          <w:sz w:val="21"/>
          <w:szCs w:val="21"/>
          <w:highlight w:val="darkGray"/>
        </w:rPr>
        <w:t>ACCCCGCATTACGTTTGGTGGACC</w:t>
      </w:r>
      <w:r w:rsidRPr="004F15DC">
        <w:rPr>
          <w:rFonts w:ascii="Courier New" w:eastAsia="Courier New" w:hAnsi="Courier New" w:cs="Courier New"/>
          <w:color w:val="000000"/>
          <w:sz w:val="21"/>
          <w:szCs w:val="21"/>
        </w:rPr>
        <w:t>CT</w:t>
      </w:r>
      <w:r w:rsidRPr="004F15DC">
        <w:rPr>
          <w:rFonts w:ascii="Courier New" w:eastAsia="Courier New" w:hAnsi="Courier New" w:cs="Courier New"/>
          <w:color w:val="000000"/>
          <w:sz w:val="21"/>
          <w:szCs w:val="21"/>
          <w:highlight w:val="lightGray"/>
        </w:rPr>
        <w:t>CAGATTCAACTGGCAGTAACCAGA</w:t>
      </w:r>
      <w:r w:rsidRPr="004F15DC">
        <w:rPr>
          <w:rFonts w:ascii="Courier New" w:eastAsia="Courier New" w:hAnsi="Courier New" w:cs="Courier New"/>
          <w:color w:val="000000"/>
          <w:sz w:val="21"/>
          <w:szCs w:val="21"/>
        </w:rPr>
        <w:t>ATGGAGAACGCAGTGGGGCGCGATCAAAACAACGTCGGCCCCAAGGTTTACCCAATAATACTGCGTCTTGGTTCACCGCTCTCACTCAACATGGCAAGGAAGACCTTAAATTCCCTCGAGGACAAGGCGTTCCAATTAACACCAATAGCAGTCCAGATGACCAAATTGGCTACTACCGAAGAGCTACCAGACGAATTCGTGGTGGTGACGGTAAAATGAAAGATCTCAGTCCAAGATGGTATTTCTACTACCTAGGAACTGGGCCAGAAGCTGGACTTCCCTATGGTGCTAACAAAGACGGCATCATATGGGTTGCAACTGAGGGAGCCTTGAATACACCAAAAGATCACATTGGCACCCGCAATCCTGCTAACAATGCTGCAATCGTGCTACAACTTCCTCAAGGAACAACATTGCCAAAAGGCTTCTACGCAGAAGGGAGCAGAGGCGGCAGTCAAGCCTCTTCTCGTTCCTCATCACGTAGTCGCAACAGTTCAAGAAATTCAACTCCAGGCAGCAGTAGGGGAACTTCTCCTGCTAGAATGGCTGGCAATGGCGGTGATGCTGCTCTTGCTTTGCTGCTGCTTGACAGATTGAACCAGCTTGAGAGCAAAATGTCTGGTAAAGGCCAACAACAACAAGGCCAAACTGTCACTAAGAAATCTGCTGCTGAGGCTTCTAAGAAGCCTCGGCAAAAACGTACTGCCACTAAAGCATACAATGTAACACAAGCTTTCGGCAGACGTGGTCCAGAACAAACCCAAGGAAATTTTGGGGACCAGGAACTAATCAGACAAGGAACTGA</w:t>
      </w:r>
      <w:r w:rsidRPr="004F15DC">
        <w:rPr>
          <w:rFonts w:ascii="Courier New" w:eastAsia="Courier New" w:hAnsi="Courier New" w:cs="Courier New"/>
          <w:color w:val="000000"/>
          <w:sz w:val="21"/>
          <w:szCs w:val="21"/>
          <w:highlight w:val="lightGray"/>
        </w:rPr>
        <w:t>TTACAAACATTGGCCGCAAA</w:t>
      </w:r>
      <w:r w:rsidRPr="004F15DC">
        <w:rPr>
          <w:rFonts w:ascii="Courier New" w:eastAsia="Courier New" w:hAnsi="Courier New" w:cs="Courier New"/>
          <w:color w:val="000000"/>
          <w:sz w:val="21"/>
          <w:szCs w:val="21"/>
        </w:rPr>
        <w:t>TTGC</w:t>
      </w:r>
      <w:r w:rsidRPr="004F15DC">
        <w:rPr>
          <w:rFonts w:ascii="Courier New" w:eastAsia="Courier New" w:hAnsi="Courier New" w:cs="Courier New"/>
          <w:color w:val="000000"/>
          <w:sz w:val="21"/>
          <w:szCs w:val="21"/>
          <w:highlight w:val="darkGray"/>
        </w:rPr>
        <w:t>ACAATTTGCCCCCAGCGCTTCAG</w:t>
      </w:r>
      <w:r w:rsidRPr="004F15DC">
        <w:rPr>
          <w:rFonts w:ascii="Courier New" w:eastAsia="Courier New" w:hAnsi="Courier New" w:cs="Courier New"/>
          <w:color w:val="000000"/>
          <w:sz w:val="21"/>
          <w:szCs w:val="21"/>
        </w:rPr>
        <w:t>CG</w:t>
      </w:r>
      <w:r w:rsidRPr="004F15DC">
        <w:rPr>
          <w:rFonts w:ascii="Courier New" w:eastAsia="Courier New" w:hAnsi="Courier New" w:cs="Courier New"/>
          <w:color w:val="000000"/>
          <w:sz w:val="21"/>
          <w:szCs w:val="21"/>
          <w:highlight w:val="lightGray"/>
        </w:rPr>
        <w:t>TTCTTCGGAATGTCGCGC</w:t>
      </w:r>
      <w:r w:rsidRPr="004F15DC">
        <w:rPr>
          <w:rFonts w:ascii="Courier New" w:eastAsia="Courier New" w:hAnsi="Courier New" w:cs="Courier New"/>
          <w:color w:val="000000"/>
          <w:sz w:val="21"/>
          <w:szCs w:val="21"/>
        </w:rPr>
        <w:t>ATTGGCATGGAAGTCACACCTTCGGGAACGTGGTTGACCTACACAGGTGCCATCAAATTGGATGACAAAGATCCAAATTTCAAAGATCAAGTCATTTTGCTGAATAAGCATATTGACGCATACAAAACATTCCCACCAACAGAGCCTAAAAAGGACAAAAAGAAGAAGGCTGATGAAACTCAAGCCTTACCGCAGAGACAGAAGAAACAGCAAACTGTGACTCTTCTTCCTGCTGCAGATTTGGATGATTTCTCCAAACAATTGCAACAATCCATGAGCAGTGCTGACTCAACTCAGGCCTAA</w:t>
      </w:r>
    </w:p>
    <w:p w14:paraId="073A6B6A" w14:textId="77777777" w:rsidR="00EC1F6C" w:rsidRPr="00E85CFE" w:rsidRDefault="00EC1F6C" w:rsidP="00EC1F6C">
      <w:pPr>
        <w:spacing w:after="0" w:line="240" w:lineRule="auto"/>
        <w:jc w:val="both"/>
        <w:rPr>
          <w:rFonts w:ascii="Times New Roman" w:eastAsia="Courier New" w:hAnsi="Times New Roman" w:cs="Times New Roman"/>
          <w:color w:val="000000"/>
          <w:sz w:val="21"/>
          <w:szCs w:val="21"/>
        </w:rPr>
      </w:pPr>
    </w:p>
    <w:p w14:paraId="67376565" w14:textId="77777777" w:rsidR="00EC1F6C" w:rsidRPr="00E85CFE" w:rsidRDefault="00EC1F6C" w:rsidP="00EC1F6C">
      <w:pPr>
        <w:spacing w:after="0" w:line="240" w:lineRule="auto"/>
        <w:jc w:val="both"/>
        <w:rPr>
          <w:rFonts w:ascii="Times New Roman" w:eastAsia="Courier New" w:hAnsi="Times New Roman" w:cs="Times New Roman"/>
          <w:color w:val="000000"/>
          <w:sz w:val="21"/>
          <w:szCs w:val="21"/>
        </w:rPr>
      </w:pPr>
      <w:r w:rsidRPr="00E85CFE">
        <w:rPr>
          <w:rFonts w:ascii="Times New Roman" w:eastAsia="Courier New" w:hAnsi="Times New Roman" w:cs="Times New Roman"/>
          <w:color w:val="000000"/>
          <w:sz w:val="21"/>
          <w:szCs w:val="21"/>
        </w:rPr>
        <w:t>(B)</w:t>
      </w:r>
    </w:p>
    <w:p w14:paraId="655A14BA" w14:textId="3F73B556" w:rsidR="00EC1F6C" w:rsidRDefault="00EC1F6C" w:rsidP="00EC1F6C">
      <w:pPr>
        <w:spacing w:after="0" w:line="240" w:lineRule="auto"/>
        <w:jc w:val="both"/>
        <w:rPr>
          <w:rFonts w:ascii="Times New Roman" w:eastAsia="Courier New" w:hAnsi="Times New Roman" w:cs="Times New Roman"/>
          <w:color w:val="000000"/>
          <w:sz w:val="21"/>
          <w:szCs w:val="21"/>
        </w:rPr>
      </w:pPr>
      <w:r w:rsidRPr="00E85CFE">
        <w:rPr>
          <w:rFonts w:ascii="Times New Roman" w:eastAsia="Courier New" w:hAnsi="Times New Roman" w:cs="Times New Roman"/>
          <w:noProof/>
          <w:color w:val="000000"/>
          <w:sz w:val="21"/>
          <w:szCs w:val="21"/>
        </w:rPr>
        <w:drawing>
          <wp:inline distT="0" distB="0" distL="0" distR="0" wp14:anchorId="4AD4A804" wp14:editId="5B3E7D04">
            <wp:extent cx="6517005" cy="3115945"/>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517005" cy="3115945"/>
                    </a:xfrm>
                    <a:prstGeom prst="rect">
                      <a:avLst/>
                    </a:prstGeom>
                    <a:noFill/>
                    <a:ln>
                      <a:noFill/>
                    </a:ln>
                  </pic:spPr>
                </pic:pic>
              </a:graphicData>
            </a:graphic>
          </wp:inline>
        </w:drawing>
      </w:r>
      <w:r>
        <w:rPr>
          <w:rFonts w:ascii="Times New Roman" w:eastAsia="Courier New" w:hAnsi="Times New Roman" w:cs="Times New Roman"/>
          <w:color w:val="000000"/>
          <w:sz w:val="21"/>
          <w:szCs w:val="21"/>
        </w:rPr>
        <w:br w:type="page"/>
      </w:r>
    </w:p>
    <w:p w14:paraId="4BDA0A12" w14:textId="77777777" w:rsidR="00EC1F6C" w:rsidRPr="00E85CFE" w:rsidRDefault="00EC1F6C" w:rsidP="00EC1F6C">
      <w:pPr>
        <w:spacing w:after="0" w:line="240" w:lineRule="auto"/>
        <w:jc w:val="both"/>
        <w:rPr>
          <w:rFonts w:ascii="Times New Roman" w:eastAsia="Courier New" w:hAnsi="Times New Roman" w:cs="Times New Roman"/>
          <w:color w:val="000000"/>
          <w:sz w:val="21"/>
          <w:szCs w:val="21"/>
        </w:rPr>
      </w:pPr>
      <w:r w:rsidRPr="00E85CFE">
        <w:rPr>
          <w:rFonts w:ascii="Times New Roman" w:eastAsia="Courier New" w:hAnsi="Times New Roman" w:cs="Times New Roman"/>
          <w:color w:val="000000"/>
          <w:sz w:val="21"/>
          <w:szCs w:val="21"/>
        </w:rPr>
        <w:lastRenderedPageBreak/>
        <w:t>(C)</w:t>
      </w:r>
    </w:p>
    <w:p w14:paraId="641205B4" w14:textId="68D7A671" w:rsidR="00EC1F6C" w:rsidRPr="00EC1F6C" w:rsidRDefault="00EC1F6C" w:rsidP="00EC1F6C">
      <w:pPr>
        <w:spacing w:after="0" w:line="240" w:lineRule="auto"/>
        <w:jc w:val="both"/>
        <w:rPr>
          <w:rFonts w:ascii="Times New Roman" w:eastAsia="Courier New" w:hAnsi="Times New Roman" w:cs="Times New Roman"/>
          <w:color w:val="000000"/>
          <w:sz w:val="21"/>
          <w:szCs w:val="21"/>
        </w:rPr>
      </w:pPr>
      <w:r w:rsidRPr="00E85CFE">
        <w:rPr>
          <w:rFonts w:ascii="Times New Roman" w:eastAsia="Courier New" w:hAnsi="Times New Roman" w:cs="Times New Roman"/>
          <w:noProof/>
          <w:color w:val="000000"/>
          <w:sz w:val="21"/>
          <w:szCs w:val="21"/>
        </w:rPr>
        <w:drawing>
          <wp:inline distT="0" distB="0" distL="0" distR="0" wp14:anchorId="074EDAF2" wp14:editId="77323D3E">
            <wp:extent cx="6028055" cy="3581400"/>
            <wp:effectExtent l="0" t="0" r="0" b="0"/>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028055" cy="3581400"/>
                    </a:xfrm>
                    <a:prstGeom prst="rect">
                      <a:avLst/>
                    </a:prstGeom>
                    <a:noFill/>
                    <a:ln>
                      <a:noFill/>
                    </a:ln>
                  </pic:spPr>
                </pic:pic>
              </a:graphicData>
            </a:graphic>
          </wp:inline>
        </w:drawing>
      </w:r>
    </w:p>
    <w:sectPr w:rsidR="00EC1F6C" w:rsidRPr="00EC1F6C" w:rsidSect="00EC1F6C">
      <w:footerReference w:type="default" r:id="rId13"/>
      <w:pgSz w:w="11906" w:h="16838"/>
      <w:pgMar w:top="1417" w:right="1701" w:bottom="1417" w:left="1701"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A6D7F0" w14:textId="77777777" w:rsidR="00BF7CE0" w:rsidRDefault="00BF7CE0">
      <w:pPr>
        <w:spacing w:after="0" w:line="240" w:lineRule="auto"/>
      </w:pPr>
      <w:r>
        <w:separator/>
      </w:r>
    </w:p>
  </w:endnote>
  <w:endnote w:type="continuationSeparator" w:id="0">
    <w:p w14:paraId="5BD0F473" w14:textId="77777777" w:rsidR="00BF7CE0" w:rsidRDefault="00BF7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5717521"/>
      <w:docPartObj>
        <w:docPartGallery w:val="Page Numbers (Bottom of Page)"/>
        <w:docPartUnique/>
      </w:docPartObj>
    </w:sdtPr>
    <w:sdtEndPr/>
    <w:sdtContent>
      <w:p w14:paraId="5D6470BA" w14:textId="77777777" w:rsidR="008358AF" w:rsidRDefault="00EC1F6C">
        <w:pPr>
          <w:pStyle w:val="Rodap"/>
          <w:jc w:val="right"/>
        </w:pPr>
        <w:r>
          <w:fldChar w:fldCharType="begin"/>
        </w:r>
        <w:r>
          <w:instrText>PAGE   \* MERGEFORMAT</w:instrText>
        </w:r>
        <w:r>
          <w:fldChar w:fldCharType="separate"/>
        </w:r>
        <w:r>
          <w:rPr>
            <w:lang w:val="pt-BR"/>
          </w:rPr>
          <w:t>2</w:t>
        </w:r>
        <w:r>
          <w:fldChar w:fldCharType="end"/>
        </w:r>
      </w:p>
    </w:sdtContent>
  </w:sdt>
  <w:p w14:paraId="71457D7D" w14:textId="77777777" w:rsidR="000544B3" w:rsidRDefault="00BF7C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6128D1" w14:textId="77777777" w:rsidR="00BF7CE0" w:rsidRDefault="00BF7CE0">
      <w:pPr>
        <w:spacing w:after="0" w:line="240" w:lineRule="auto"/>
      </w:pPr>
      <w:r>
        <w:separator/>
      </w:r>
    </w:p>
  </w:footnote>
  <w:footnote w:type="continuationSeparator" w:id="0">
    <w:p w14:paraId="350C3C04" w14:textId="77777777" w:rsidR="00BF7CE0" w:rsidRDefault="00BF7CE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F6C"/>
    <w:rsid w:val="00890023"/>
    <w:rsid w:val="00BF7CE0"/>
    <w:rsid w:val="00EC1F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22244"/>
  <w15:chartTrackingRefBased/>
  <w15:docId w15:val="{F9CE5C78-AECF-4852-A1C2-591FEED39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F6C"/>
    <w:rPr>
      <w:rFonts w:ascii="Calibri" w:eastAsia="Calibri" w:hAnsi="Calibri" w:cs="Calibri"/>
      <w:lang w:val="en-US"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EC1F6C"/>
    <w:pPr>
      <w:tabs>
        <w:tab w:val="center" w:pos="4252"/>
        <w:tab w:val="right" w:pos="8504"/>
      </w:tabs>
      <w:spacing w:after="0" w:line="240" w:lineRule="auto"/>
    </w:pPr>
  </w:style>
  <w:style w:type="character" w:customStyle="1" w:styleId="RodapChar">
    <w:name w:val="Rodapé Char"/>
    <w:basedOn w:val="Fontepargpadro"/>
    <w:link w:val="Rodap"/>
    <w:uiPriority w:val="99"/>
    <w:rsid w:val="00EC1F6C"/>
    <w:rPr>
      <w:rFonts w:ascii="Calibri" w:eastAsia="Calibri" w:hAnsi="Calibri" w:cs="Calibri"/>
      <w:lang w:val="en-US" w:eastAsia="pt-BR"/>
    </w:rPr>
  </w:style>
  <w:style w:type="character" w:styleId="Nmerodelinha">
    <w:name w:val="line number"/>
    <w:basedOn w:val="Fontepargpadro"/>
    <w:uiPriority w:val="99"/>
    <w:semiHidden/>
    <w:unhideWhenUsed/>
    <w:rsid w:val="00EC1F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3AA20-4ADD-477C-89DC-4EAA0CC88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344</Words>
  <Characters>1965</Characters>
  <Application>Microsoft Office Word</Application>
  <DocSecurity>0</DocSecurity>
  <Lines>16</Lines>
  <Paragraphs>4</Paragraphs>
  <ScaleCrop>false</ScaleCrop>
  <Company/>
  <LinksUpToDate>false</LinksUpToDate>
  <CharactersWithSpaces>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 araujo santos</dc:creator>
  <cp:keywords/>
  <dc:description/>
  <cp:lastModifiedBy>jonilson lima</cp:lastModifiedBy>
  <cp:revision>2</cp:revision>
  <dcterms:created xsi:type="dcterms:W3CDTF">2020-12-06T23:07:00Z</dcterms:created>
  <dcterms:modified xsi:type="dcterms:W3CDTF">2020-12-06T23:07:00Z</dcterms:modified>
</cp:coreProperties>
</file>