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888A2" w14:textId="77777777" w:rsidR="00DA0B80" w:rsidRPr="00EB3F2A" w:rsidRDefault="00DA0B80" w:rsidP="00DA0B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Appendix 5: Inclusion of “Conditions of People Affected by the Crisis” </w:t>
      </w:r>
    </w:p>
    <w:p w14:paraId="78AE773B" w14:textId="77777777" w:rsidR="00DA0B80" w:rsidRDefault="00DA0B80" w:rsidP="00DA0B80">
      <w:pPr>
        <w:spacing w:after="0" w:line="240" w:lineRule="auto"/>
        <w:rPr>
          <w:rFonts w:cstheme="minorHAnsi"/>
          <w:b/>
        </w:rPr>
      </w:pPr>
    </w:p>
    <w:p w14:paraId="5820FE1B" w14:textId="7D58F257" w:rsidR="00DA0B80" w:rsidRDefault="00DA0B80" w:rsidP="00DA0B80">
      <w:pPr>
        <w:spacing w:after="0" w:line="240" w:lineRule="auto"/>
        <w:jc w:val="both"/>
      </w:pPr>
      <w:r w:rsidRPr="00355975">
        <w:rPr>
          <w:rFonts w:cstheme="minorHAnsi"/>
          <w:color w:val="000000" w:themeColor="text1"/>
        </w:rPr>
        <w:t>Calculating the number of people in need of humanitarian assistance is standard metric of providing humanitarian assistance.</w:t>
      </w:r>
      <w:r w:rsidR="00922FEF" w:rsidRPr="00355975">
        <w:rPr>
          <w:rFonts w:cstheme="minorHAnsi"/>
          <w:color w:val="000000" w:themeColor="text1"/>
        </w:rPr>
        <w:t xml:space="preserve"> </w:t>
      </w:r>
      <w:r w:rsidR="008276EC" w:rsidRPr="00355975">
        <w:rPr>
          <w:rFonts w:cstheme="minorHAnsi"/>
          <w:color w:val="000000" w:themeColor="text1"/>
        </w:rPr>
        <w:t xml:space="preserve">The </w:t>
      </w:r>
      <w:r w:rsidR="008276EC" w:rsidRPr="00355975">
        <w:rPr>
          <w:rFonts w:cstheme="minorHAnsi"/>
        </w:rPr>
        <w:t>m</w:t>
      </w:r>
      <w:r w:rsidR="008276EC" w:rsidRPr="003B5696">
        <w:rPr>
          <w:rFonts w:cstheme="minorHAnsi"/>
        </w:rPr>
        <w:t xml:space="preserve">ost common </w:t>
      </w:r>
      <w:r w:rsidR="00046C3C" w:rsidRPr="003B5696">
        <w:rPr>
          <w:rFonts w:cstheme="minorHAnsi"/>
        </w:rPr>
        <w:t xml:space="preserve">data </w:t>
      </w:r>
      <w:r w:rsidR="008276EC" w:rsidRPr="003B5696">
        <w:rPr>
          <w:rFonts w:cstheme="minorHAnsi"/>
        </w:rPr>
        <w:t xml:space="preserve">sources include humanitarian needs assessment, </w:t>
      </w:r>
      <w:r w:rsidR="00981F4E" w:rsidRPr="003B5696">
        <w:rPr>
          <w:rFonts w:cstheme="minorHAnsi"/>
        </w:rPr>
        <w:t xml:space="preserve">an </w:t>
      </w:r>
      <w:r w:rsidR="00981F4E" w:rsidRPr="003B5696">
        <w:rPr>
          <w:rFonts w:cstheme="minorHAnsi"/>
          <w:shd w:val="clear" w:color="auto" w:fill="FFFFFF"/>
        </w:rPr>
        <w:t>Integrated Phase Classification</w:t>
      </w:r>
      <w:r w:rsidR="00981F4E" w:rsidRPr="003B5696">
        <w:rPr>
          <w:rFonts w:cstheme="minorHAnsi"/>
        </w:rPr>
        <w:t xml:space="preserve"> </w:t>
      </w:r>
      <w:r w:rsidR="00981F4E" w:rsidRPr="00355975">
        <w:rPr>
          <w:rFonts w:cstheme="minorHAnsi"/>
        </w:rPr>
        <w:t>(</w:t>
      </w:r>
      <w:r w:rsidR="008276EC" w:rsidRPr="00355975">
        <w:rPr>
          <w:rFonts w:cstheme="minorHAnsi"/>
        </w:rPr>
        <w:t>IPC</w:t>
      </w:r>
      <w:r w:rsidR="00981F4E" w:rsidRPr="00355975">
        <w:rPr>
          <w:rFonts w:cstheme="minorHAnsi"/>
        </w:rPr>
        <w:t>)</w:t>
      </w:r>
      <w:r w:rsidR="008276EC" w:rsidRPr="00355975">
        <w:rPr>
          <w:rFonts w:cstheme="minorHAnsi"/>
        </w:rPr>
        <w:t xml:space="preserve"> assessment or </w:t>
      </w:r>
      <w:r w:rsidR="008276EC" w:rsidRPr="00355975">
        <w:rPr>
          <w:rFonts w:cstheme="minorHAnsi"/>
          <w:i/>
          <w:iCs/>
        </w:rPr>
        <w:t xml:space="preserve">cadre </w:t>
      </w:r>
      <w:proofErr w:type="spellStart"/>
      <w:r w:rsidR="008276EC" w:rsidRPr="00355975">
        <w:rPr>
          <w:rFonts w:cstheme="minorHAnsi"/>
          <w:i/>
          <w:iCs/>
        </w:rPr>
        <w:t>harmonise</w:t>
      </w:r>
      <w:proofErr w:type="spellEnd"/>
      <w:r w:rsidR="008276EC" w:rsidRPr="00355975">
        <w:rPr>
          <w:rFonts w:cstheme="minorHAnsi"/>
        </w:rPr>
        <w:t xml:space="preserve">, displacement data </w:t>
      </w:r>
      <w:r w:rsidR="00011EEB" w:rsidRPr="00355975">
        <w:rPr>
          <w:rFonts w:cstheme="minorHAnsi"/>
        </w:rPr>
        <w:t xml:space="preserve">collected </w:t>
      </w:r>
      <w:r w:rsidR="00E66D75" w:rsidRPr="00355975">
        <w:rPr>
          <w:rFonts w:cstheme="minorHAnsi"/>
        </w:rPr>
        <w:t>in the I</w:t>
      </w:r>
      <w:r w:rsidR="005170AA" w:rsidRPr="00355975">
        <w:rPr>
          <w:rFonts w:cstheme="minorHAnsi"/>
        </w:rPr>
        <w:t>n</w:t>
      </w:r>
      <w:r w:rsidR="00E66D75" w:rsidRPr="00355975">
        <w:rPr>
          <w:rFonts w:cstheme="minorHAnsi"/>
        </w:rPr>
        <w:t>t</w:t>
      </w:r>
      <w:r w:rsidR="005170AA" w:rsidRPr="00355975">
        <w:rPr>
          <w:rFonts w:cstheme="minorHAnsi"/>
        </w:rPr>
        <w:t>ern</w:t>
      </w:r>
      <w:r w:rsidR="00E66D75" w:rsidRPr="00355975">
        <w:rPr>
          <w:rFonts w:cstheme="minorHAnsi"/>
        </w:rPr>
        <w:t xml:space="preserve">ational </w:t>
      </w:r>
      <w:r w:rsidR="005170AA" w:rsidRPr="00355975">
        <w:rPr>
          <w:rFonts w:cstheme="minorHAnsi"/>
        </w:rPr>
        <w:t>Organization</w:t>
      </w:r>
      <w:r w:rsidR="00E66D75" w:rsidRPr="00355975">
        <w:rPr>
          <w:rFonts w:cstheme="minorHAnsi"/>
        </w:rPr>
        <w:t xml:space="preserve"> for Migration’s (IOM)</w:t>
      </w:r>
      <w:r w:rsidR="00011EEB" w:rsidRPr="00355975">
        <w:rPr>
          <w:rFonts w:cstheme="minorHAnsi"/>
        </w:rPr>
        <w:t xml:space="preserve"> </w:t>
      </w:r>
      <w:r w:rsidR="00E66D75" w:rsidRPr="00355975">
        <w:rPr>
          <w:rFonts w:cstheme="minorHAnsi"/>
        </w:rPr>
        <w:t>Displacement Tracking Matrix (</w:t>
      </w:r>
      <w:r w:rsidR="008276EC" w:rsidRPr="00355975">
        <w:rPr>
          <w:rFonts w:cstheme="minorHAnsi"/>
        </w:rPr>
        <w:t>DTM</w:t>
      </w:r>
      <w:r w:rsidR="00E66D75" w:rsidRPr="00355975">
        <w:rPr>
          <w:rFonts w:cstheme="minorHAnsi"/>
        </w:rPr>
        <w:t>)</w:t>
      </w:r>
      <w:r w:rsidR="008276EC" w:rsidRPr="00355975">
        <w:rPr>
          <w:rFonts w:cstheme="minorHAnsi"/>
        </w:rPr>
        <w:t xml:space="preserve"> tool</w:t>
      </w:r>
      <w:r w:rsidR="005170AA" w:rsidRPr="00355975">
        <w:rPr>
          <w:rFonts w:cstheme="minorHAnsi"/>
        </w:rPr>
        <w:t>,</w:t>
      </w:r>
      <w:r w:rsidR="008276EC" w:rsidRPr="00355975">
        <w:rPr>
          <w:rFonts w:cstheme="minorHAnsi"/>
        </w:rPr>
        <w:t xml:space="preserve"> and </w:t>
      </w:r>
      <w:r w:rsidR="00962326" w:rsidRPr="00355975">
        <w:rPr>
          <w:rFonts w:cstheme="minorHAnsi"/>
        </w:rPr>
        <w:t xml:space="preserve">information provided from </w:t>
      </w:r>
      <w:r w:rsidR="004F02C8">
        <w:rPr>
          <w:rFonts w:cstheme="minorHAnsi"/>
        </w:rPr>
        <w:t>United National High Commissioner for Refugees (</w:t>
      </w:r>
      <w:r w:rsidR="008276EC" w:rsidRPr="00355975">
        <w:rPr>
          <w:rFonts w:cstheme="minorHAnsi"/>
        </w:rPr>
        <w:t>UNHCR</w:t>
      </w:r>
      <w:r w:rsidR="004F02C8">
        <w:rPr>
          <w:rFonts w:cstheme="minorHAnsi"/>
        </w:rPr>
        <w:t>)</w:t>
      </w:r>
      <w:r w:rsidR="008276EC" w:rsidRPr="00355975">
        <w:rPr>
          <w:rFonts w:cstheme="minorHAnsi"/>
        </w:rPr>
        <w:t xml:space="preserve">. </w:t>
      </w:r>
      <w:r w:rsidR="00417E44" w:rsidRPr="00355975">
        <w:rPr>
          <w:rFonts w:cstheme="minorHAnsi"/>
        </w:rPr>
        <w:t xml:space="preserve">In addition, </w:t>
      </w:r>
      <w:r w:rsidR="00DF1BCA" w:rsidRPr="00355975">
        <w:rPr>
          <w:rFonts w:cstheme="minorHAnsi"/>
        </w:rPr>
        <w:t xml:space="preserve">if </w:t>
      </w:r>
      <w:r w:rsidR="00417E44" w:rsidRPr="00355975">
        <w:rPr>
          <w:rFonts w:cstheme="minorHAnsi"/>
        </w:rPr>
        <w:t xml:space="preserve">available, </w:t>
      </w:r>
      <w:r w:rsidR="008305A2" w:rsidRPr="00355975">
        <w:rPr>
          <w:rFonts w:cstheme="minorHAnsi"/>
        </w:rPr>
        <w:t>Humanitarian</w:t>
      </w:r>
      <w:r w:rsidR="00417E44" w:rsidRPr="00355975">
        <w:rPr>
          <w:rFonts w:cstheme="minorHAnsi"/>
        </w:rPr>
        <w:t xml:space="preserve"> Response Plans (HRPs) and Humanitarian Needs Overview (</w:t>
      </w:r>
      <w:r w:rsidR="008276EC" w:rsidRPr="00355975">
        <w:rPr>
          <w:rFonts w:cstheme="minorHAnsi"/>
        </w:rPr>
        <w:t>HNO</w:t>
      </w:r>
      <w:r w:rsidR="008305A2" w:rsidRPr="00355975">
        <w:rPr>
          <w:rFonts w:cstheme="minorHAnsi"/>
        </w:rPr>
        <w:t>s), which are reports that compile multiple data sources</w:t>
      </w:r>
      <w:r w:rsidR="00355975" w:rsidRPr="00355975">
        <w:rPr>
          <w:rFonts w:cstheme="minorHAnsi"/>
        </w:rPr>
        <w:t xml:space="preserve"> on humanitarian crises</w:t>
      </w:r>
      <w:r w:rsidR="008305A2" w:rsidRPr="00355975">
        <w:rPr>
          <w:rFonts w:cstheme="minorHAnsi"/>
        </w:rPr>
        <w:t xml:space="preserve">, </w:t>
      </w:r>
      <w:r w:rsidR="008276EC" w:rsidRPr="00355975">
        <w:rPr>
          <w:rFonts w:cstheme="minorHAnsi"/>
        </w:rPr>
        <w:t>are usually prioritized as a source.</w:t>
      </w:r>
      <w:r w:rsidRPr="00355975">
        <w:rPr>
          <w:rFonts w:cstheme="minorHAnsi"/>
          <w:color w:val="000000" w:themeColor="text1"/>
        </w:rPr>
        <w:t xml:space="preserve"> </w:t>
      </w:r>
      <w:r w:rsidR="00485D6A" w:rsidRPr="00355975">
        <w:rPr>
          <w:rFonts w:cstheme="minorHAnsi"/>
          <w:color w:val="000000" w:themeColor="text1"/>
        </w:rPr>
        <w:t>However, d</w:t>
      </w:r>
      <w:r w:rsidR="003F6635" w:rsidRPr="00355975">
        <w:rPr>
          <w:rFonts w:cstheme="minorHAnsi"/>
          <w:color w:val="000000" w:themeColor="text1"/>
        </w:rPr>
        <w:t>espite</w:t>
      </w:r>
      <w:r w:rsidR="00485D6A" w:rsidRPr="00355975">
        <w:rPr>
          <w:rFonts w:cstheme="minorHAnsi"/>
          <w:color w:val="000000" w:themeColor="text1"/>
        </w:rPr>
        <w:t xml:space="preserve"> their programmatic importance, indicators</w:t>
      </w:r>
      <w:r w:rsidR="00355975" w:rsidRPr="00355975">
        <w:rPr>
          <w:rFonts w:cstheme="minorHAnsi"/>
          <w:color w:val="000000" w:themeColor="text1"/>
        </w:rPr>
        <w:t xml:space="preserve"> reflecting people in need</w:t>
      </w:r>
      <w:r w:rsidRPr="00355975">
        <w:rPr>
          <w:rFonts w:cstheme="minorHAnsi"/>
        </w:rPr>
        <w:t>, but were removed from our model building process. Because such calculations are standard in distribution of humanitarian</w:t>
      </w:r>
      <w:r>
        <w:t xml:space="preserve"> aid, we re-ran the second-order </w:t>
      </w:r>
      <w:r w:rsidR="008309D3">
        <w:t>Confirmatory Factor Analysis (</w:t>
      </w:r>
      <w:r>
        <w:t>CFA</w:t>
      </w:r>
      <w:r w:rsidR="008309D3">
        <w:t>)</w:t>
      </w:r>
      <w:r>
        <w:t xml:space="preserve"> model and included the two ‘condition of the people’ indicators</w:t>
      </w:r>
      <w:r>
        <w:rPr>
          <w:rStyle w:val="FootnoteReference"/>
        </w:rPr>
        <w:footnoteReference w:id="2"/>
      </w:r>
      <w:r>
        <w:t xml:space="preserve"> as standalone independent variables (rather than latent constructs, since the two indicators are not correlated). Specifically, we ran the following models CFAs: </w:t>
      </w:r>
    </w:p>
    <w:p w14:paraId="04C12C67" w14:textId="77777777" w:rsidR="00DA0B80" w:rsidRDefault="00DA0B80" w:rsidP="00DA0B80">
      <w:pPr>
        <w:spacing w:after="0" w:line="240" w:lineRule="auto"/>
        <w:jc w:val="both"/>
      </w:pPr>
    </w:p>
    <w:p w14:paraId="01D10FB0" w14:textId="77777777" w:rsidR="00DA0B80" w:rsidRDefault="00DA0B80" w:rsidP="00DA0B80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Model 1: Second-order CFA + People in Need + People Affected</w:t>
      </w:r>
    </w:p>
    <w:p w14:paraId="4C53831E" w14:textId="77777777" w:rsidR="00DA0B80" w:rsidRDefault="00DA0B80" w:rsidP="00DA0B80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 xml:space="preserve">Model 2: Second-order CFA + People in Need </w:t>
      </w:r>
    </w:p>
    <w:p w14:paraId="3AD9E7DF" w14:textId="77777777" w:rsidR="00DA0B80" w:rsidRDefault="00DA0B80" w:rsidP="00DA0B80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Model 3: Second-order CFA + People Affected</w:t>
      </w:r>
    </w:p>
    <w:p w14:paraId="54A13BEA" w14:textId="77777777" w:rsidR="00DA0B80" w:rsidRDefault="00DA0B80" w:rsidP="00DA0B80">
      <w:pPr>
        <w:spacing w:after="0" w:line="240" w:lineRule="auto"/>
        <w:jc w:val="both"/>
      </w:pPr>
    </w:p>
    <w:p w14:paraId="48845B0C" w14:textId="16F3B6CE" w:rsidR="00DA0B80" w:rsidRDefault="00DA0B80" w:rsidP="00DA0B80">
      <w:pPr>
        <w:spacing w:after="0" w:line="240" w:lineRule="auto"/>
        <w:jc w:val="both"/>
      </w:pPr>
      <w:r>
        <w:t xml:space="preserve">We compare the model diagnostics of the above model to the second-order CFA in the main text (Appendix Table 5.1). Additionally, we examined descriptive statistics for the severity score calculated by each model; we also evaluated the Pearson correlation coefficient and intraclass correlation coefficient (ICC) of each model to that of the second-order CFA in the main text (Appendix Table 5.2). Specifically, we examined an ICC for agreement with two-way mixed affects and fixed </w:t>
      </w:r>
      <w:proofErr w:type="spellStart"/>
      <w:r>
        <w:t>raters</w:t>
      </w:r>
      <w:proofErr w:type="spellEnd"/>
      <w:r>
        <w:t>. The correlations provide insight into the reliability and agreement of the results.</w:t>
      </w:r>
      <w:r w:rsidR="00112862">
        <w:t xml:space="preserve"> </w:t>
      </w:r>
    </w:p>
    <w:p w14:paraId="18A5A970" w14:textId="77777777" w:rsidR="00DA0B80" w:rsidRDefault="00DA0B80" w:rsidP="00DA0B80">
      <w:pPr>
        <w:spacing w:after="0" w:line="240" w:lineRule="auto"/>
        <w:jc w:val="both"/>
      </w:pPr>
    </w:p>
    <w:tbl>
      <w:tblPr>
        <w:tblW w:w="10619" w:type="dxa"/>
        <w:jc w:val="center"/>
        <w:tblLook w:val="04A0" w:firstRow="1" w:lastRow="0" w:firstColumn="1" w:lastColumn="0" w:noHBand="0" w:noVBand="1"/>
      </w:tblPr>
      <w:tblGrid>
        <w:gridCol w:w="1019"/>
        <w:gridCol w:w="1567"/>
        <w:gridCol w:w="701"/>
        <w:gridCol w:w="701"/>
        <w:gridCol w:w="852"/>
        <w:gridCol w:w="1379"/>
        <w:gridCol w:w="1606"/>
        <w:gridCol w:w="826"/>
        <w:gridCol w:w="927"/>
        <w:gridCol w:w="1041"/>
      </w:tblGrid>
      <w:tr w:rsidR="00DA0B80" w:rsidRPr="00794CB6" w14:paraId="15948816" w14:textId="77777777" w:rsidTr="006A7F65">
        <w:trPr>
          <w:trHeight w:val="239"/>
          <w:jc w:val="center"/>
        </w:trPr>
        <w:tc>
          <w:tcPr>
            <w:tcW w:w="0" w:type="auto"/>
            <w:gridSpan w:val="10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61EB81" w14:textId="42401115" w:rsidR="00DA0B80" w:rsidRPr="00482293" w:rsidRDefault="00DA0B80" w:rsidP="006A7F6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Appendix Table 5.1. </w:t>
            </w:r>
            <w:r w:rsidRPr="009A3B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Fit statistics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Factor ladings for each model. Fit statistics include </w:t>
            </w:r>
            <w:r w:rsidRPr="009A3B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Chi-squared goodness of fit test statistic, Comparative Fit Index (CFI), Tucker-Lewis Index (TLI), and Root Mean Square Error of Approximation (RMSEA) Index (</w:t>
            </w:r>
            <w:r w:rsidR="001D6FB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GCSI</w:t>
            </w:r>
            <w:r w:rsidRPr="009A3B96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 dataset</w:t>
            </w:r>
            <w:r w:rsidRPr="00EB311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, 2019</w:t>
            </w:r>
            <w:r w:rsidRPr="009A3B96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N=172</w:t>
            </w:r>
            <w:r w:rsidRPr="009A3B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).</w:t>
            </w:r>
          </w:p>
        </w:tc>
      </w:tr>
      <w:tr w:rsidR="00DA0B80" w:rsidRPr="00794CB6" w14:paraId="030611B9" w14:textId="77777777" w:rsidTr="006A7F65">
        <w:trPr>
          <w:trHeight w:val="23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356DC2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Models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0AD67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482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Model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Fit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92110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482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Factor Loadings</w:t>
            </w:r>
          </w:p>
        </w:tc>
      </w:tr>
      <w:tr w:rsidR="00DA0B80" w:rsidRPr="00794CB6" w14:paraId="3C6CF3E2" w14:textId="77777777" w:rsidTr="006A7F65">
        <w:trPr>
          <w:trHeight w:val="2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E28E72" w14:textId="77777777" w:rsidR="00DA0B80" w:rsidRPr="00482293" w:rsidRDefault="00DA0B80" w:rsidP="006A7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F73A7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Chi-squared goodness of fit (degrees of freedom)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475AE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36DE6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C0628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RMSEA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4F66A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Societ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al Governance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DF7BB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Humanitarian access/safety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595C1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Impact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ED844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People in need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B89AA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People affected</w:t>
            </w:r>
          </w:p>
        </w:tc>
      </w:tr>
      <w:tr w:rsidR="00DA0B80" w:rsidRPr="00794CB6" w14:paraId="52D30700" w14:textId="77777777" w:rsidTr="006A7F65">
        <w:trPr>
          <w:trHeight w:val="2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4F6A0" w14:textId="77777777" w:rsidR="00DA0B80" w:rsidRPr="00482293" w:rsidRDefault="00DA0B80" w:rsidP="006A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2395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 (61)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FBB3B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B7CC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E067E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BF381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96CA3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97BB5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BCE6E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B3F95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0.48</w:t>
            </w:r>
          </w:p>
        </w:tc>
      </w:tr>
      <w:tr w:rsidR="00DA0B80" w:rsidRPr="00794CB6" w14:paraId="2B0F83EE" w14:textId="77777777" w:rsidTr="006A7F65">
        <w:trPr>
          <w:trHeight w:val="11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7CF8" w14:textId="77777777" w:rsidR="00DA0B80" w:rsidRPr="00482293" w:rsidRDefault="00DA0B80" w:rsidP="006A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6F422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159 (50)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0A57A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90D18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8080A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5BEC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42F9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E4D48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A2B0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92A7B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DA0B80" w:rsidRPr="00794CB6" w14:paraId="3A489E5F" w14:textId="77777777" w:rsidTr="006A7F65">
        <w:trPr>
          <w:trHeight w:val="479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4513BC" w14:textId="77777777" w:rsidR="00DA0B80" w:rsidRPr="00482293" w:rsidRDefault="00DA0B80" w:rsidP="006A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12D7B5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 (50)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EA0E60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0.924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36479F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669B4A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61BD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733E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D470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F18808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6F5A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0.41</w:t>
            </w:r>
          </w:p>
        </w:tc>
      </w:tr>
      <w:tr w:rsidR="00DA0B80" w:rsidRPr="00794CB6" w14:paraId="266DDB30" w14:textId="77777777" w:rsidTr="006A7F65">
        <w:trPr>
          <w:trHeight w:val="239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071B7" w14:textId="77777777" w:rsidR="00DA0B80" w:rsidRPr="00482293" w:rsidRDefault="00DA0B80" w:rsidP="006A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Model in </w:t>
            </w:r>
            <w:r w:rsidRPr="00794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 text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72CBB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 (40)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BE50F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F7C90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A93EE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9CF5B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48AE1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0DC1D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92078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F96EE" w14:textId="77777777" w:rsidR="00DA0B80" w:rsidRPr="00482293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14:paraId="5F7E9927" w14:textId="77777777" w:rsidR="00DA0B80" w:rsidRDefault="00DA0B80" w:rsidP="00DA0B80">
      <w:pPr>
        <w:spacing w:after="0" w:line="240" w:lineRule="auto"/>
        <w:jc w:val="both"/>
      </w:pPr>
    </w:p>
    <w:p w14:paraId="16C64968" w14:textId="704C5934" w:rsidR="00DA0B80" w:rsidRDefault="00DA0B80" w:rsidP="00DA0B80">
      <w:pPr>
        <w:spacing w:after="0" w:line="240" w:lineRule="auto"/>
        <w:jc w:val="both"/>
      </w:pPr>
    </w:p>
    <w:p w14:paraId="3C0715C1" w14:textId="76DA5C4F" w:rsidR="003B5696" w:rsidRDefault="003B5696" w:rsidP="00DA0B80">
      <w:pPr>
        <w:spacing w:after="0" w:line="240" w:lineRule="auto"/>
        <w:jc w:val="both"/>
      </w:pPr>
    </w:p>
    <w:p w14:paraId="321442AE" w14:textId="4E4EC9FA" w:rsidR="003B5696" w:rsidRDefault="003B5696" w:rsidP="00DA0B80">
      <w:pPr>
        <w:spacing w:after="0" w:line="240" w:lineRule="auto"/>
        <w:jc w:val="both"/>
      </w:pPr>
    </w:p>
    <w:p w14:paraId="3FA76193" w14:textId="13571182" w:rsidR="003B5696" w:rsidRDefault="003B5696" w:rsidP="00DA0B80">
      <w:pPr>
        <w:spacing w:after="0" w:line="240" w:lineRule="auto"/>
        <w:jc w:val="both"/>
      </w:pPr>
    </w:p>
    <w:p w14:paraId="0E47582F" w14:textId="620EC024" w:rsidR="003B5696" w:rsidRDefault="003B5696" w:rsidP="00DA0B80">
      <w:pPr>
        <w:spacing w:after="0" w:line="240" w:lineRule="auto"/>
        <w:jc w:val="both"/>
      </w:pPr>
    </w:p>
    <w:p w14:paraId="6AEE0057" w14:textId="478FEC96" w:rsidR="003B5696" w:rsidRDefault="003B5696" w:rsidP="00DA0B80">
      <w:pPr>
        <w:spacing w:after="0" w:line="240" w:lineRule="auto"/>
        <w:jc w:val="both"/>
      </w:pPr>
    </w:p>
    <w:p w14:paraId="77740E61" w14:textId="3A58A1EA" w:rsidR="003B5696" w:rsidRDefault="003B5696" w:rsidP="00DA0B80">
      <w:pPr>
        <w:spacing w:after="0" w:line="240" w:lineRule="auto"/>
        <w:jc w:val="both"/>
      </w:pPr>
    </w:p>
    <w:p w14:paraId="75485F74" w14:textId="77777777" w:rsidR="003B5696" w:rsidRDefault="003B5696" w:rsidP="00DA0B80">
      <w:pPr>
        <w:spacing w:after="0" w:line="240" w:lineRule="auto"/>
        <w:jc w:val="both"/>
      </w:pPr>
    </w:p>
    <w:tbl>
      <w:tblPr>
        <w:tblW w:w="8342" w:type="dxa"/>
        <w:jc w:val="center"/>
        <w:tblLook w:val="04A0" w:firstRow="1" w:lastRow="0" w:firstColumn="1" w:lastColumn="0" w:noHBand="0" w:noVBand="1"/>
      </w:tblPr>
      <w:tblGrid>
        <w:gridCol w:w="2432"/>
        <w:gridCol w:w="854"/>
        <w:gridCol w:w="698"/>
        <w:gridCol w:w="2144"/>
        <w:gridCol w:w="2214"/>
      </w:tblGrid>
      <w:tr w:rsidR="00DA0B80" w:rsidRPr="00AC7ADE" w14:paraId="673A03F1" w14:textId="77777777" w:rsidTr="006A7F65">
        <w:trPr>
          <w:trHeight w:val="269"/>
          <w:jc w:val="center"/>
        </w:trPr>
        <w:tc>
          <w:tcPr>
            <w:tcW w:w="834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AE542" w14:textId="2EDC3550" w:rsidR="00DA0B80" w:rsidRPr="00E5222F" w:rsidRDefault="00DA0B80" w:rsidP="006A7F6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Appendix Table 5.2.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Descriptive</w:t>
            </w:r>
            <w:r w:rsidRPr="009A3B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statistics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for latent severity crisis scores in each model: Median, mean, Pearson correlation coefficient, and intraclass correlation coefficient (ICC), with 95% confidence interval (CI)</w:t>
            </w:r>
            <w:r w:rsidRPr="009A3B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1D6FB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GCSI</w:t>
            </w:r>
            <w:r w:rsidRPr="009A3B96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 dataset</w:t>
            </w:r>
            <w:r w:rsidRPr="00EB311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, 2019</w:t>
            </w:r>
            <w:r w:rsidRPr="009A3B96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N=172</w:t>
            </w:r>
            <w:r w:rsidRPr="009A3B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).</w:t>
            </w:r>
          </w:p>
        </w:tc>
      </w:tr>
      <w:tr w:rsidR="00DA0B80" w:rsidRPr="00AC7ADE" w14:paraId="05F5D637" w14:textId="77777777" w:rsidTr="006A7F65">
        <w:trPr>
          <w:trHeight w:val="269"/>
          <w:jc w:val="center"/>
        </w:trPr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63521" w14:textId="77777777" w:rsidR="00DA0B80" w:rsidRPr="00E5222F" w:rsidRDefault="00DA0B80" w:rsidP="006A7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22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Models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10123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22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586DC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22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39C62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22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Pearson correlation coefficient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33C1D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22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ICC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(95% CI)</w:t>
            </w:r>
            <w:r w:rsidRPr="00E522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A0B80" w:rsidRPr="00AC7ADE" w14:paraId="13F48CD6" w14:textId="77777777" w:rsidTr="006A7F65">
        <w:trPr>
          <w:trHeight w:val="269"/>
          <w:jc w:val="center"/>
        </w:trPr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7BFDE" w14:textId="77777777" w:rsidR="00DA0B80" w:rsidRPr="00E5222F" w:rsidRDefault="00DA0B80" w:rsidP="006A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 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870DA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7ADE">
              <w:rPr>
                <w:rFonts w:ascii="Calibri" w:hAnsi="Calibri" w:cs="Calibr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E46CA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7ADE">
              <w:rPr>
                <w:rFonts w:ascii="Calibri" w:hAnsi="Calibri" w:cs="Calibr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AD4B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2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ADE07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7ADE">
              <w:rPr>
                <w:rFonts w:ascii="Calibri" w:hAnsi="Calibri" w:cs="Calibri"/>
                <w:color w:val="000000"/>
                <w:sz w:val="20"/>
                <w:szCs w:val="20"/>
              </w:rPr>
              <w:t>0.63 (0.53-0.71)</w:t>
            </w:r>
          </w:p>
        </w:tc>
      </w:tr>
      <w:tr w:rsidR="00DA0B80" w:rsidRPr="00AC7ADE" w14:paraId="3A2ADEBE" w14:textId="77777777" w:rsidTr="006A7F65">
        <w:trPr>
          <w:trHeight w:val="269"/>
          <w:jc w:val="center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B9C80" w14:textId="77777777" w:rsidR="00DA0B80" w:rsidRPr="00E5222F" w:rsidRDefault="00DA0B80" w:rsidP="006A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 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F9B2A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7ADE">
              <w:rPr>
                <w:rFonts w:ascii="Calibri" w:hAnsi="Calibri" w:cs="Calibr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06ABC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7ADE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64EB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2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B752B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7ADE">
              <w:rPr>
                <w:rFonts w:ascii="Calibri" w:hAnsi="Calibri" w:cs="Calibri"/>
                <w:color w:val="000000"/>
                <w:sz w:val="20"/>
                <w:szCs w:val="20"/>
              </w:rPr>
              <w:t>0.67 (0.58-0.75)</w:t>
            </w:r>
          </w:p>
        </w:tc>
      </w:tr>
      <w:tr w:rsidR="00DA0B80" w:rsidRPr="00AC7ADE" w14:paraId="799C485C" w14:textId="77777777" w:rsidTr="006A7F65">
        <w:trPr>
          <w:trHeight w:val="134"/>
          <w:jc w:val="center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FFD10" w14:textId="77777777" w:rsidR="00DA0B80" w:rsidRPr="00E5222F" w:rsidRDefault="00DA0B80" w:rsidP="006A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 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C00B8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2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44546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2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4B47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2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E82CA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2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0.98 (0.97-0.98)</w:t>
            </w:r>
          </w:p>
        </w:tc>
      </w:tr>
      <w:tr w:rsidR="00DA0B80" w:rsidRPr="00AC7ADE" w14:paraId="3B55CBEE" w14:textId="77777777" w:rsidTr="006A7F65">
        <w:trPr>
          <w:trHeight w:val="539"/>
          <w:jc w:val="center"/>
        </w:trPr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0EE79" w14:textId="77777777" w:rsidR="00DA0B80" w:rsidRPr="00E5222F" w:rsidRDefault="00DA0B80" w:rsidP="006A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Model in </w:t>
            </w:r>
            <w:r w:rsidRPr="00794C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 text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99E4F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2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AE40A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2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B14FA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06DEC" w14:textId="77777777" w:rsidR="00DA0B80" w:rsidRPr="00E5222F" w:rsidRDefault="00DA0B80" w:rsidP="006A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14:paraId="657D3117" w14:textId="77777777" w:rsidR="00DA0B80" w:rsidRDefault="00DA0B80" w:rsidP="00DA0B80">
      <w:pPr>
        <w:spacing w:after="0" w:line="240" w:lineRule="auto"/>
        <w:jc w:val="both"/>
      </w:pPr>
    </w:p>
    <w:p w14:paraId="0ED13213" w14:textId="1EB8C059" w:rsidR="00DA0B80" w:rsidRPr="00B230D2" w:rsidRDefault="00DA0B80" w:rsidP="00DA0B80">
      <w:pPr>
        <w:spacing w:after="0" w:line="240" w:lineRule="auto"/>
        <w:jc w:val="both"/>
      </w:pPr>
      <w:r>
        <w:t>Of the models, model 3 had the best fit and was comparable to the second-order CFA (Appendix Table 5.1). In addition, the factor loadings were comparable between these two models. Further evidence of comparability is provided by the descriptive statistics (Appendix Table 5.2); the severity scores from model 3 exhibited strong correlation and agreement with the final model of the main text (Pearson’s correlation coefficient=0.98; ICC=0.98 [95% CI 0.97-0.99]). Collectively, these results suggest that including the indicator for People Affected will generate comparable results to a model that excludes this information.</w:t>
      </w:r>
      <w:r w:rsidR="00112862">
        <w:t xml:space="preserve"> </w:t>
      </w:r>
    </w:p>
    <w:p w14:paraId="502F746C" w14:textId="77777777" w:rsidR="00DA0B80" w:rsidRDefault="00DA0B80">
      <w:pPr>
        <w:rPr>
          <w:b/>
          <w:bCs/>
        </w:rPr>
      </w:pPr>
    </w:p>
    <w:p w14:paraId="1D256C0D" w14:textId="457665CB" w:rsidR="00970C22" w:rsidRDefault="00970C22">
      <w:pPr>
        <w:rPr>
          <w:b/>
          <w:bCs/>
        </w:rPr>
      </w:pPr>
      <w:bookmarkStart w:id="0" w:name="_GoBack"/>
      <w:bookmarkEnd w:id="0"/>
    </w:p>
    <w:sectPr w:rsidR="00970C22" w:rsidSect="00D269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4876F" w16cex:dateUtc="2020-09-10T15:07:00Z"/>
  <w16cex:commentExtensible w16cex:durableId="2357B641" w16cex:dateUtc="2020-11-12T12:25:00Z"/>
  <w16cex:commentExtensible w16cex:durableId="2357B6A9" w16cex:dateUtc="2020-11-12T12:27:00Z"/>
  <w16cex:commentExtensible w16cex:durableId="23048989" w16cex:dateUtc="2020-09-10T15:16:00Z"/>
  <w16cex:commentExtensible w16cex:durableId="230489D2" w16cex:dateUtc="2020-09-10T15:17:00Z"/>
  <w16cex:commentExtensible w16cex:durableId="23048A66" w16cex:dateUtc="2020-09-10T15:20:00Z"/>
  <w16cex:commentExtensible w16cex:durableId="23048B00" w16cex:dateUtc="2020-09-10T15:22:00Z"/>
  <w16cex:commentExtensible w16cex:durableId="23048B6B" w16cex:dateUtc="2020-09-10T15:24:00Z"/>
  <w16cex:commentExtensible w16cex:durableId="2357BB90" w16cex:dateUtc="2020-11-12T12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4042C" w14:textId="77777777" w:rsidR="00EE14B3" w:rsidRDefault="00EE14B3" w:rsidP="00DA0B80">
      <w:pPr>
        <w:spacing w:after="0" w:line="240" w:lineRule="auto"/>
      </w:pPr>
      <w:r>
        <w:separator/>
      </w:r>
    </w:p>
  </w:endnote>
  <w:endnote w:type="continuationSeparator" w:id="0">
    <w:p w14:paraId="3F6A59E1" w14:textId="77777777" w:rsidR="00EE14B3" w:rsidRDefault="00EE14B3" w:rsidP="00DA0B80">
      <w:pPr>
        <w:spacing w:after="0" w:line="240" w:lineRule="auto"/>
      </w:pPr>
      <w:r>
        <w:continuationSeparator/>
      </w:r>
    </w:p>
  </w:endnote>
  <w:endnote w:type="continuationNotice" w:id="1">
    <w:p w14:paraId="1B131E91" w14:textId="77777777" w:rsidR="00EE14B3" w:rsidRDefault="00EE14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FAD83" w14:textId="77777777" w:rsidR="00DF6E8A" w:rsidRDefault="00DF6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C417C" w14:textId="77777777" w:rsidR="00DF6E8A" w:rsidRDefault="00DF6E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23375" w14:textId="77777777" w:rsidR="00DF6E8A" w:rsidRDefault="00DF6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E5C62" w14:textId="77777777" w:rsidR="00EE14B3" w:rsidRDefault="00EE14B3" w:rsidP="00DA0B80">
      <w:pPr>
        <w:spacing w:after="0" w:line="240" w:lineRule="auto"/>
      </w:pPr>
      <w:r>
        <w:separator/>
      </w:r>
    </w:p>
  </w:footnote>
  <w:footnote w:type="continuationSeparator" w:id="0">
    <w:p w14:paraId="42044346" w14:textId="77777777" w:rsidR="00EE14B3" w:rsidRDefault="00EE14B3" w:rsidP="00DA0B80">
      <w:pPr>
        <w:spacing w:after="0" w:line="240" w:lineRule="auto"/>
      </w:pPr>
      <w:r>
        <w:continuationSeparator/>
      </w:r>
    </w:p>
  </w:footnote>
  <w:footnote w:type="continuationNotice" w:id="1">
    <w:p w14:paraId="62E3A360" w14:textId="77777777" w:rsidR="00EE14B3" w:rsidRDefault="00EE14B3">
      <w:pPr>
        <w:spacing w:after="0" w:line="240" w:lineRule="auto"/>
      </w:pPr>
    </w:p>
  </w:footnote>
  <w:footnote w:id="2">
    <w:p w14:paraId="2EE07FED" w14:textId="77777777" w:rsidR="00172DBC" w:rsidRDefault="00172DBC" w:rsidP="00DA0B80">
      <w:pPr>
        <w:pStyle w:val="FootnoteText"/>
      </w:pPr>
      <w:r>
        <w:rPr>
          <w:rStyle w:val="FootnoteReference"/>
        </w:rPr>
        <w:footnoteRef/>
      </w:r>
      <w:r>
        <w:t xml:space="preserve"> Indicators: </w:t>
      </w:r>
      <w:r w:rsidRPr="007362FC">
        <w:rPr>
          <w:i/>
        </w:rPr>
        <w:t>Total People in Need</w:t>
      </w:r>
      <w:r>
        <w:t xml:space="preserve"> (referred to in the text as “People in Need”) and </w:t>
      </w:r>
      <w:r w:rsidRPr="007362FC">
        <w:rPr>
          <w:i/>
        </w:rPr>
        <w:t>Current humanitarian conditions of total population in the affected area</w:t>
      </w:r>
      <w:r>
        <w:rPr>
          <w:i/>
        </w:rPr>
        <w:t xml:space="preserve"> </w:t>
      </w:r>
      <w:r>
        <w:t>(referred to in the text as “People Affected”)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75548" w14:textId="77777777" w:rsidR="00DF6E8A" w:rsidRDefault="00DF6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3528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3AAE57" w14:textId="168929C1" w:rsidR="00831C56" w:rsidRDefault="00831C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EE082" w14:textId="77777777" w:rsidR="00172DBC" w:rsidRDefault="00172D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E6BA" w14:textId="77777777" w:rsidR="00DF6E8A" w:rsidRDefault="00DF6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FBA"/>
    <w:multiLevelType w:val="hybridMultilevel"/>
    <w:tmpl w:val="EE6895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487E"/>
    <w:multiLevelType w:val="hybridMultilevel"/>
    <w:tmpl w:val="B638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7185"/>
    <w:multiLevelType w:val="hybridMultilevel"/>
    <w:tmpl w:val="B65E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68B8"/>
    <w:multiLevelType w:val="hybridMultilevel"/>
    <w:tmpl w:val="3670E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6E6C"/>
    <w:multiLevelType w:val="hybridMultilevel"/>
    <w:tmpl w:val="DCB8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13405"/>
    <w:multiLevelType w:val="hybridMultilevel"/>
    <w:tmpl w:val="46A8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C6311"/>
    <w:multiLevelType w:val="hybridMultilevel"/>
    <w:tmpl w:val="83A2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16DD3"/>
    <w:multiLevelType w:val="hybridMultilevel"/>
    <w:tmpl w:val="0260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55D07"/>
    <w:multiLevelType w:val="hybridMultilevel"/>
    <w:tmpl w:val="5EAA1072"/>
    <w:lvl w:ilvl="0" w:tplc="43688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70BDF"/>
    <w:multiLevelType w:val="hybridMultilevel"/>
    <w:tmpl w:val="4CD0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B0E32"/>
    <w:multiLevelType w:val="hybridMultilevel"/>
    <w:tmpl w:val="7C52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2496A"/>
    <w:multiLevelType w:val="multilevel"/>
    <w:tmpl w:val="342C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FF1EAC"/>
    <w:multiLevelType w:val="hybridMultilevel"/>
    <w:tmpl w:val="742056D2"/>
    <w:lvl w:ilvl="0" w:tplc="6978BFD8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497A1E"/>
    <w:multiLevelType w:val="hybridMultilevel"/>
    <w:tmpl w:val="2644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C34DB"/>
    <w:multiLevelType w:val="hybridMultilevel"/>
    <w:tmpl w:val="F7541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F160A"/>
    <w:multiLevelType w:val="hybridMultilevel"/>
    <w:tmpl w:val="57C8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D2647"/>
    <w:multiLevelType w:val="hybridMultilevel"/>
    <w:tmpl w:val="6F90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3339F"/>
    <w:multiLevelType w:val="hybridMultilevel"/>
    <w:tmpl w:val="6C14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046FA"/>
    <w:multiLevelType w:val="hybridMultilevel"/>
    <w:tmpl w:val="504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7721D"/>
    <w:multiLevelType w:val="hybridMultilevel"/>
    <w:tmpl w:val="AD0C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527E"/>
    <w:multiLevelType w:val="hybridMultilevel"/>
    <w:tmpl w:val="FD22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C0884"/>
    <w:multiLevelType w:val="hybridMultilevel"/>
    <w:tmpl w:val="CC183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FB7F94"/>
    <w:multiLevelType w:val="hybridMultilevel"/>
    <w:tmpl w:val="26607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9002B"/>
    <w:multiLevelType w:val="hybridMultilevel"/>
    <w:tmpl w:val="2BCA4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19"/>
  </w:num>
  <w:num w:numId="7">
    <w:abstractNumId w:val="14"/>
  </w:num>
  <w:num w:numId="8">
    <w:abstractNumId w:val="22"/>
  </w:num>
  <w:num w:numId="9">
    <w:abstractNumId w:val="0"/>
  </w:num>
  <w:num w:numId="10">
    <w:abstractNumId w:val="16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1"/>
  </w:num>
  <w:num w:numId="16">
    <w:abstractNumId w:val="5"/>
  </w:num>
  <w:num w:numId="17">
    <w:abstractNumId w:val="12"/>
  </w:num>
  <w:num w:numId="18">
    <w:abstractNumId w:val="20"/>
  </w:num>
  <w:num w:numId="19">
    <w:abstractNumId w:val="11"/>
  </w:num>
  <w:num w:numId="20">
    <w:abstractNumId w:val="8"/>
  </w:num>
  <w:num w:numId="21">
    <w:abstractNumId w:val="18"/>
  </w:num>
  <w:num w:numId="22">
    <w:abstractNumId w:val="2"/>
  </w:num>
  <w:num w:numId="23">
    <w:abstractNumId w:val="13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3NjcxMDI2sDQwMjRW0lEKTi0uzszPAykwrAUAaAvdtiwAAAA="/>
  </w:docVars>
  <w:rsids>
    <w:rsidRoot w:val="00433775"/>
    <w:rsid w:val="000072D7"/>
    <w:rsid w:val="00010070"/>
    <w:rsid w:val="00011EEB"/>
    <w:rsid w:val="000127A5"/>
    <w:rsid w:val="00014939"/>
    <w:rsid w:val="00015353"/>
    <w:rsid w:val="00015689"/>
    <w:rsid w:val="0001671D"/>
    <w:rsid w:val="0001716D"/>
    <w:rsid w:val="00023780"/>
    <w:rsid w:val="00024BD8"/>
    <w:rsid w:val="0002621C"/>
    <w:rsid w:val="000266AD"/>
    <w:rsid w:val="00026846"/>
    <w:rsid w:val="00032B1D"/>
    <w:rsid w:val="00034F32"/>
    <w:rsid w:val="000360DB"/>
    <w:rsid w:val="0004576E"/>
    <w:rsid w:val="00045DEC"/>
    <w:rsid w:val="00046C3C"/>
    <w:rsid w:val="000554FA"/>
    <w:rsid w:val="00055F80"/>
    <w:rsid w:val="00056F50"/>
    <w:rsid w:val="00061400"/>
    <w:rsid w:val="000632DF"/>
    <w:rsid w:val="00065EE6"/>
    <w:rsid w:val="00066CB9"/>
    <w:rsid w:val="00067A0B"/>
    <w:rsid w:val="0007187C"/>
    <w:rsid w:val="00074295"/>
    <w:rsid w:val="00083028"/>
    <w:rsid w:val="000845F9"/>
    <w:rsid w:val="00085E27"/>
    <w:rsid w:val="00086623"/>
    <w:rsid w:val="00086653"/>
    <w:rsid w:val="00093A38"/>
    <w:rsid w:val="00095A0E"/>
    <w:rsid w:val="00096490"/>
    <w:rsid w:val="000B2C87"/>
    <w:rsid w:val="000B3114"/>
    <w:rsid w:val="000B7349"/>
    <w:rsid w:val="000C70DE"/>
    <w:rsid w:val="000C721D"/>
    <w:rsid w:val="000D1C27"/>
    <w:rsid w:val="000D3E91"/>
    <w:rsid w:val="000D5D5A"/>
    <w:rsid w:val="000D5D82"/>
    <w:rsid w:val="000D72B4"/>
    <w:rsid w:val="000D79C7"/>
    <w:rsid w:val="000E4644"/>
    <w:rsid w:val="000F062D"/>
    <w:rsid w:val="000F0915"/>
    <w:rsid w:val="000F6009"/>
    <w:rsid w:val="000F7372"/>
    <w:rsid w:val="000F739B"/>
    <w:rsid w:val="00100D8D"/>
    <w:rsid w:val="00101D2B"/>
    <w:rsid w:val="001028AA"/>
    <w:rsid w:val="00105961"/>
    <w:rsid w:val="0010640D"/>
    <w:rsid w:val="0010663A"/>
    <w:rsid w:val="00106674"/>
    <w:rsid w:val="00107F91"/>
    <w:rsid w:val="00112862"/>
    <w:rsid w:val="001132AC"/>
    <w:rsid w:val="00113519"/>
    <w:rsid w:val="00115A64"/>
    <w:rsid w:val="00117FA6"/>
    <w:rsid w:val="0012033A"/>
    <w:rsid w:val="00126390"/>
    <w:rsid w:val="00130E80"/>
    <w:rsid w:val="00131500"/>
    <w:rsid w:val="00132F9F"/>
    <w:rsid w:val="00133002"/>
    <w:rsid w:val="00142D52"/>
    <w:rsid w:val="001501C2"/>
    <w:rsid w:val="00153D62"/>
    <w:rsid w:val="00154FCC"/>
    <w:rsid w:val="0015622B"/>
    <w:rsid w:val="0016080A"/>
    <w:rsid w:val="00172856"/>
    <w:rsid w:val="00172DBC"/>
    <w:rsid w:val="00175DF9"/>
    <w:rsid w:val="0017757A"/>
    <w:rsid w:val="001874F0"/>
    <w:rsid w:val="00187AE7"/>
    <w:rsid w:val="0019116C"/>
    <w:rsid w:val="00192855"/>
    <w:rsid w:val="00193C41"/>
    <w:rsid w:val="00194637"/>
    <w:rsid w:val="00196E32"/>
    <w:rsid w:val="001A10D1"/>
    <w:rsid w:val="001A1DBE"/>
    <w:rsid w:val="001A591D"/>
    <w:rsid w:val="001A770C"/>
    <w:rsid w:val="001A7C31"/>
    <w:rsid w:val="001B05C0"/>
    <w:rsid w:val="001B12DF"/>
    <w:rsid w:val="001C042E"/>
    <w:rsid w:val="001C0D79"/>
    <w:rsid w:val="001C2217"/>
    <w:rsid w:val="001D352C"/>
    <w:rsid w:val="001D6FB3"/>
    <w:rsid w:val="001F2094"/>
    <w:rsid w:val="001F693A"/>
    <w:rsid w:val="00202491"/>
    <w:rsid w:val="00202C80"/>
    <w:rsid w:val="002058F1"/>
    <w:rsid w:val="00225E64"/>
    <w:rsid w:val="002349FC"/>
    <w:rsid w:val="00235D96"/>
    <w:rsid w:val="0023641B"/>
    <w:rsid w:val="002368D3"/>
    <w:rsid w:val="0024104C"/>
    <w:rsid w:val="002434CE"/>
    <w:rsid w:val="00245006"/>
    <w:rsid w:val="0024590F"/>
    <w:rsid w:val="002549C4"/>
    <w:rsid w:val="002567F1"/>
    <w:rsid w:val="00256C2A"/>
    <w:rsid w:val="002607B5"/>
    <w:rsid w:val="00261B4A"/>
    <w:rsid w:val="002674BD"/>
    <w:rsid w:val="00271F7C"/>
    <w:rsid w:val="00274C12"/>
    <w:rsid w:val="00284811"/>
    <w:rsid w:val="00292323"/>
    <w:rsid w:val="00294EDB"/>
    <w:rsid w:val="002A3ED5"/>
    <w:rsid w:val="002C0E30"/>
    <w:rsid w:val="002C271D"/>
    <w:rsid w:val="002C559B"/>
    <w:rsid w:val="002D2DAD"/>
    <w:rsid w:val="002E4B27"/>
    <w:rsid w:val="002F18EE"/>
    <w:rsid w:val="002F741B"/>
    <w:rsid w:val="003021CA"/>
    <w:rsid w:val="00304D0E"/>
    <w:rsid w:val="00306736"/>
    <w:rsid w:val="003215D0"/>
    <w:rsid w:val="003223ED"/>
    <w:rsid w:val="0033364D"/>
    <w:rsid w:val="00334C16"/>
    <w:rsid w:val="00335290"/>
    <w:rsid w:val="00340BE2"/>
    <w:rsid w:val="0034353E"/>
    <w:rsid w:val="003454A2"/>
    <w:rsid w:val="00345B21"/>
    <w:rsid w:val="00347E14"/>
    <w:rsid w:val="003503A2"/>
    <w:rsid w:val="00355975"/>
    <w:rsid w:val="00356270"/>
    <w:rsid w:val="003703B3"/>
    <w:rsid w:val="00376B74"/>
    <w:rsid w:val="00384A34"/>
    <w:rsid w:val="00385AAC"/>
    <w:rsid w:val="003936BF"/>
    <w:rsid w:val="003A2F85"/>
    <w:rsid w:val="003A342D"/>
    <w:rsid w:val="003A368B"/>
    <w:rsid w:val="003A3F45"/>
    <w:rsid w:val="003A3FCE"/>
    <w:rsid w:val="003A67D8"/>
    <w:rsid w:val="003B0859"/>
    <w:rsid w:val="003B2F4B"/>
    <w:rsid w:val="003B5696"/>
    <w:rsid w:val="003B6B71"/>
    <w:rsid w:val="003B7790"/>
    <w:rsid w:val="003B7AD4"/>
    <w:rsid w:val="003C1C50"/>
    <w:rsid w:val="003C38D9"/>
    <w:rsid w:val="003C3B74"/>
    <w:rsid w:val="003C40B4"/>
    <w:rsid w:val="003D072C"/>
    <w:rsid w:val="003D0D50"/>
    <w:rsid w:val="003D3542"/>
    <w:rsid w:val="003F0FB3"/>
    <w:rsid w:val="003F2613"/>
    <w:rsid w:val="003F6350"/>
    <w:rsid w:val="003F6635"/>
    <w:rsid w:val="003F794C"/>
    <w:rsid w:val="004033CD"/>
    <w:rsid w:val="0040446B"/>
    <w:rsid w:val="00414C42"/>
    <w:rsid w:val="004178CB"/>
    <w:rsid w:val="00417E44"/>
    <w:rsid w:val="00420541"/>
    <w:rsid w:val="004227E4"/>
    <w:rsid w:val="0042657E"/>
    <w:rsid w:val="004275E3"/>
    <w:rsid w:val="00433775"/>
    <w:rsid w:val="0043665D"/>
    <w:rsid w:val="00437889"/>
    <w:rsid w:val="00437CF8"/>
    <w:rsid w:val="00441F42"/>
    <w:rsid w:val="00442141"/>
    <w:rsid w:val="004422E8"/>
    <w:rsid w:val="00450B03"/>
    <w:rsid w:val="004511B5"/>
    <w:rsid w:val="00453190"/>
    <w:rsid w:val="004542AA"/>
    <w:rsid w:val="00457416"/>
    <w:rsid w:val="0046018F"/>
    <w:rsid w:val="00464318"/>
    <w:rsid w:val="00465D94"/>
    <w:rsid w:val="004716E2"/>
    <w:rsid w:val="00472DFE"/>
    <w:rsid w:val="00473046"/>
    <w:rsid w:val="00473FA1"/>
    <w:rsid w:val="004740A0"/>
    <w:rsid w:val="0047504B"/>
    <w:rsid w:val="00475D99"/>
    <w:rsid w:val="004766B7"/>
    <w:rsid w:val="0048224D"/>
    <w:rsid w:val="00485D6A"/>
    <w:rsid w:val="00496A62"/>
    <w:rsid w:val="004A1A7B"/>
    <w:rsid w:val="004A2A35"/>
    <w:rsid w:val="004A4437"/>
    <w:rsid w:val="004A46B0"/>
    <w:rsid w:val="004A4D66"/>
    <w:rsid w:val="004A67C1"/>
    <w:rsid w:val="004A6E05"/>
    <w:rsid w:val="004B656D"/>
    <w:rsid w:val="004B7CED"/>
    <w:rsid w:val="004C0FF9"/>
    <w:rsid w:val="004C3CE2"/>
    <w:rsid w:val="004D1702"/>
    <w:rsid w:val="004D6D72"/>
    <w:rsid w:val="004E06AE"/>
    <w:rsid w:val="004F006F"/>
    <w:rsid w:val="004F02C8"/>
    <w:rsid w:val="004F2162"/>
    <w:rsid w:val="004F473D"/>
    <w:rsid w:val="004F6E1B"/>
    <w:rsid w:val="00503864"/>
    <w:rsid w:val="00511EFD"/>
    <w:rsid w:val="00512B86"/>
    <w:rsid w:val="005170AA"/>
    <w:rsid w:val="00524E23"/>
    <w:rsid w:val="005269CC"/>
    <w:rsid w:val="0053119D"/>
    <w:rsid w:val="00533BD1"/>
    <w:rsid w:val="00541508"/>
    <w:rsid w:val="00542F2E"/>
    <w:rsid w:val="005469D8"/>
    <w:rsid w:val="00550A23"/>
    <w:rsid w:val="00551ADD"/>
    <w:rsid w:val="005527BE"/>
    <w:rsid w:val="005534A3"/>
    <w:rsid w:val="00556354"/>
    <w:rsid w:val="005564AE"/>
    <w:rsid w:val="00573C7E"/>
    <w:rsid w:val="00585F1A"/>
    <w:rsid w:val="00585F91"/>
    <w:rsid w:val="005B07EC"/>
    <w:rsid w:val="005B1A96"/>
    <w:rsid w:val="005B3AB3"/>
    <w:rsid w:val="005B6352"/>
    <w:rsid w:val="005B67BF"/>
    <w:rsid w:val="005B6834"/>
    <w:rsid w:val="005C037E"/>
    <w:rsid w:val="005C157A"/>
    <w:rsid w:val="005D2305"/>
    <w:rsid w:val="005D7C6E"/>
    <w:rsid w:val="005D7CCD"/>
    <w:rsid w:val="005E3022"/>
    <w:rsid w:val="005E7216"/>
    <w:rsid w:val="005E7393"/>
    <w:rsid w:val="005F0F8E"/>
    <w:rsid w:val="005F0FBB"/>
    <w:rsid w:val="005F2028"/>
    <w:rsid w:val="005F73E0"/>
    <w:rsid w:val="005F7511"/>
    <w:rsid w:val="00605DC3"/>
    <w:rsid w:val="00607603"/>
    <w:rsid w:val="0061478A"/>
    <w:rsid w:val="006157AE"/>
    <w:rsid w:val="00616AB5"/>
    <w:rsid w:val="00617031"/>
    <w:rsid w:val="00622531"/>
    <w:rsid w:val="00636714"/>
    <w:rsid w:val="00637DC1"/>
    <w:rsid w:val="00645490"/>
    <w:rsid w:val="006563D2"/>
    <w:rsid w:val="00657F7D"/>
    <w:rsid w:val="006648E1"/>
    <w:rsid w:val="006661FA"/>
    <w:rsid w:val="00670F5F"/>
    <w:rsid w:val="00675AD3"/>
    <w:rsid w:val="0068147C"/>
    <w:rsid w:val="00683EE3"/>
    <w:rsid w:val="006850BF"/>
    <w:rsid w:val="006A20EE"/>
    <w:rsid w:val="006A3A3C"/>
    <w:rsid w:val="006A3ECC"/>
    <w:rsid w:val="006A7F65"/>
    <w:rsid w:val="006B4B54"/>
    <w:rsid w:val="006B5D82"/>
    <w:rsid w:val="006C3563"/>
    <w:rsid w:val="006C5D46"/>
    <w:rsid w:val="006C7043"/>
    <w:rsid w:val="006D239A"/>
    <w:rsid w:val="006D3248"/>
    <w:rsid w:val="006D4AC5"/>
    <w:rsid w:val="006D6552"/>
    <w:rsid w:val="006D7CCD"/>
    <w:rsid w:val="006E3950"/>
    <w:rsid w:val="006E4499"/>
    <w:rsid w:val="006E4F30"/>
    <w:rsid w:val="006F7C80"/>
    <w:rsid w:val="006F7F0A"/>
    <w:rsid w:val="00703171"/>
    <w:rsid w:val="00705D43"/>
    <w:rsid w:val="00707EE2"/>
    <w:rsid w:val="00712C22"/>
    <w:rsid w:val="0071614D"/>
    <w:rsid w:val="0071741E"/>
    <w:rsid w:val="00726D1D"/>
    <w:rsid w:val="007313AB"/>
    <w:rsid w:val="0074141C"/>
    <w:rsid w:val="00745420"/>
    <w:rsid w:val="00745613"/>
    <w:rsid w:val="00746A23"/>
    <w:rsid w:val="00746C45"/>
    <w:rsid w:val="00747C05"/>
    <w:rsid w:val="00751674"/>
    <w:rsid w:val="00751B49"/>
    <w:rsid w:val="00754617"/>
    <w:rsid w:val="00757C04"/>
    <w:rsid w:val="00761095"/>
    <w:rsid w:val="007633F9"/>
    <w:rsid w:val="007655B2"/>
    <w:rsid w:val="00773186"/>
    <w:rsid w:val="007764BC"/>
    <w:rsid w:val="007779B3"/>
    <w:rsid w:val="007828D9"/>
    <w:rsid w:val="0078365A"/>
    <w:rsid w:val="00783C3B"/>
    <w:rsid w:val="00790AB5"/>
    <w:rsid w:val="00793D71"/>
    <w:rsid w:val="007966ED"/>
    <w:rsid w:val="00796986"/>
    <w:rsid w:val="007969EA"/>
    <w:rsid w:val="007A4412"/>
    <w:rsid w:val="007A525D"/>
    <w:rsid w:val="007A6846"/>
    <w:rsid w:val="007B713E"/>
    <w:rsid w:val="007C0F05"/>
    <w:rsid w:val="007C191F"/>
    <w:rsid w:val="007C32D1"/>
    <w:rsid w:val="007C44A9"/>
    <w:rsid w:val="007D038D"/>
    <w:rsid w:val="007D05B8"/>
    <w:rsid w:val="007D113D"/>
    <w:rsid w:val="007D31EB"/>
    <w:rsid w:val="007D41CB"/>
    <w:rsid w:val="007E7A5A"/>
    <w:rsid w:val="007F5DD4"/>
    <w:rsid w:val="007F771F"/>
    <w:rsid w:val="00800CDE"/>
    <w:rsid w:val="008019DF"/>
    <w:rsid w:val="00803D3C"/>
    <w:rsid w:val="00806283"/>
    <w:rsid w:val="0081018C"/>
    <w:rsid w:val="00811C91"/>
    <w:rsid w:val="00811DBF"/>
    <w:rsid w:val="00814149"/>
    <w:rsid w:val="0081678F"/>
    <w:rsid w:val="00821BB3"/>
    <w:rsid w:val="008257BD"/>
    <w:rsid w:val="00826C48"/>
    <w:rsid w:val="008276EC"/>
    <w:rsid w:val="008305A2"/>
    <w:rsid w:val="008309D3"/>
    <w:rsid w:val="00831C56"/>
    <w:rsid w:val="00831CC8"/>
    <w:rsid w:val="00834157"/>
    <w:rsid w:val="00834767"/>
    <w:rsid w:val="00836128"/>
    <w:rsid w:val="00836A76"/>
    <w:rsid w:val="008375D9"/>
    <w:rsid w:val="00841419"/>
    <w:rsid w:val="00841ED5"/>
    <w:rsid w:val="008436FD"/>
    <w:rsid w:val="008440D6"/>
    <w:rsid w:val="008449C3"/>
    <w:rsid w:val="00847050"/>
    <w:rsid w:val="00852589"/>
    <w:rsid w:val="00852B91"/>
    <w:rsid w:val="00853D41"/>
    <w:rsid w:val="00857D9E"/>
    <w:rsid w:val="008613F1"/>
    <w:rsid w:val="0086151C"/>
    <w:rsid w:val="008647DE"/>
    <w:rsid w:val="00865A40"/>
    <w:rsid w:val="00870F81"/>
    <w:rsid w:val="008734D0"/>
    <w:rsid w:val="008761C0"/>
    <w:rsid w:val="008822C1"/>
    <w:rsid w:val="00883727"/>
    <w:rsid w:val="008848E0"/>
    <w:rsid w:val="0088649B"/>
    <w:rsid w:val="00886F5B"/>
    <w:rsid w:val="008927DD"/>
    <w:rsid w:val="00896C8B"/>
    <w:rsid w:val="008A1228"/>
    <w:rsid w:val="008A26E5"/>
    <w:rsid w:val="008A4202"/>
    <w:rsid w:val="008B265F"/>
    <w:rsid w:val="008B4285"/>
    <w:rsid w:val="008B60BA"/>
    <w:rsid w:val="008C361B"/>
    <w:rsid w:val="008C5509"/>
    <w:rsid w:val="008D0DDA"/>
    <w:rsid w:val="008D1C30"/>
    <w:rsid w:val="008D3E1E"/>
    <w:rsid w:val="008D4E0E"/>
    <w:rsid w:val="008D5A23"/>
    <w:rsid w:val="008F3229"/>
    <w:rsid w:val="008F7083"/>
    <w:rsid w:val="008F72D4"/>
    <w:rsid w:val="00906B4F"/>
    <w:rsid w:val="00911FAE"/>
    <w:rsid w:val="0091282A"/>
    <w:rsid w:val="009136F1"/>
    <w:rsid w:val="00915466"/>
    <w:rsid w:val="00922FEF"/>
    <w:rsid w:val="00923E71"/>
    <w:rsid w:val="0093605F"/>
    <w:rsid w:val="009436C1"/>
    <w:rsid w:val="00946C8D"/>
    <w:rsid w:val="00946CB1"/>
    <w:rsid w:val="009513A1"/>
    <w:rsid w:val="0095468B"/>
    <w:rsid w:val="00956D34"/>
    <w:rsid w:val="00960498"/>
    <w:rsid w:val="00961043"/>
    <w:rsid w:val="00962326"/>
    <w:rsid w:val="00965304"/>
    <w:rsid w:val="00967027"/>
    <w:rsid w:val="00970C22"/>
    <w:rsid w:val="00972BCB"/>
    <w:rsid w:val="00972C7E"/>
    <w:rsid w:val="00980B4F"/>
    <w:rsid w:val="0098189A"/>
    <w:rsid w:val="00981E2F"/>
    <w:rsid w:val="00981F4E"/>
    <w:rsid w:val="00984C21"/>
    <w:rsid w:val="00985214"/>
    <w:rsid w:val="009901E1"/>
    <w:rsid w:val="00997B30"/>
    <w:rsid w:val="009A05E9"/>
    <w:rsid w:val="009A3F55"/>
    <w:rsid w:val="009A534A"/>
    <w:rsid w:val="009A6BC4"/>
    <w:rsid w:val="009A6F34"/>
    <w:rsid w:val="009A7D93"/>
    <w:rsid w:val="009B3D7A"/>
    <w:rsid w:val="009C2B12"/>
    <w:rsid w:val="009C663D"/>
    <w:rsid w:val="009C7F87"/>
    <w:rsid w:val="009D23A4"/>
    <w:rsid w:val="009D5C42"/>
    <w:rsid w:val="009D63A5"/>
    <w:rsid w:val="009D63F0"/>
    <w:rsid w:val="009E0BCB"/>
    <w:rsid w:val="009E13E8"/>
    <w:rsid w:val="009E1BC9"/>
    <w:rsid w:val="009E1DA2"/>
    <w:rsid w:val="009E2543"/>
    <w:rsid w:val="009E28E0"/>
    <w:rsid w:val="009E4EC1"/>
    <w:rsid w:val="009E5186"/>
    <w:rsid w:val="009F1414"/>
    <w:rsid w:val="009F64F6"/>
    <w:rsid w:val="00A02D1C"/>
    <w:rsid w:val="00A06097"/>
    <w:rsid w:val="00A13F29"/>
    <w:rsid w:val="00A20256"/>
    <w:rsid w:val="00A21A8D"/>
    <w:rsid w:val="00A2234C"/>
    <w:rsid w:val="00A23585"/>
    <w:rsid w:val="00A254AB"/>
    <w:rsid w:val="00A25A84"/>
    <w:rsid w:val="00A27C0C"/>
    <w:rsid w:val="00A346C1"/>
    <w:rsid w:val="00A41D67"/>
    <w:rsid w:val="00A50DB5"/>
    <w:rsid w:val="00A56721"/>
    <w:rsid w:val="00A60C30"/>
    <w:rsid w:val="00A61AFE"/>
    <w:rsid w:val="00A67384"/>
    <w:rsid w:val="00A72DDF"/>
    <w:rsid w:val="00A764A8"/>
    <w:rsid w:val="00A76AEC"/>
    <w:rsid w:val="00A76B9D"/>
    <w:rsid w:val="00A77043"/>
    <w:rsid w:val="00A82386"/>
    <w:rsid w:val="00A82400"/>
    <w:rsid w:val="00A84D5A"/>
    <w:rsid w:val="00A87A6E"/>
    <w:rsid w:val="00A958C7"/>
    <w:rsid w:val="00AA39A3"/>
    <w:rsid w:val="00AA41B5"/>
    <w:rsid w:val="00AA4EC3"/>
    <w:rsid w:val="00AB0AC1"/>
    <w:rsid w:val="00AB3BF1"/>
    <w:rsid w:val="00AB4B7B"/>
    <w:rsid w:val="00AB627E"/>
    <w:rsid w:val="00AC06A9"/>
    <w:rsid w:val="00AC0F6B"/>
    <w:rsid w:val="00AD1856"/>
    <w:rsid w:val="00AD25E2"/>
    <w:rsid w:val="00AD7257"/>
    <w:rsid w:val="00AE0211"/>
    <w:rsid w:val="00AE3DCF"/>
    <w:rsid w:val="00AE7146"/>
    <w:rsid w:val="00AE76D9"/>
    <w:rsid w:val="00AF6FDD"/>
    <w:rsid w:val="00B067B9"/>
    <w:rsid w:val="00B11D9F"/>
    <w:rsid w:val="00B13D61"/>
    <w:rsid w:val="00B17A4F"/>
    <w:rsid w:val="00B20684"/>
    <w:rsid w:val="00B20DB6"/>
    <w:rsid w:val="00B22D2F"/>
    <w:rsid w:val="00B249F3"/>
    <w:rsid w:val="00B32841"/>
    <w:rsid w:val="00B35179"/>
    <w:rsid w:val="00B36509"/>
    <w:rsid w:val="00B44065"/>
    <w:rsid w:val="00B44528"/>
    <w:rsid w:val="00B513E9"/>
    <w:rsid w:val="00B51E4E"/>
    <w:rsid w:val="00B52AF4"/>
    <w:rsid w:val="00B542A8"/>
    <w:rsid w:val="00B54B50"/>
    <w:rsid w:val="00B55A7B"/>
    <w:rsid w:val="00B626EC"/>
    <w:rsid w:val="00B7004C"/>
    <w:rsid w:val="00B7472B"/>
    <w:rsid w:val="00B779DA"/>
    <w:rsid w:val="00B77FC1"/>
    <w:rsid w:val="00B82748"/>
    <w:rsid w:val="00B831E2"/>
    <w:rsid w:val="00B856D2"/>
    <w:rsid w:val="00B907AE"/>
    <w:rsid w:val="00B92DC2"/>
    <w:rsid w:val="00B94406"/>
    <w:rsid w:val="00B974D5"/>
    <w:rsid w:val="00BA0E22"/>
    <w:rsid w:val="00BA5DE0"/>
    <w:rsid w:val="00BB1CE2"/>
    <w:rsid w:val="00BB2E82"/>
    <w:rsid w:val="00BB569B"/>
    <w:rsid w:val="00BB6536"/>
    <w:rsid w:val="00BB6BC6"/>
    <w:rsid w:val="00BC0D4C"/>
    <w:rsid w:val="00BC172B"/>
    <w:rsid w:val="00BC4031"/>
    <w:rsid w:val="00BD01A4"/>
    <w:rsid w:val="00BD435E"/>
    <w:rsid w:val="00BD4F29"/>
    <w:rsid w:val="00BD558B"/>
    <w:rsid w:val="00BE0016"/>
    <w:rsid w:val="00BE115D"/>
    <w:rsid w:val="00BE5ACC"/>
    <w:rsid w:val="00BE6DB5"/>
    <w:rsid w:val="00BF05C7"/>
    <w:rsid w:val="00BF1427"/>
    <w:rsid w:val="00BF2AFC"/>
    <w:rsid w:val="00BF42AB"/>
    <w:rsid w:val="00BF4F0A"/>
    <w:rsid w:val="00BF50B4"/>
    <w:rsid w:val="00BF5485"/>
    <w:rsid w:val="00C023BE"/>
    <w:rsid w:val="00C02701"/>
    <w:rsid w:val="00C03C11"/>
    <w:rsid w:val="00C03D86"/>
    <w:rsid w:val="00C07BB3"/>
    <w:rsid w:val="00C07E12"/>
    <w:rsid w:val="00C10C87"/>
    <w:rsid w:val="00C120B6"/>
    <w:rsid w:val="00C21588"/>
    <w:rsid w:val="00C22A66"/>
    <w:rsid w:val="00C254CC"/>
    <w:rsid w:val="00C300FD"/>
    <w:rsid w:val="00C31DE3"/>
    <w:rsid w:val="00C33BEA"/>
    <w:rsid w:val="00C358E8"/>
    <w:rsid w:val="00C4288E"/>
    <w:rsid w:val="00C5110B"/>
    <w:rsid w:val="00C57E02"/>
    <w:rsid w:val="00C64BBB"/>
    <w:rsid w:val="00C67033"/>
    <w:rsid w:val="00C67C40"/>
    <w:rsid w:val="00C703A8"/>
    <w:rsid w:val="00C71BDC"/>
    <w:rsid w:val="00C71E16"/>
    <w:rsid w:val="00C753E3"/>
    <w:rsid w:val="00C754F4"/>
    <w:rsid w:val="00C757E3"/>
    <w:rsid w:val="00C8126A"/>
    <w:rsid w:val="00C836C0"/>
    <w:rsid w:val="00C8515E"/>
    <w:rsid w:val="00C86EB2"/>
    <w:rsid w:val="00C951F7"/>
    <w:rsid w:val="00C97DC3"/>
    <w:rsid w:val="00CA2269"/>
    <w:rsid w:val="00CA7BED"/>
    <w:rsid w:val="00CB2E45"/>
    <w:rsid w:val="00CB6F75"/>
    <w:rsid w:val="00CC0D77"/>
    <w:rsid w:val="00CC1854"/>
    <w:rsid w:val="00CC2363"/>
    <w:rsid w:val="00CD2A82"/>
    <w:rsid w:val="00CD6CD0"/>
    <w:rsid w:val="00CE174C"/>
    <w:rsid w:val="00CE4328"/>
    <w:rsid w:val="00CF35D4"/>
    <w:rsid w:val="00CF7124"/>
    <w:rsid w:val="00D04E42"/>
    <w:rsid w:val="00D06B70"/>
    <w:rsid w:val="00D136C2"/>
    <w:rsid w:val="00D1374D"/>
    <w:rsid w:val="00D241CB"/>
    <w:rsid w:val="00D26908"/>
    <w:rsid w:val="00D26BF2"/>
    <w:rsid w:val="00D27B75"/>
    <w:rsid w:val="00D30C7E"/>
    <w:rsid w:val="00D4051A"/>
    <w:rsid w:val="00D425DB"/>
    <w:rsid w:val="00D43942"/>
    <w:rsid w:val="00D44E0E"/>
    <w:rsid w:val="00D5118C"/>
    <w:rsid w:val="00D546C0"/>
    <w:rsid w:val="00D642AD"/>
    <w:rsid w:val="00D74151"/>
    <w:rsid w:val="00D779AE"/>
    <w:rsid w:val="00D81C9F"/>
    <w:rsid w:val="00D87DAF"/>
    <w:rsid w:val="00D928C3"/>
    <w:rsid w:val="00D95890"/>
    <w:rsid w:val="00DA0B80"/>
    <w:rsid w:val="00DA3209"/>
    <w:rsid w:val="00DB1D02"/>
    <w:rsid w:val="00DB3F3E"/>
    <w:rsid w:val="00DB4709"/>
    <w:rsid w:val="00DB6262"/>
    <w:rsid w:val="00DC0273"/>
    <w:rsid w:val="00DC1900"/>
    <w:rsid w:val="00DC320A"/>
    <w:rsid w:val="00DC45BE"/>
    <w:rsid w:val="00DC5AB7"/>
    <w:rsid w:val="00DC7E46"/>
    <w:rsid w:val="00DD25D7"/>
    <w:rsid w:val="00DE106D"/>
    <w:rsid w:val="00DE2AE2"/>
    <w:rsid w:val="00DF1BCA"/>
    <w:rsid w:val="00DF2781"/>
    <w:rsid w:val="00DF6E8A"/>
    <w:rsid w:val="00E019EA"/>
    <w:rsid w:val="00E026CF"/>
    <w:rsid w:val="00E02B98"/>
    <w:rsid w:val="00E14CF8"/>
    <w:rsid w:val="00E16800"/>
    <w:rsid w:val="00E16AA6"/>
    <w:rsid w:val="00E20B97"/>
    <w:rsid w:val="00E21D16"/>
    <w:rsid w:val="00E270CE"/>
    <w:rsid w:val="00E27545"/>
    <w:rsid w:val="00E315A4"/>
    <w:rsid w:val="00E31E33"/>
    <w:rsid w:val="00E34FCE"/>
    <w:rsid w:val="00E51855"/>
    <w:rsid w:val="00E53410"/>
    <w:rsid w:val="00E66D75"/>
    <w:rsid w:val="00E675D5"/>
    <w:rsid w:val="00E71420"/>
    <w:rsid w:val="00E83793"/>
    <w:rsid w:val="00E8473A"/>
    <w:rsid w:val="00E85AFF"/>
    <w:rsid w:val="00E85BCB"/>
    <w:rsid w:val="00E86B89"/>
    <w:rsid w:val="00E9143F"/>
    <w:rsid w:val="00E94A59"/>
    <w:rsid w:val="00EA1A9B"/>
    <w:rsid w:val="00EB3C68"/>
    <w:rsid w:val="00EC0B05"/>
    <w:rsid w:val="00EC1F38"/>
    <w:rsid w:val="00EC30ED"/>
    <w:rsid w:val="00EC45E5"/>
    <w:rsid w:val="00EC4F0C"/>
    <w:rsid w:val="00EC6862"/>
    <w:rsid w:val="00ED25E1"/>
    <w:rsid w:val="00ED33E7"/>
    <w:rsid w:val="00ED562D"/>
    <w:rsid w:val="00ED5C2F"/>
    <w:rsid w:val="00EE14B3"/>
    <w:rsid w:val="00EE6D91"/>
    <w:rsid w:val="00EF0B8C"/>
    <w:rsid w:val="00EF6760"/>
    <w:rsid w:val="00F0010B"/>
    <w:rsid w:val="00F05039"/>
    <w:rsid w:val="00F06228"/>
    <w:rsid w:val="00F12905"/>
    <w:rsid w:val="00F14896"/>
    <w:rsid w:val="00F171FB"/>
    <w:rsid w:val="00F24C3E"/>
    <w:rsid w:val="00F3236A"/>
    <w:rsid w:val="00F324DE"/>
    <w:rsid w:val="00F33150"/>
    <w:rsid w:val="00F34AEA"/>
    <w:rsid w:val="00F36EAA"/>
    <w:rsid w:val="00F37271"/>
    <w:rsid w:val="00F37866"/>
    <w:rsid w:val="00F42936"/>
    <w:rsid w:val="00F45CED"/>
    <w:rsid w:val="00F50784"/>
    <w:rsid w:val="00F51599"/>
    <w:rsid w:val="00F554D0"/>
    <w:rsid w:val="00F5726D"/>
    <w:rsid w:val="00F61EEB"/>
    <w:rsid w:val="00F61F6B"/>
    <w:rsid w:val="00F62C76"/>
    <w:rsid w:val="00F63DBD"/>
    <w:rsid w:val="00F64C0C"/>
    <w:rsid w:val="00F6576D"/>
    <w:rsid w:val="00F72C83"/>
    <w:rsid w:val="00F807AA"/>
    <w:rsid w:val="00F84FBD"/>
    <w:rsid w:val="00F87DB8"/>
    <w:rsid w:val="00F91ADA"/>
    <w:rsid w:val="00F95B28"/>
    <w:rsid w:val="00F95E41"/>
    <w:rsid w:val="00F96AAD"/>
    <w:rsid w:val="00FA7AFC"/>
    <w:rsid w:val="00FB0251"/>
    <w:rsid w:val="00FB367C"/>
    <w:rsid w:val="00FB6705"/>
    <w:rsid w:val="00FB6B36"/>
    <w:rsid w:val="00FC6F97"/>
    <w:rsid w:val="00FC70C6"/>
    <w:rsid w:val="00FD4AAD"/>
    <w:rsid w:val="00FD6532"/>
    <w:rsid w:val="00FE63F3"/>
    <w:rsid w:val="00FF40B5"/>
    <w:rsid w:val="06B763BC"/>
    <w:rsid w:val="0B50AD82"/>
    <w:rsid w:val="104ECC7B"/>
    <w:rsid w:val="1EB16F30"/>
    <w:rsid w:val="2759540A"/>
    <w:rsid w:val="2A93955A"/>
    <w:rsid w:val="3E4C98B3"/>
    <w:rsid w:val="4173D4E2"/>
    <w:rsid w:val="41788DE8"/>
    <w:rsid w:val="44B60FC9"/>
    <w:rsid w:val="47704B55"/>
    <w:rsid w:val="478FF6E1"/>
    <w:rsid w:val="4B6E1A10"/>
    <w:rsid w:val="4DE54634"/>
    <w:rsid w:val="4FBC2803"/>
    <w:rsid w:val="5817DC4B"/>
    <w:rsid w:val="59142B38"/>
    <w:rsid w:val="5EF9912F"/>
    <w:rsid w:val="60CA96F7"/>
    <w:rsid w:val="76A47333"/>
    <w:rsid w:val="76C6843A"/>
    <w:rsid w:val="7AEE343D"/>
    <w:rsid w:val="7DA55C11"/>
    <w:rsid w:val="7E7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7C782F"/>
  <w15:chartTrackingRefBased/>
  <w15:docId w15:val="{096DBA2E-B508-421A-B0FD-92C1C799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775"/>
  </w:style>
  <w:style w:type="paragraph" w:styleId="Heading1">
    <w:name w:val="heading 1"/>
    <w:basedOn w:val="Normal"/>
    <w:link w:val="Heading1Char"/>
    <w:uiPriority w:val="9"/>
    <w:qFormat/>
    <w:rsid w:val="00DA0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2C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77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3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7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77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7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A0B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A0B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0B8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B80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A0B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0B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B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0B8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A0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B80"/>
  </w:style>
  <w:style w:type="paragraph" w:styleId="Footer">
    <w:name w:val="footer"/>
    <w:basedOn w:val="Normal"/>
    <w:link w:val="FooterChar"/>
    <w:uiPriority w:val="99"/>
    <w:unhideWhenUsed/>
    <w:rsid w:val="00DA0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B80"/>
  </w:style>
  <w:style w:type="paragraph" w:styleId="Revision">
    <w:name w:val="Revision"/>
    <w:hidden/>
    <w:uiPriority w:val="99"/>
    <w:semiHidden/>
    <w:rsid w:val="000B734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0B2C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0B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B2C8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F18EE"/>
    <w:rPr>
      <w:color w:val="954F72" w:themeColor="followedHyperlink"/>
      <w:u w:val="single"/>
    </w:rPr>
  </w:style>
  <w:style w:type="paragraph" w:customStyle="1" w:styleId="xxxxmsonormal">
    <w:name w:val="x_xxxmsonormal"/>
    <w:basedOn w:val="Normal"/>
    <w:rsid w:val="004A67C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1840FC545FF49B1A59F0A8F33140E" ma:contentTypeVersion="15" ma:contentTypeDescription="Create a new document." ma:contentTypeScope="" ma:versionID="95cf5bfcff74f4151bfb262060130feb">
  <xsd:schema xmlns:xsd="http://www.w3.org/2001/XMLSchema" xmlns:xs="http://www.w3.org/2001/XMLSchema" xmlns:p="http://schemas.microsoft.com/office/2006/metadata/properties" xmlns:ns1="http://schemas.microsoft.com/sharepoint/v3" xmlns:ns3="1d4746ba-4f4d-47ca-a690-9f23643b4957" xmlns:ns4="ca0cb0d4-93b3-4eef-91d7-9cbd0623138b" targetNamespace="http://schemas.microsoft.com/office/2006/metadata/properties" ma:root="true" ma:fieldsID="4ceca2805c003474f0ceec4b8ef5ca57" ns1:_="" ns3:_="" ns4:_="">
    <xsd:import namespace="http://schemas.microsoft.com/sharepoint/v3"/>
    <xsd:import namespace="1d4746ba-4f4d-47ca-a690-9f23643b4957"/>
    <xsd:import namespace="ca0cb0d4-93b3-4eef-91d7-9cbd062313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746ba-4f4d-47ca-a690-9f23643b4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cb0d4-93b3-4eef-91d7-9cbd06231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60E9-5413-4D11-AAC2-2F2D879C4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746ba-4f4d-47ca-a690-9f23643b4957"/>
    <ds:schemaRef ds:uri="ca0cb0d4-93b3-4eef-91d7-9cbd06231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A0374-09A6-424A-B95F-F87D6783F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9B1E4-274F-4C5D-A18F-A20877C511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208D095-D4FC-4DC3-80CF-1F942AA9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Velma (CDC/DDPHSIS/CGH/DGHP)</dc:creator>
  <cp:keywords/>
  <dc:description/>
  <cp:lastModifiedBy>Lopez, Velma (CDC/DDID/NCEZID/DVBD)</cp:lastModifiedBy>
  <cp:revision>3</cp:revision>
  <cp:lastPrinted>2020-11-17T20:17:00Z</cp:lastPrinted>
  <dcterms:created xsi:type="dcterms:W3CDTF">2020-12-09T03:29:00Z</dcterms:created>
  <dcterms:modified xsi:type="dcterms:W3CDTF">2020-12-09T03:31:00Z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0x0101004B91840FC545FF49B1A59F0A8F33140E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6th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5_1">
    <vt:lpwstr>IEEE</vt:lpwstr>
  </property>
  <property fmtid="{D5CDD505-2E9C-101B-9397-08002B2CF9AE}" pid="15" name="Mendeley Recent Style Id 6_1">
    <vt:lpwstr>http://www.zotero.org/styles/modern-language-association</vt:lpwstr>
  </property>
  <property fmtid="{D5CDD505-2E9C-101B-9397-08002B2CF9AE}" pid="16" name="Mendeley Recent Style Name 6_1">
    <vt:lpwstr>Modern Language Association 8th edition</vt:lpwstr>
  </property>
  <property fmtid="{D5CDD505-2E9C-101B-9397-08002B2CF9AE}" pid="17" name="Mendeley Recent Style Id 7_1">
    <vt:lpwstr>http://www.zotero.org/styles/national-library-of-medicine</vt:lpwstr>
  </property>
  <property fmtid="{D5CDD505-2E9C-101B-9397-08002B2CF9AE}" pid="18" name="Mendeley Recent Style Name 7_1">
    <vt:lpwstr>National Library of Medicine</vt:lpwstr>
  </property>
  <property fmtid="{D5CDD505-2E9C-101B-9397-08002B2CF9AE}" pid="19" name="Mendeley Recent Style Id 8_1">
    <vt:lpwstr>http://www.zotero.org/styles/nature</vt:lpwstr>
  </property>
  <property fmtid="{D5CDD505-2E9C-101B-9397-08002B2CF9AE}" pid="20" name="Mendeley Recent Style Name 8_1">
    <vt:lpwstr>Nature</vt:lpwstr>
  </property>
  <property fmtid="{D5CDD505-2E9C-101B-9397-08002B2CF9AE}" pid="21" name="Mendeley Recent Style Id 9_1">
    <vt:lpwstr>http://www.zotero.org/styles/vancouver</vt:lpwstr>
  </property>
  <property fmtid="{D5CDD505-2E9C-101B-9397-08002B2CF9AE}" pid="22" name="Mendeley Recent Style Name 9_1">
    <vt:lpwstr>Vancouver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d331a55b-0ca5-3dc3-bf20-95ad5a93f426</vt:lpwstr>
  </property>
  <property fmtid="{D5CDD505-2E9C-101B-9397-08002B2CF9AE}" pid="25" name="Mendeley Citation Style_1">
    <vt:lpwstr>http://www.zotero.org/styles/national-library-of-medicine</vt:lpwstr>
  </property>
  <property fmtid="{D5CDD505-2E9C-101B-9397-08002B2CF9AE}" pid="26" name="MSIP_Label_7b94a7b8-f06c-4dfe-bdcc-9b548fd58c31_Enabled">
    <vt:lpwstr>true</vt:lpwstr>
  </property>
  <property fmtid="{D5CDD505-2E9C-101B-9397-08002B2CF9AE}" pid="27" name="MSIP_Label_7b94a7b8-f06c-4dfe-bdcc-9b548fd58c31_SetDate">
    <vt:lpwstr>2020-11-12T14:35:05Z</vt:lpwstr>
  </property>
  <property fmtid="{D5CDD505-2E9C-101B-9397-08002B2CF9AE}" pid="28" name="MSIP_Label_7b94a7b8-f06c-4dfe-bdcc-9b548fd58c31_Method">
    <vt:lpwstr>Privileged</vt:lpwstr>
  </property>
  <property fmtid="{D5CDD505-2E9C-101B-9397-08002B2CF9AE}" pid="29" name="MSIP_Label_7b94a7b8-f06c-4dfe-bdcc-9b548fd58c31_Name">
    <vt:lpwstr>7b94a7b8-f06c-4dfe-bdcc-9b548fd58c31</vt:lpwstr>
  </property>
  <property fmtid="{D5CDD505-2E9C-101B-9397-08002B2CF9AE}" pid="30" name="MSIP_Label_7b94a7b8-f06c-4dfe-bdcc-9b548fd58c31_SiteId">
    <vt:lpwstr>9ce70869-60db-44fd-abe8-d2767077fc8f</vt:lpwstr>
  </property>
  <property fmtid="{D5CDD505-2E9C-101B-9397-08002B2CF9AE}" pid="31" name="MSIP_Label_7b94a7b8-f06c-4dfe-bdcc-9b548fd58c31_ActionId">
    <vt:lpwstr>79b86bf2-ffe3-45c8-97d5-00b80e16d090</vt:lpwstr>
  </property>
  <property fmtid="{D5CDD505-2E9C-101B-9397-08002B2CF9AE}" pid="32" name="MSIP_Label_7b94a7b8-f06c-4dfe-bdcc-9b548fd58c31_ContentBits">
    <vt:lpwstr>0</vt:lpwstr>
  </property>
</Properties>
</file>