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A5EBB" w14:textId="77777777" w:rsidR="00C603C3" w:rsidRPr="0037484C" w:rsidRDefault="0037484C" w:rsidP="0037484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7484C">
        <w:rPr>
          <w:rFonts w:ascii="Arial" w:hAnsi="Arial" w:cs="Arial"/>
          <w:b/>
          <w:sz w:val="24"/>
          <w:szCs w:val="24"/>
        </w:rPr>
        <w:t>Supplementary Material S1</w:t>
      </w:r>
    </w:p>
    <w:p w14:paraId="0EA4652B" w14:textId="5C57BA01" w:rsidR="00C85183" w:rsidRPr="00C85183" w:rsidRDefault="00C85183" w:rsidP="00C85183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C85183">
        <w:rPr>
          <w:rFonts w:ascii="Arial" w:hAnsi="Arial" w:cs="Arial"/>
          <w:i/>
          <w:sz w:val="24"/>
          <w:szCs w:val="24"/>
        </w:rPr>
        <w:t>Lieke</w:t>
      </w:r>
      <w:proofErr w:type="spellEnd"/>
      <w:r w:rsidRPr="00C85183">
        <w:rPr>
          <w:rFonts w:ascii="Arial" w:hAnsi="Arial" w:cs="Arial"/>
          <w:i/>
          <w:sz w:val="24"/>
          <w:szCs w:val="24"/>
        </w:rPr>
        <w:t xml:space="preserve"> M. van den Heuvel, Do, Laura Yeates, Heather MacLeod, Cynthia A. James, Johan </w:t>
      </w:r>
      <w:proofErr w:type="spellStart"/>
      <w:r w:rsidRPr="00C85183">
        <w:rPr>
          <w:rFonts w:ascii="Arial" w:hAnsi="Arial" w:cs="Arial"/>
          <w:i/>
          <w:sz w:val="24"/>
          <w:szCs w:val="24"/>
        </w:rPr>
        <w:t>Duflou</w:t>
      </w:r>
      <w:proofErr w:type="spellEnd"/>
      <w:r w:rsidRPr="00C85183">
        <w:rPr>
          <w:rFonts w:ascii="Arial" w:hAnsi="Arial" w:cs="Arial"/>
          <w:i/>
          <w:sz w:val="24"/>
          <w:szCs w:val="24"/>
        </w:rPr>
        <w:t xml:space="preserve">, Jonathan R. Skinner, Christopher Semsarian, J. Peter van </w:t>
      </w:r>
      <w:proofErr w:type="spellStart"/>
      <w:r w:rsidRPr="00C85183">
        <w:rPr>
          <w:rFonts w:ascii="Arial" w:hAnsi="Arial" w:cs="Arial"/>
          <w:i/>
          <w:sz w:val="24"/>
          <w:szCs w:val="24"/>
        </w:rPr>
        <w:t>Tintelen</w:t>
      </w:r>
      <w:proofErr w:type="spellEnd"/>
      <w:r w:rsidRPr="00C85183">
        <w:rPr>
          <w:rFonts w:ascii="Arial" w:hAnsi="Arial" w:cs="Arial"/>
          <w:i/>
          <w:sz w:val="24"/>
          <w:szCs w:val="24"/>
        </w:rPr>
        <w:t>, Jodie Ingles</w:t>
      </w:r>
      <w:r w:rsidRPr="00C85183">
        <w:rPr>
          <w:rFonts w:ascii="Arial" w:hAnsi="Arial" w:cs="Arial"/>
          <w:i/>
          <w:sz w:val="24"/>
          <w:szCs w:val="24"/>
        </w:rPr>
        <w:t xml:space="preserve">. </w:t>
      </w:r>
      <w:r w:rsidRPr="00C85183">
        <w:rPr>
          <w:rFonts w:ascii="Arial" w:hAnsi="Arial" w:cs="Arial"/>
          <w:i/>
          <w:sz w:val="24"/>
          <w:szCs w:val="24"/>
          <w:lang w:val="en-US"/>
        </w:rPr>
        <w:t>Global approaches to postmortem genetic testing after sudden cardiac death in the young</w:t>
      </w:r>
      <w:r w:rsidRPr="00C85183">
        <w:rPr>
          <w:rFonts w:ascii="Arial" w:hAnsi="Arial" w:cs="Arial"/>
          <w:i/>
          <w:sz w:val="24"/>
          <w:szCs w:val="24"/>
        </w:rPr>
        <w:t>: A survey among healthcare professionals</w:t>
      </w:r>
    </w:p>
    <w:p w14:paraId="4E5724FE" w14:textId="77777777" w:rsidR="0037484C" w:rsidRDefault="0037484C" w:rsidP="0037484C">
      <w:pPr>
        <w:spacing w:after="0" w:line="48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</w:p>
    <w:tbl>
      <w:tblPr>
        <w:tblpPr w:leftFromText="141" w:rightFromText="141" w:vertAnchor="page" w:horzAnchor="margin" w:tblpY="4561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85183" w:rsidRPr="0037484C" w14:paraId="0B317DA3" w14:textId="77777777" w:rsidTr="00C85183">
        <w:trPr>
          <w:trHeight w:val="315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DEEDD" w14:textId="473AFEFD" w:rsidR="00C85183" w:rsidRPr="0037484C" w:rsidRDefault="00C85183" w:rsidP="00C851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Pr="0037484C">
              <w:rPr>
                <w:rFonts w:ascii="Arial" w:hAnsi="Arial" w:cs="Arial"/>
                <w:b/>
                <w:sz w:val="24"/>
                <w:szCs w:val="24"/>
              </w:rPr>
              <w:t>Table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3748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484C">
              <w:rPr>
                <w:rFonts w:ascii="Arial" w:hAnsi="Arial" w:cs="Arial"/>
                <w:sz w:val="24"/>
                <w:szCs w:val="24"/>
              </w:rPr>
              <w:t>Professional organizations asked for recruitment of patient sample</w:t>
            </w:r>
          </w:p>
        </w:tc>
      </w:tr>
      <w:tr w:rsidR="00C85183" w:rsidRPr="0037484C" w14:paraId="12C1435F" w14:textId="77777777" w:rsidTr="00C85183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D9888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nl-NL"/>
              </w:rPr>
            </w:pPr>
            <w:r w:rsidRPr="003748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nl-NL"/>
              </w:rPr>
              <w:t>Patient organizations</w:t>
            </w:r>
          </w:p>
        </w:tc>
      </w:tr>
      <w:tr w:rsidR="00C85183" w:rsidRPr="0037484C" w14:paraId="570C3C34" w14:textId="77777777" w:rsidTr="00C85183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423C33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nl-NL"/>
              </w:rPr>
            </w:pPr>
            <w:r w:rsidRPr="003748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nl-NL"/>
              </w:rPr>
              <w:t>American</w:t>
            </w:r>
          </w:p>
        </w:tc>
      </w:tr>
      <w:tr w:rsidR="00C85183" w:rsidRPr="0037484C" w14:paraId="29882958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6E8244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</w:pPr>
            <w:r w:rsidRPr="003748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  <w:t>National Society of Genetic Counselors (NSGC)</w:t>
            </w:r>
          </w:p>
        </w:tc>
      </w:tr>
      <w:tr w:rsidR="00C85183" w:rsidRPr="0037484C" w14:paraId="0949D6B4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A6E91C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  <w:tr w:rsidR="00C85183" w:rsidRPr="0037484C" w14:paraId="54F6CE3B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BE70B5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nl-NL"/>
              </w:rPr>
            </w:pPr>
            <w:r w:rsidRPr="003748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nl-NL"/>
              </w:rPr>
              <w:t>European</w:t>
            </w:r>
          </w:p>
        </w:tc>
      </w:tr>
      <w:tr w:rsidR="00C85183" w:rsidRPr="0037484C" w14:paraId="4B9D31C0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529EA7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</w:pPr>
            <w:r w:rsidRPr="003748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  <w:t>European Reference Network of cardiogenetics (ERN)</w:t>
            </w:r>
          </w:p>
        </w:tc>
      </w:tr>
      <w:tr w:rsidR="00C85183" w:rsidRPr="0037484C" w14:paraId="242C4F3C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8A7EB8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l-NL"/>
              </w:rPr>
            </w:pPr>
            <w:r w:rsidRPr="003748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l-NL"/>
              </w:rPr>
              <w:t>European Society of Human Genetics (ESHG)</w:t>
            </w:r>
          </w:p>
        </w:tc>
      </w:tr>
      <w:tr w:rsidR="00C85183" w:rsidRPr="0037484C" w14:paraId="3850239F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E863F9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l-NL"/>
              </w:rPr>
            </w:pPr>
            <w:r w:rsidRPr="003748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l-NL"/>
              </w:rPr>
              <w:t>Dutch Working group of Cardiogenetics (VKGN)</w:t>
            </w:r>
          </w:p>
        </w:tc>
      </w:tr>
      <w:tr w:rsidR="00C85183" w:rsidRPr="0037484C" w14:paraId="638EA028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734E45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l-NL"/>
              </w:rPr>
            </w:pPr>
            <w:r w:rsidRPr="003748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l-NL"/>
              </w:rPr>
              <w:t>British Society for Genetic Medicine (BSGM)</w:t>
            </w:r>
          </w:p>
        </w:tc>
      </w:tr>
      <w:tr w:rsidR="00C85183" w:rsidRPr="0037484C" w14:paraId="141F2630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A2F85E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  <w:tr w:rsidR="00C85183" w:rsidRPr="0037484C" w14:paraId="0AB90D33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08B29E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nl-NL"/>
              </w:rPr>
            </w:pPr>
            <w:r w:rsidRPr="003748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nl-NL"/>
              </w:rPr>
              <w:t>Australian</w:t>
            </w:r>
          </w:p>
        </w:tc>
      </w:tr>
      <w:tr w:rsidR="00C85183" w:rsidRPr="0037484C" w14:paraId="35CC495C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3C2109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</w:pPr>
            <w:r w:rsidRPr="003748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  <w:t>Australian Society of Genetic Counselors (ASGC)</w:t>
            </w:r>
          </w:p>
        </w:tc>
      </w:tr>
      <w:tr w:rsidR="00C85183" w:rsidRPr="0037484C" w14:paraId="6E406402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272842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</w:pPr>
            <w:r w:rsidRPr="003748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  <w:t>Human Genetics Society of Australasia (HSGA)</w:t>
            </w:r>
          </w:p>
        </w:tc>
      </w:tr>
      <w:tr w:rsidR="00C85183" w:rsidRPr="0037484C" w14:paraId="1EA41CBA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49A0A1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</w:pPr>
            <w:r w:rsidRPr="003748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  <w:t>Cardiovascular Genetics Flagship</w:t>
            </w:r>
          </w:p>
        </w:tc>
      </w:tr>
      <w:tr w:rsidR="00C85183" w:rsidRPr="0037484C" w14:paraId="1D967955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EED60D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</w:pPr>
          </w:p>
        </w:tc>
      </w:tr>
      <w:tr w:rsidR="00C85183" w:rsidRPr="0037484C" w14:paraId="53808515" w14:textId="77777777" w:rsidTr="00C85183">
        <w:trPr>
          <w:trHeight w:val="315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0B965BB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nl-NL"/>
              </w:rPr>
            </w:pPr>
            <w:r w:rsidRPr="003748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nl-NL"/>
              </w:rPr>
              <w:t>Asian</w:t>
            </w:r>
          </w:p>
        </w:tc>
      </w:tr>
      <w:tr w:rsidR="00C85183" w:rsidRPr="0037484C" w14:paraId="7F79DF63" w14:textId="77777777" w:rsidTr="00C85183">
        <w:trPr>
          <w:trHeight w:val="315"/>
        </w:trPr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7E61C8" w14:textId="77777777" w:rsidR="00C85183" w:rsidRPr="0037484C" w:rsidRDefault="00C85183" w:rsidP="00C851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</w:pPr>
            <w:r w:rsidRPr="0037484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nl-NL"/>
              </w:rPr>
              <w:t>Human Genetics Society of Australasia (HSGA)</w:t>
            </w:r>
          </w:p>
        </w:tc>
      </w:tr>
    </w:tbl>
    <w:p w14:paraId="66BDBC5A" w14:textId="6A312D57" w:rsidR="0037484C" w:rsidRDefault="0037484C" w:rsidP="00C85183">
      <w:pPr>
        <w:rPr>
          <w:lang w:val="en-US"/>
        </w:rPr>
      </w:pPr>
    </w:p>
    <w:p w14:paraId="17EFB3B2" w14:textId="77777777" w:rsidR="0037484C" w:rsidRDefault="0037484C" w:rsidP="0037484C">
      <w:pPr>
        <w:pStyle w:val="CommentText"/>
        <w:rPr>
          <w:lang w:val="en-US"/>
        </w:rPr>
      </w:pPr>
    </w:p>
    <w:p w14:paraId="61CD75D3" w14:textId="77777777" w:rsidR="0037484C" w:rsidRDefault="0037484C" w:rsidP="0037484C">
      <w:pPr>
        <w:pStyle w:val="CommentText"/>
        <w:rPr>
          <w:lang w:val="en-US"/>
        </w:rPr>
      </w:pPr>
    </w:p>
    <w:p w14:paraId="222E0867" w14:textId="77777777" w:rsidR="0037484C" w:rsidRDefault="0037484C" w:rsidP="0037484C">
      <w:pPr>
        <w:pStyle w:val="CommentText"/>
        <w:rPr>
          <w:lang w:val="en-US"/>
        </w:rPr>
      </w:pPr>
    </w:p>
    <w:p w14:paraId="5B052EB5" w14:textId="77777777" w:rsidR="0037484C" w:rsidRDefault="0037484C" w:rsidP="0037484C">
      <w:pPr>
        <w:pStyle w:val="CommentText"/>
        <w:rPr>
          <w:lang w:val="en-US"/>
        </w:rPr>
      </w:pPr>
    </w:p>
    <w:p w14:paraId="70DDC70B" w14:textId="77777777" w:rsidR="0037484C" w:rsidRDefault="0037484C" w:rsidP="0037484C">
      <w:pPr>
        <w:pStyle w:val="CommentText"/>
        <w:rPr>
          <w:lang w:val="en-US"/>
        </w:rPr>
      </w:pPr>
    </w:p>
    <w:p w14:paraId="0729E36A" w14:textId="77777777" w:rsidR="0037484C" w:rsidRDefault="0037484C" w:rsidP="0037484C">
      <w:pPr>
        <w:pStyle w:val="CommentText"/>
        <w:rPr>
          <w:lang w:val="en-US"/>
        </w:rPr>
      </w:pPr>
    </w:p>
    <w:p w14:paraId="6D061B11" w14:textId="77777777" w:rsidR="0037484C" w:rsidRPr="0037484C" w:rsidRDefault="0037484C">
      <w:pPr>
        <w:rPr>
          <w:b/>
          <w:lang w:val="en-US"/>
        </w:rPr>
      </w:pPr>
    </w:p>
    <w:sectPr w:rsidR="0037484C" w:rsidRPr="0037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4C"/>
    <w:rsid w:val="0037484C"/>
    <w:rsid w:val="006E6524"/>
    <w:rsid w:val="00C85183"/>
    <w:rsid w:val="00D00AF7"/>
    <w:rsid w:val="00D40A97"/>
    <w:rsid w:val="00E32181"/>
    <w:rsid w:val="00E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8E53"/>
  <w15:chartTrackingRefBased/>
  <w15:docId w15:val="{D0DEBC35-8F91-4398-965A-18DA937E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4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84C"/>
    <w:pPr>
      <w:spacing w:line="240" w:lineRule="auto"/>
    </w:pPr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84C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Heuvel, L.M. van den (Lieke)</dc:creator>
  <cp:keywords/>
  <dc:description/>
  <cp:lastModifiedBy>Jodie Ingles</cp:lastModifiedBy>
  <cp:revision>3</cp:revision>
  <dcterms:created xsi:type="dcterms:W3CDTF">2020-12-10T03:25:00Z</dcterms:created>
  <dcterms:modified xsi:type="dcterms:W3CDTF">2020-12-24T04:56:00Z</dcterms:modified>
</cp:coreProperties>
</file>