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5E" w:rsidRPr="0010358E" w:rsidRDefault="00F7195E" w:rsidP="00F7195E">
      <w:pPr>
        <w:pStyle w:val="Heading2"/>
        <w:rPr>
          <w:lang w:val="en-GB"/>
        </w:rPr>
      </w:pPr>
      <w:r w:rsidRPr="0010358E">
        <w:rPr>
          <w:lang w:val="en-GB"/>
        </w:rPr>
        <w:t>Monitoring of serum cytokines</w:t>
      </w:r>
    </w:p>
    <w:p w:rsidR="00F7195E" w:rsidRPr="0010358E" w:rsidRDefault="00F7195E" w:rsidP="00F7195E">
      <w:pPr>
        <w:rPr>
          <w:lang w:val="en-GB"/>
        </w:rPr>
      </w:pPr>
      <w:r w:rsidRPr="00B42BE7">
        <w:rPr>
          <w:lang w:val="en-GB"/>
        </w:rPr>
        <w:t xml:space="preserve">Measurement of </w:t>
      </w:r>
      <w:r>
        <w:rPr>
          <w:lang w:val="en-GB"/>
        </w:rPr>
        <w:t>s</w:t>
      </w:r>
      <w:r w:rsidRPr="00B42BE7">
        <w:rPr>
          <w:lang w:val="en-GB"/>
        </w:rPr>
        <w:t xml:space="preserve">erum BD2 </w:t>
      </w:r>
      <w:proofErr w:type="gramStart"/>
      <w:r w:rsidRPr="00B42BE7">
        <w:rPr>
          <w:lang w:val="en-GB"/>
        </w:rPr>
        <w:t>was performed</w:t>
      </w:r>
      <w:proofErr w:type="gramEnd"/>
      <w:r w:rsidRPr="00B42BE7">
        <w:rPr>
          <w:lang w:val="en-GB"/>
        </w:rPr>
        <w:t xml:space="preserve"> by an </w:t>
      </w:r>
      <w:r>
        <w:rPr>
          <w:lang w:val="en-GB"/>
        </w:rPr>
        <w:t>e</w:t>
      </w:r>
      <w:r w:rsidRPr="00403361">
        <w:rPr>
          <w:lang w:val="en-GB"/>
        </w:rPr>
        <w:t xml:space="preserve">nzyme-linked </w:t>
      </w:r>
      <w:r>
        <w:rPr>
          <w:lang w:val="en-GB"/>
        </w:rPr>
        <w:t>i</w:t>
      </w:r>
      <w:r w:rsidRPr="00403361">
        <w:rPr>
          <w:lang w:val="en-GB"/>
        </w:rPr>
        <w:t xml:space="preserve">mmunosorbent </w:t>
      </w:r>
      <w:r>
        <w:rPr>
          <w:lang w:val="en-GB"/>
        </w:rPr>
        <w:t>a</w:t>
      </w:r>
      <w:r w:rsidRPr="00403361">
        <w:rPr>
          <w:lang w:val="en-GB"/>
        </w:rPr>
        <w:t xml:space="preserve">ssay </w:t>
      </w:r>
      <w:r>
        <w:rPr>
          <w:lang w:val="en-GB"/>
        </w:rPr>
        <w:t>(</w:t>
      </w:r>
      <w:r w:rsidRPr="00B42BE7">
        <w:rPr>
          <w:lang w:val="en-GB"/>
        </w:rPr>
        <w:t>ELISA</w:t>
      </w:r>
      <w:r>
        <w:rPr>
          <w:lang w:val="en-GB"/>
        </w:rPr>
        <w:t>)</w:t>
      </w:r>
      <w:r w:rsidRPr="00B42BE7">
        <w:rPr>
          <w:lang w:val="en-GB"/>
        </w:rPr>
        <w:t xml:space="preserve"> kit from </w:t>
      </w:r>
      <w:proofErr w:type="spellStart"/>
      <w:r w:rsidRPr="00B42BE7">
        <w:rPr>
          <w:lang w:val="en-GB"/>
        </w:rPr>
        <w:t>Immundiagnostik</w:t>
      </w:r>
      <w:proofErr w:type="spellEnd"/>
      <w:r w:rsidRPr="00B42BE7">
        <w:rPr>
          <w:lang w:val="en-GB"/>
        </w:rPr>
        <w:t xml:space="preserve"> (</w:t>
      </w:r>
      <w:proofErr w:type="spellStart"/>
      <w:r w:rsidRPr="00B42BE7">
        <w:rPr>
          <w:lang w:val="en-GB"/>
        </w:rPr>
        <w:t>Bensheim</w:t>
      </w:r>
      <w:proofErr w:type="spellEnd"/>
      <w:r w:rsidRPr="00B42BE7">
        <w:rPr>
          <w:lang w:val="en-GB"/>
        </w:rPr>
        <w:t>, Germany)</w:t>
      </w:r>
      <w:r>
        <w:rPr>
          <w:lang w:val="en-GB"/>
        </w:rPr>
        <w:t xml:space="preserve">, </w:t>
      </w:r>
      <w:r w:rsidRPr="008B1F8D">
        <w:rPr>
          <w:lang w:val="en-GB"/>
        </w:rPr>
        <w:t>according to the manufacturer</w:t>
      </w:r>
      <w:r>
        <w:rPr>
          <w:lang w:val="en-GB"/>
        </w:rPr>
        <w:t>’</w:t>
      </w:r>
      <w:r w:rsidRPr="008B1F8D">
        <w:rPr>
          <w:lang w:val="en-GB"/>
        </w:rPr>
        <w:t>s instructions</w:t>
      </w:r>
      <w:r w:rsidRPr="00B42BE7">
        <w:rPr>
          <w:lang w:val="en-GB"/>
        </w:rPr>
        <w:t>. Serum levels of IL-19</w:t>
      </w:r>
      <w:r>
        <w:rPr>
          <w:lang w:val="en-GB"/>
        </w:rPr>
        <w:t>,</w:t>
      </w:r>
      <w:r w:rsidRPr="00B42BE7">
        <w:rPr>
          <w:lang w:val="en-GB"/>
        </w:rPr>
        <w:t xml:space="preserve"> IL-22, </w:t>
      </w:r>
      <w:proofErr w:type="gramStart"/>
      <w:r w:rsidRPr="00B42BE7">
        <w:rPr>
          <w:lang w:val="en-GB"/>
        </w:rPr>
        <w:t>SCF</w:t>
      </w:r>
      <w:proofErr w:type="gramEnd"/>
      <w:r w:rsidRPr="00B42BE7">
        <w:rPr>
          <w:lang w:val="en-GB"/>
        </w:rPr>
        <w:t xml:space="preserve">, </w:t>
      </w:r>
      <w:proofErr w:type="spellStart"/>
      <w:r w:rsidRPr="00B42BE7">
        <w:rPr>
          <w:lang w:val="en-GB"/>
        </w:rPr>
        <w:t>angiogenin</w:t>
      </w:r>
      <w:proofErr w:type="spellEnd"/>
      <w:r w:rsidRPr="00B42BE7">
        <w:rPr>
          <w:lang w:val="en-GB"/>
        </w:rPr>
        <w:t xml:space="preserve">, </w:t>
      </w:r>
      <w:proofErr w:type="spellStart"/>
      <w:r w:rsidRPr="00B42BE7">
        <w:rPr>
          <w:lang w:val="en-GB"/>
        </w:rPr>
        <w:t>endostatin</w:t>
      </w:r>
      <w:proofErr w:type="spellEnd"/>
      <w:r w:rsidRPr="00B42BE7">
        <w:rPr>
          <w:lang w:val="en-GB"/>
        </w:rPr>
        <w:t xml:space="preserve"> and sST2 were quantified by </w:t>
      </w:r>
      <w:proofErr w:type="spellStart"/>
      <w:r w:rsidRPr="00B42BE7">
        <w:rPr>
          <w:lang w:val="en-GB"/>
        </w:rPr>
        <w:t>Quantikine</w:t>
      </w:r>
      <w:proofErr w:type="spellEnd"/>
      <w:r w:rsidRPr="00B42BE7">
        <w:rPr>
          <w:lang w:val="en-GB"/>
        </w:rPr>
        <w:t xml:space="preserve"> ELISA kits from R&amp;D Systems/</w:t>
      </w:r>
      <w:proofErr w:type="spellStart"/>
      <w:r w:rsidRPr="00B42BE7">
        <w:rPr>
          <w:lang w:val="en-GB"/>
        </w:rPr>
        <w:t>Biotechne</w:t>
      </w:r>
      <w:proofErr w:type="spellEnd"/>
      <w:r w:rsidRPr="00B42BE7">
        <w:rPr>
          <w:lang w:val="en-GB"/>
        </w:rPr>
        <w:t xml:space="preserve"> (Minneapolis, MN, USA)</w:t>
      </w:r>
      <w:r>
        <w:rPr>
          <w:lang w:val="en-GB"/>
        </w:rPr>
        <w:t>, according to the manufacturer’s instructions</w:t>
      </w:r>
      <w:r w:rsidRPr="00B42BE7">
        <w:rPr>
          <w:lang w:val="en-GB"/>
        </w:rPr>
        <w:t xml:space="preserve">. The suitability of </w:t>
      </w:r>
      <w:proofErr w:type="spellStart"/>
      <w:r w:rsidRPr="00B42BE7">
        <w:rPr>
          <w:lang w:val="en-GB"/>
        </w:rPr>
        <w:t>Quantikine</w:t>
      </w:r>
      <w:proofErr w:type="spellEnd"/>
      <w:r w:rsidRPr="00B42BE7">
        <w:rPr>
          <w:lang w:val="en-GB"/>
        </w:rPr>
        <w:t xml:space="preserve"> ELISAs for the analyses of patient samples </w:t>
      </w:r>
      <w:r>
        <w:rPr>
          <w:lang w:val="en-GB"/>
        </w:rPr>
        <w:t>has been</w:t>
      </w:r>
      <w:r w:rsidRPr="00B42BE7">
        <w:rPr>
          <w:lang w:val="en-GB"/>
        </w:rPr>
        <w:t xml:space="preserve"> confirmed by previous studies</w:t>
      </w:r>
      <w:r>
        <w:rPr>
          <w:lang w:val="en-GB"/>
        </w:rPr>
        <w:t>.</w:t>
      </w:r>
      <w:r>
        <w:rPr>
          <w:lang w:val="en-GB"/>
        </w:rPr>
        <w:fldChar w:fldCharType="begin" w:fldLock="1"/>
      </w:r>
      <w:r w:rsidR="00EE4F0F">
        <w:rPr>
          <w:lang w:val="en-GB"/>
        </w:rPr>
        <w:instrText>ADDIN CSL_CITATION {"citationItems":[{"id":"ITEM-1","itemData":{"DOI":"10.1016/j.jid.2018.11.018","ISSN":"15231747","PMID":"30528824","abstract":"Hidradenitis suppurativa (HS)(also designated acne inversa)is a chronic inflammatory disease characterized by painful purulent skin lesions and progressive destruction of skin architecture. Despite the high burden for the patients, pathogenetic pathways underlying HS alterations remain obscure. When we examined the HS cytokine pattern, IL-1β turned out to be a highly prominent cytokine, overexpressed even compared with psoriatic lesions. Analyses of IL-1β–induced transcriptome in various cell types showed overlapping profiles, with upregulations of molecules causing immune cell infiltration and extracellular matrix degradation, and of specific cytokines including IL-6, IL-32, and IL-36. Matching cellular IL-1 receptor levels, dermal fibroblasts showed both the strongest and broadest IL-1β response, which was not clearly shared or strengthened by other cytokines. The IL-1β signature was specifically present in HS lesions and could be reversed by application of IL-1 receptor antagonist. Search for blood parameters associated with IL-1β pathway activity in HS identified serum amyloid A, which was synergistically induced by IL-1β and IL-6 in hepatocytes. Consequently, strongly elevated blood serum amyloid A levels in HS correlated positively with the extent of inflammatory skin alterations. In summary, the IL-1β pathway represents a pathogenetic cascade, whose activity may be therapeutically targeted and monitored by blood SAA levels.","author":[{"dropping-particle":"","family":"Witte-Händel","given":"Ellen","non-dropping-particle":"","parse-names":false,"suffix":""},{"dropping-particle":"","family":"Wolk","given":"Kerstin","non-dropping-particle":"","parse-names":false,"suffix":""},{"dropping-particle":"","family":"Tsaousi","given":"Athanasia","non-dropping-particle":"","parse-names":false,"suffix":""},{"dropping-particle":"","family":"Irmer","given":"Marie Luise","non-dropping-particle":"","parse-names":false,"suffix":""},{"dropping-particle":"","family":"Mößner","given":"Rotraut","non-dropping-particle":"","parse-names":false,"suffix":""},{"dropping-particle":"","family":"Shomroni","given":"Orr","non-dropping-particle":"","parse-names":false,"suffix":""},{"dropping-particle":"","family":"Lingner","given":"Thomas","non-dropping-particle":"","parse-names":false,"suffix":""},{"dropping-particle":"","family":"Witte","given":"Katrin","non-dropping-particle":"","parse-names":false,"suffix":""},{"dropping-particle":"","family":"Kunkel","given":"Desiree","non-dropping-particle":"","parse-names":false,"suffix":""},{"dropping-particle":"","family":"Salinas","given":"Gabriela","non-dropping-particle":"","parse-names":false,"suffix":""},{"dropping-particle":"","family":"Jodl","given":"Stefan","non-dropping-particle":"","parse-names":false,"suffix":""},{"dropping-particle":"","family":"Schmidt","given":"Nicole","non-dropping-particle":"","parse-names":false,"suffix":""},{"dropping-particle":"","family":"Sterry","given":"Wolfram","non-dropping-particle":"","parse-names":false,"suffix":""},{"dropping-particle":"","family":"Volk","given":"Hans Dieter","non-dropping-particle":"","parse-names":false,"suffix":""},{"dropping-particle":"","family":"Giamarellos-Bourboulis","given":"Evangelos J.","non-dropping-particle":"","parse-names":false,"suffix":""},{"dropping-particle":"","family":"Pokrywka","given":"Anna","non-dropping-particle":"","parse-names":false,"suffix":""},{"dropping-particle":"","family":"Döcke","given":"Wolf Dietrich","non-dropping-particle":"","parse-names":false,"suffix":""},{"dropping-particle":"","family":"Schneider-Burrus","given":"Sylke","non-dropping-particle":"","parse-names":false,"suffix":""},{"dropping-particle":"","family":"Sabat","given":"Robert","non-dropping-particle":"","parse-names":false,"suffix":""}],"container-title":"Journal of Investigative Dermatology","id":"ITEM-1","issue":"6","issued":{"date-parts":[["2019"]]},"page":"1294-1305","title":"The IL-1 Pathway Is Hyperactive in Hidradenitis Suppurativa and Contributes to Skin Infiltration and Destruction","type":"article-journal","volume":"139"},"uris":["http://www.mendeley.com/documents/?uuid=ca351a75-20e7-4301-9c78-dea9aa99a328"]},{"id":"ITEM-2","itemData":{"DOI":"10.1111/bjd.17334","author":[{"dropping-particle":"","family":"Krause","given":"K","non-dropping-particle":"","parse-names":false,"suffix":""},{"dropping-particle":"","family":"Sabat","given":"Robert","non-dropping-particle":"","parse-names":false,"suffix":""},{"dropping-particle":"","family":"Witte-Händel","given":"E","non-dropping-particle":"","parse-names":false,"suffix":""},{"dropping-particle":"","family":"Schulze","given":"A","non-dropping-particle":"","parse-names":false,"suffix":""},{"dropping-particle":"","family":"Puhl","given":"V","non-dropping-particle":"","parse-names":false,"suffix":""},{"dropping-particle":"","family":"Maurer","given":"M","non-dropping-particle":"","parse-names":false,"suffix":""},{"dropping-particle":"","family":"Wolk","given":"K","non-dropping-particle":"","parse-names":false,"suffix":""}],"container-title":"British Journal of Dermatology","id":"ITEM-2","issued":{"date-parts":[["2019"]]},"page":"859-868","title":"Association of CCL2 with systemic inflammation in Schnitzler syndrome","type":"article-journal","volume":"180"},"uris":["http://www.mendeley.com/documents/?uuid=cb652e66-a42b-448e-aa1a-5431aaf82a6e"]}],"mendeley":{"formattedCitation":"(&lt;i&gt;1&lt;/i&gt;, &lt;i&gt;2&lt;/i&gt;)","plainTextFormattedCitation":"(1, 2)","previouslyFormattedCitation":"&lt;span style=\"baseline\"&gt;[32,33]&lt;/span&gt;"},"properties":{"noteIndex":0},"schema":"https://github.com/citation-style-language/schema/raw/master/csl-citation.json"}</w:instrText>
      </w:r>
      <w:r>
        <w:rPr>
          <w:lang w:val="en-GB"/>
        </w:rPr>
        <w:fldChar w:fldCharType="separate"/>
      </w:r>
      <w:r w:rsidR="00EE4F0F" w:rsidRPr="00EE4F0F">
        <w:rPr>
          <w:noProof/>
          <w:lang w:val="en-GB"/>
        </w:rPr>
        <w:t>(</w:t>
      </w:r>
      <w:r w:rsidR="00EE4F0F" w:rsidRPr="00EE4F0F">
        <w:rPr>
          <w:i/>
          <w:noProof/>
          <w:lang w:val="en-GB"/>
        </w:rPr>
        <w:t>1</w:t>
      </w:r>
      <w:r w:rsidR="00EE4F0F" w:rsidRPr="00EE4F0F">
        <w:rPr>
          <w:noProof/>
          <w:lang w:val="en-GB"/>
        </w:rPr>
        <w:t xml:space="preserve">, </w:t>
      </w:r>
      <w:r w:rsidR="00EE4F0F" w:rsidRPr="00EE4F0F">
        <w:rPr>
          <w:i/>
          <w:noProof/>
          <w:lang w:val="en-GB"/>
        </w:rPr>
        <w:t>2</w:t>
      </w:r>
      <w:r w:rsidR="00EE4F0F" w:rsidRPr="00EE4F0F">
        <w:rPr>
          <w:noProof/>
          <w:lang w:val="en-GB"/>
        </w:rPr>
        <w:t>)</w:t>
      </w:r>
      <w:r>
        <w:rPr>
          <w:lang w:val="en-GB"/>
        </w:rPr>
        <w:fldChar w:fldCharType="end"/>
      </w:r>
    </w:p>
    <w:p w:rsidR="00F7195E" w:rsidRPr="00066153" w:rsidRDefault="00F7195E" w:rsidP="00F7195E">
      <w:pPr>
        <w:pStyle w:val="Heading2"/>
        <w:rPr>
          <w:lang w:val="en-GB"/>
        </w:rPr>
      </w:pPr>
      <w:r w:rsidRPr="00066153">
        <w:rPr>
          <w:lang w:val="en-GB"/>
        </w:rPr>
        <w:t>Measurement of gene expression markers</w:t>
      </w:r>
    </w:p>
    <w:p w:rsidR="00F7195E" w:rsidRPr="00066153" w:rsidRDefault="00F7195E" w:rsidP="00F7195E">
      <w:pPr>
        <w:rPr>
          <w:lang w:val="en-GB"/>
        </w:rPr>
      </w:pPr>
      <w:r w:rsidRPr="008B1F8D">
        <w:rPr>
          <w:lang w:val="en-GB"/>
        </w:rPr>
        <w:t xml:space="preserve">We characterized the expression of genes </w:t>
      </w:r>
      <w:r w:rsidRPr="00066153">
        <w:rPr>
          <w:lang w:val="en-GB"/>
        </w:rPr>
        <w:t xml:space="preserve">previously identified as upregulated in immunosuppression-free operationally-tolerant kidney transplant such as HS3ST1, SH2D1B, CD79B, MS4A1, PNOC, TCL1A, FCRL1 and FCRL2, or in rejection e.g. HMMR, TLR5, SLC8A1 and VAV3 (for information on the gene abbreviations, see Table </w:t>
      </w:r>
      <w:r w:rsidR="00741A92">
        <w:rPr>
          <w:lang w:val="en-GB"/>
        </w:rPr>
        <w:t>A</w:t>
      </w:r>
      <w:r w:rsidRPr="00066153">
        <w:rPr>
          <w:lang w:val="en-GB"/>
        </w:rPr>
        <w:t>).</w:t>
      </w:r>
      <w:r w:rsidRPr="00066153">
        <w:rPr>
          <w:color w:val="000000"/>
          <w:lang w:val="en-GB"/>
        </w:rPr>
        <w:fldChar w:fldCharType="begin" w:fldLock="1"/>
      </w:r>
      <w:r w:rsidR="00EE4F0F">
        <w:rPr>
          <w:color w:val="000000"/>
          <w:lang w:val="en-GB"/>
        </w:rPr>
        <w:instrText>ADDIN CSL_CITATION {"citationItems":[{"id":"ITEM-1","itemData":{"DOI":"10.1172/JCI39922","ISSN":"00219738","PMID":"20501943","abstract":"Identifying transplant recipients in whom immunological tolerance is established or is developing would allow an individually tailored approach to their posttransplantation management. In this study, we aimed to develop reliable and reproducible in vitro assays capable of detecting tolerance in renal transplant recipients. Several biomarkers and bioassays were screened on a training set that included 11 operationally tolerant renal transplant recipients, recipient groups following different immunosuppressive regimes, recipients undergoing chronic rejection, and healthy controls. Highly predictive assays were repeated on an independent test set that included 24 tolerant renal transplant recipients. Tolerant patients displayed an expansion of peripheral blood B and NK lymphocytes, fewer activated CD4+ T cells, a lack of donor-specific antibodies, donor-specific hyporesponsiveness of CD4+ T cells, and a high ratio of forkhead box P3 to α-1,2-mannosidase gene expression. Microarray analysis further revealed in tolerant recipients a bias toward differential expression of B cell-related genes and their associated molecular pathways. By combining these indices of tolerance as a cross-platform biomarker signature, we were able to identify tolerant recipients in both the training set and the test set. This study provides an immunological profile of the tolerant state that, with further validation, should inform and shape drug-weaning protocols in renal transplant recipients.","author":[{"dropping-particle":"","family":"Sagoo","given":"Pervinder","non-dropping-particle":"","parse-names":false,"suffix":""},{"dropping-particle":"","family":"Perucha","given":"Esperanza","non-dropping-particle":"","parse-names":false,"suffix":""},{"dropping-particle":"","family":"Sawitzki","given":"Birgit","non-dropping-particle":"","parse-names":false,"suffix":""},{"dropping-particle":"","family":"Tomiuk","given":"Stefan","non-dropping-particle":"","parse-names":false,"suffix":""},{"dropping-particle":"","family":"Stephens","given":"David A.","non-dropping-particle":"","parse-names":false,"suffix":""},{"dropping-particle":"","family":"Miqueu","given":"Patrick","non-dropping-particle":"","parse-names":false,"suffix":""},{"dropping-particle":"","family":"Chapman","given":"Stephanie","non-dropping-particle":"","parse-names":false,"suffix":""},{"dropping-particle":"","family":"Craciun","given":"Ligia","non-dropping-particle":"","parse-names":false,"suffix":""},{"dropping-particle":"","family":"Sergeant","given":"Ruhena","non-dropping-particle":"","parse-names":false,"suffix":""},{"dropping-particle":"","family":"Brouard","given":"Sophie","non-dropping-particle":"","parse-names":false,"suffix":""},{"dropping-particle":"","family":"Rovis","given":"Flavia","non-dropping-particle":"","parse-names":false,"suffix":""},{"dropping-particle":"","family":"Jimenez","given":"Elvira","non-dropping-particle":"","parse-names":false,"suffix":""},{"dropping-particle":"","family":"Ballow","given":"Amany","non-dropping-particle":"","parse-names":false,"suffix":""},{"dropping-particle":"","family":"Giral","given":"Magali","non-dropping-particle":"","parse-names":false,"suffix":""},{"dropping-particle":"","family":"Rebollo-Mesa","given":"Irene","non-dropping-particle":"","parse-names":false,"suffix":""},{"dropping-particle":"","family":"Moine","given":"Alain","non-dropping-particle":"Le","parse-names":false,"suffix":""},{"dropping-particle":"","family":"Braudeau","given":"Cecile","non-dropping-particle":"","parse-names":false,"suffix":""},{"dropping-particle":"","family":"Hilton","given":"Rachel","non-dropping-particle":"","parse-names":false,"suffix":""},{"dropping-particle":"","family":"Gerstmayer","given":"Bernhard","non-dropping-particle":"","parse-names":false,"suffix":""},{"dropping-particle":"","family":"Bourcier","given":"Katarzyna","non-dropping-particle":"","parse-names":false,"suffix":""},{"dropping-particle":"","family":"Sharif","given":"Adnan","non-dropping-particle":"","parse-names":false,"suffix":""},{"dropping-particle":"","family":"Krajewska","given":"Magdalena","non-dropping-particle":"","parse-names":false,"suffix":""},{"dropping-particle":"","family":"Lord","given":"Graham M.","non-dropping-particle":"","parse-names":false,"suffix":""},{"dropping-particle":"","family":"Roberts","given":"Ian","non-dropping-particle":"","parse-names":false,"suffix":""},{"dropping-particle":"","family":"Goldman","given":"Michel","non-dropping-particle":"","parse-names":false,"suffix":""},{"dropping-particle":"","family":"Wood","given":"Kathryn J.","non-dropping-particle":"","parse-names":false,"suffix":""},{"dropping-particle":"","family":"Newell","given":"Kenneth","non-dropping-particle":"","parse-names":false,"suffix":""},{"dropping-particle":"","family":"Seyfert-Margolis","given":"Vicki","non-dropping-particle":"","parse-names":false,"suffix":""},{"dropping-particle":"","family":"Warrens","given":"Anthony N.","non-dropping-particle":"","parse-names":false,"suffix":""},{"dropping-particle":"","family":"Janssen","given":"Uwe","non-dropping-particle":"","parse-names":false,"suffix":""},{"dropping-particle":"","family":"Volk","given":"Hans Dieter","non-dropping-particle":"","parse-names":false,"suffix":""},{"dropping-particle":"","family":"Soulillou","given":"Jean Paul","non-dropping-particle":"","parse-names":false,"suffix":""},{"dropping-particle":"","family":"Hernandez-Fuentes","given":"Maria P.","non-dropping-particle":"","parse-names":false,"suffix":""},{"dropping-particle":"","family":"Lechler","given":"Robert I.","non-dropping-particle":"","parse-names":false,"suffix":""}],"container-title":"Journal of Clinical Investigation","id":"ITEM-1","issue":"6","issued":{"date-parts":[["2010"]]},"page":"1848-1861","title":"Development of a cross-platform biomarker signature to detect renal transplant tolerance in humans","type":"article-journal","volume":"120"},"uris":["http://www.mendeley.com/documents/?uuid=8bc4bf86-2f8b-43a9-8058-1e85595c43e0"]},{"id":"ITEM-2","itemData":{"DOI":"10.1111/j.1600-6143.2007.01768.x","ISSN":"16006135","PMID":"17456197","abstract":"The clinical success of new treatment strategies aiming on inducing permanent graft acceptance will rely on the ability to determine whether specific unresponsiveness to donor alloantigens has developed and for how long it is maintained. To identify markers for such posttransplant monitoring, genes differentially expressed by graft infiltrating leukocytes during tolerance induction or rejection after kidney transplantation in rats were compared. A subsequently performed full kinetic analysis in two different transplant models, kidney and heart, in two species, rat and mouse identified two markers (TOAG-1, α-1,2-mannosidase) with high specificity and reproducibility, which are highly expressed during induction and maintenance of acceptance, and downregulated during rejection. Expression level of these markers showed a strong positive correlation with graft function. In addition, expression of both genes was downregulated in the peripheral blood and the graft prior to rejection, suggesting that these markers may be useful for monitoring in clinical transplantation where peripheral blood is the most easily accessible patient sample. Interestingly, downregulation of TOAG-1 and α-1,2- mannosidase expression occurred in graft infiltrating cells and expression of both genes was also downregulated after T-cell activation in vitro. © 2007 The Authors.","author":[{"dropping-particle":"","family":"Sawitzki","given":"B.","non-dropping-particle":"","parse-names":false,"suffix":""},{"dropping-particle":"","family":"Bushell","given":"A.","non-dropping-particle":"","parse-names":false,"suffix":""},{"dropping-particle":"","family":"Steger","given":"U.","non-dropping-particle":"","parse-names":false,"suffix":""},{"dropping-particle":"","family":"Jones","given":"N.","non-dropping-particle":"","parse-names":false,"suffix":""},{"dropping-particle":"","family":"Risch","given":"K.","non-dropping-particle":"","parse-names":false,"suffix":""},{"dropping-particle":"","family":"Siepert","given":"A.","non-dropping-particle":"","parse-names":false,"suffix":""},{"dropping-particle":"","family":"Lehmann","given":"M.","non-dropping-particle":"","parse-names":false,"suffix":""},{"dropping-particle":"","family":"Schmitt-Knosalla","given":"I.","non-dropping-particle":"","parse-names":false,"suffix":""},{"dropping-particle":"","family":"Vogt","given":"K.","non-dropping-particle":"","parse-names":false,"suffix":""},{"dropping-particle":"","family":"Gebuhr","given":"I.","non-dropping-particle":"","parse-names":false,"suffix":""},{"dropping-particle":"","family":"Wood","given":"K.","non-dropping-particle":"","parse-names":false,"suffix":""},{"dropping-particle":"","family":"Volk","given":"H. D.","non-dropping-particle":"","parse-names":false,"suffix":""}],"container-title":"American Journal of Transplantation","id":"ITEM-2","issue":"5","issued":{"date-parts":[["2007"]]},"page":"1091-1102","title":"Identification of gene markers for the prediction of allograft rejection or permanent acceptance","type":"article-journal","volume":"7"},"uris":["http://www.mendeley.com/documents/?uuid=f22edb63-4253-4821-bc43-0a4149aae6e3"]},{"id":"ITEM-3","itemData":{"DOI":"10.1097/TP.0b013e3182789a24","ISSN":"00411337","PMID":"23222918","abstract":"BACKGROUND: Molecular signatures have recently been identified in operationally tolerant long-term kidney transplant patients; however, their expression in patients on immunosuppression remains unclear. METHODS: In this prospective study, the gene expression profiles of eight selected tolerance-associated genes (MS4A1, CD79B, TCL1A, TMEM176B, FOXP3, TOAG-1, MAN1A1, and TLR5) in the peripheral blood of 67 kidney transplant recipients at days 0, 7, 14, 21, 28, 60, 90, and at 6 and 12 months, and in graft biopsies were measured. Similarly, using flow cytometry, CD45CD19CD3 B-cell counts were evaluated in the follow-up. Expression patterns were compared among patients with biopsy-proven acute rejection, borderline changes, and in rejection-free patients. A generalized linear mixed model with gamma distribution for repeated measures adjusted for induction therapy was used for statistical analysis of longitudinal data and Kruskal-Wallis test for case biopsy data. RESULTS: Compared to patients with rejection, a significantly higher number of peripheral B cells were observed during follow-up in rejection-free patients and in patients with borderline changes. Gene expression patterns of MS4A1 (CD20), TCL1A, CD79B, TOAG-1, and FOXP3 genes were significantly higher in rejection-free patients as compared to rejection group with the highest differences during the first 3 months. In contrast, TMEM176B (TORID) was up-regulated in the rejection group. Similar trends were also observed between patients with borderline changes and acute rejection. Higher intragraft expression of TOAG-1 was observed in rejection-free patients. CONCLUSIONS: These observations suggest an association of B-cell signatures, seen also in drug-free tolerant patients, with controlled alloimmune response. © 2012 Lippincott Williams &amp; Wilkins.","author":[{"dropping-particle":"","family":"Viklicky","given":"Ondrej","non-dropping-particle":"","parse-names":false,"suffix":""},{"dropping-particle":"","family":"Krystufkova","given":"Eva","non-dropping-particle":"","parse-names":false,"suffix":""},{"dropping-particle":"","family":"Brabcova","given":"Irena","non-dropping-particle":"","parse-names":false,"suffix":""},{"dropping-particle":"","family":"Sekerkova","given":"Alena","non-dropping-particle":"","parse-names":false,"suffix":""},{"dropping-particle":"","family":"Wohlfahrt","given":"Peter","non-dropping-particle":"","parse-names":false,"suffix":""},{"dropping-particle":"","family":"Hribova","given":"Petra","non-dropping-particle":"","parse-names":false,"suffix":""},{"dropping-particle":"","family":"Wohlfahrtova","given":"Mariana","non-dropping-particle":"","parse-names":false,"suffix":""},{"dropping-particle":"","family":"Sawitzki","given":"Birgit","non-dropping-particle":"","parse-names":false,"suffix":""},{"dropping-particle":"","family":"Slatinska","given":"Janka","non-dropping-particle":"","parse-names":false,"suffix":""},{"dropping-particle":"","family":"Striz","given":"Ilja","non-dropping-particle":"","parse-names":false,"suffix":""},{"dropping-particle":"","family":"Volk","given":"Hans Dieter","non-dropping-particle":"","parse-names":false,"suffix":""},{"dropping-particle":"","family":"Reinke","given":"Petra","non-dropping-particle":"","parse-names":false,"suffix":""}],"container-title":"Transplantation","id":"ITEM-3","issue":"1","issued":{"date-parts":[["2013"]]},"page":"148-154","title":"B-cell-related biomarkers of tolerance are up-regulated in rejection-free kidney transplant recipients","type":"article-journal","volume":"95"},"uris":["http://www.mendeley.com/documents/?uuid=2e415bda-60bc-4beb-a905-79932a33d045"]},{"id":"ITEM-4","itemData":{"DOI":"10.1186/s12882-015-0141-2","ISSN":"14712369","PMID":"26286066","abstract":"Background: Induction therapy can improve kidney transplantation (KTx) outcomes, but little is known about the mechanisms underlying its effects. Methods: The mRNA levels of T cell-related genes associated with tolerance or rejection (CD247, GZMB, PRF1, FOXP3, MAN1A1, TCAIM, and TLR5) and lymphocyte subpopulations were monitored prospectively in the peripheral blood of 60 kidney transplant recipients before and 7, 14, 21, 28, 60, 90 days, 6 months, and 12 months after KTx. Patients were treated with calcineurin inhibitor-based triple immunosuppression and induction with rabbit anti-thymocyte globulin (rATG, n = 24), basiliximab (n = 17), or without induction (no-induction, n = 19). A generalized linear mixed model with gamma distribution for repeated measures, adjusted for rejection, recipient/donor age and delayed graft function, was used for statistical analysis. Results: rATG treatment caused an intense reduction in all T cell type population and natural killer (NK) cells within 7 days, then a slow increase and repopulation was observed. This was also noticed in the expression levels of CD247, FOXP3, GZMB, and PRF1. The basiliximab group exhibited higher CD247, GZMB, FOXP3 and TCAIM mRNA levels and regulatory T cell (Treg) counts than the no-induction group. The levels of MAN1A1 and TLR5 mRNA expressions were increased, whereas TCAIM decreased in the rATG group as compared with those in the no-induction group. Conclusion: The rATG induction therapy was associated with decreased T and NK cell-related transcript levels and with upregulation of two rejection-associated transcripts (MAN1A1 and TLR5) shortly after KTx. Basiliximab treatment was associated with increased absolute number of Treg cells, and increased level of FOXP3 and TCAIM expression.","author":[{"dropping-particle":"","family":"Krepsova","given":"Eva","non-dropping-particle":"","parse-names":false,"suffix":""},{"dropping-particle":"","family":"Tycova","given":"Irena","non-dropping-particle":"","parse-names":false,"suffix":""},{"dropping-particle":"","family":"Sekerkova","given":"Alena","non-dropping-particle":"","parse-names":false,"suffix":""},{"dropping-particle":"","family":"Wohlfahrt","given":"Peter","non-dropping-particle":"","parse-names":false,"suffix":""},{"dropping-particle":"","family":"Hruba","given":"Petra","non-dropping-particle":"","parse-names":false,"suffix":""},{"dropping-particle":"","family":"Striz","given":"Ilja","non-dropping-particle":"","parse-names":false,"suffix":""},{"dropping-particle":"","family":"Sawitzki","given":"Birgit","non-dropping-particle":"","parse-names":false,"suffix":""},{"dropping-particle":"","family":"Viklicky","given":"Ondrej","non-dropping-particle":"","parse-names":false,"suffix":""}],"container-title":"BMC Nephrology","id":"ITEM-4","issue":"1","issued":{"date-parts":[["2015"]]},"page":"1-9","publisher":"BMC Nephrology","title":"Effect of induction therapy on the expression of molecular markers associated with rejection and tolerance","type":"article-journal","volume":"16"},"uris":["http://www.mendeley.com/documents/?uuid=7a348609-2a82-4e5c-8265-bae4efd944ba"]}],"mendeley":{"formattedCitation":"(&lt;i&gt;3&lt;/i&gt;–&lt;i&gt;6&lt;/i&gt;)","plainTextFormattedCitation":"(3–6)","previouslyFormattedCitation":"&lt;span style=\"baseline\"&gt;[28–31]&lt;/span&gt;"},"properties":{"noteIndex":0},"schema":"https://github.com/citation-style-language/schema/raw/master/csl-citation.json"}</w:instrText>
      </w:r>
      <w:r w:rsidRPr="00066153">
        <w:rPr>
          <w:color w:val="000000"/>
          <w:lang w:val="en-GB"/>
        </w:rPr>
        <w:fldChar w:fldCharType="separate"/>
      </w:r>
      <w:r w:rsidR="00EE4F0F" w:rsidRPr="00EE4F0F">
        <w:rPr>
          <w:noProof/>
          <w:lang w:val="en-GB"/>
        </w:rPr>
        <w:t>(</w:t>
      </w:r>
      <w:r w:rsidR="00EE4F0F" w:rsidRPr="00EE4F0F">
        <w:rPr>
          <w:i/>
          <w:noProof/>
          <w:lang w:val="en-GB"/>
        </w:rPr>
        <w:t>3</w:t>
      </w:r>
      <w:r w:rsidR="00EE4F0F" w:rsidRPr="00EE4F0F">
        <w:rPr>
          <w:noProof/>
          <w:lang w:val="en-GB"/>
        </w:rPr>
        <w:t>–</w:t>
      </w:r>
      <w:r w:rsidR="00EE4F0F" w:rsidRPr="00EE4F0F">
        <w:rPr>
          <w:i/>
          <w:noProof/>
          <w:lang w:val="en-GB"/>
        </w:rPr>
        <w:t>6</w:t>
      </w:r>
      <w:r w:rsidR="00EE4F0F" w:rsidRPr="00EE4F0F">
        <w:rPr>
          <w:noProof/>
          <w:lang w:val="en-GB"/>
        </w:rPr>
        <w:t>)</w:t>
      </w:r>
      <w:r w:rsidRPr="00066153">
        <w:rPr>
          <w:color w:val="000000"/>
          <w:lang w:val="en-GB"/>
        </w:rPr>
        <w:fldChar w:fldCharType="end"/>
      </w:r>
    </w:p>
    <w:p w:rsidR="00F7195E" w:rsidRPr="008B1F8D" w:rsidRDefault="00F7195E" w:rsidP="00F7195E">
      <w:pPr>
        <w:rPr>
          <w:lang w:val="en-GB"/>
        </w:rPr>
      </w:pPr>
    </w:p>
    <w:p w:rsidR="00F7195E" w:rsidRPr="008B1F8D" w:rsidRDefault="00F7195E" w:rsidP="00F7195E">
      <w:pPr>
        <w:rPr>
          <w:lang w:val="en-GB"/>
        </w:rPr>
      </w:pPr>
      <w:r w:rsidRPr="008B1F8D">
        <w:rPr>
          <w:lang w:val="en-GB"/>
        </w:rPr>
        <w:t xml:space="preserve">Thus, patient blood samples </w:t>
      </w:r>
      <w:proofErr w:type="gramStart"/>
      <w:r w:rsidRPr="008B1F8D">
        <w:rPr>
          <w:lang w:val="en-GB"/>
        </w:rPr>
        <w:t>were collected in Tempus Blood RNA Tubes (</w:t>
      </w:r>
      <w:proofErr w:type="spellStart"/>
      <w:r w:rsidRPr="008B1F8D">
        <w:rPr>
          <w:lang w:val="en-GB"/>
        </w:rPr>
        <w:t>Thermo</w:t>
      </w:r>
      <w:proofErr w:type="spellEnd"/>
      <w:r w:rsidRPr="008B1F8D">
        <w:rPr>
          <w:lang w:val="en-GB"/>
        </w:rPr>
        <w:t xml:space="preserve"> Fisher Scientific, </w:t>
      </w:r>
      <w:r w:rsidRPr="00066153">
        <w:rPr>
          <w:lang w:val="en-GB"/>
        </w:rPr>
        <w:t>Schwerte, Germany</w:t>
      </w:r>
      <w:r w:rsidRPr="008B1F8D">
        <w:rPr>
          <w:lang w:val="en-GB"/>
        </w:rPr>
        <w:t>) and stored at -20°C until shipment as batches into central immune monitoring lab</w:t>
      </w:r>
      <w:proofErr w:type="gramEnd"/>
      <w:r w:rsidRPr="008B1F8D">
        <w:rPr>
          <w:lang w:val="en-GB"/>
        </w:rPr>
        <w:t xml:space="preserve">. RNA was isolated using the </w:t>
      </w:r>
      <w:proofErr w:type="spellStart"/>
      <w:r w:rsidRPr="008B1F8D">
        <w:rPr>
          <w:lang w:val="en-GB"/>
        </w:rPr>
        <w:t>MagMAX</w:t>
      </w:r>
      <w:proofErr w:type="spellEnd"/>
      <w:r w:rsidRPr="008B1F8D">
        <w:rPr>
          <w:lang w:val="en-GB"/>
        </w:rPr>
        <w:t>™ for Stabilized Blood Tubes RNA Isolation Kit (</w:t>
      </w:r>
      <w:proofErr w:type="spellStart"/>
      <w:r w:rsidRPr="008B1F8D">
        <w:rPr>
          <w:lang w:val="en-GB"/>
        </w:rPr>
        <w:t>Thermo</w:t>
      </w:r>
      <w:proofErr w:type="spellEnd"/>
      <w:r w:rsidRPr="008B1F8D">
        <w:rPr>
          <w:lang w:val="en-GB"/>
        </w:rPr>
        <w:t xml:space="preserve"> Fisher Scientific). Up to 1000 ng RNA </w:t>
      </w:r>
      <w:proofErr w:type="gramStart"/>
      <w:r w:rsidRPr="008B1F8D">
        <w:rPr>
          <w:lang w:val="en-GB"/>
        </w:rPr>
        <w:t>were transcribed</w:t>
      </w:r>
      <w:proofErr w:type="gramEnd"/>
      <w:r w:rsidRPr="008B1F8D">
        <w:rPr>
          <w:lang w:val="en-GB"/>
        </w:rPr>
        <w:t xml:space="preserve"> into cDNA using the </w:t>
      </w:r>
      <w:proofErr w:type="spellStart"/>
      <w:r w:rsidRPr="008B1F8D">
        <w:rPr>
          <w:lang w:val="en-GB"/>
        </w:rPr>
        <w:t>QuantiTect</w:t>
      </w:r>
      <w:proofErr w:type="spellEnd"/>
      <w:r w:rsidRPr="008B1F8D">
        <w:rPr>
          <w:lang w:val="en-GB"/>
        </w:rPr>
        <w:t xml:space="preserve"> Reverse Transcription Kit (</w:t>
      </w:r>
      <w:proofErr w:type="spellStart"/>
      <w:r w:rsidRPr="008B1F8D">
        <w:rPr>
          <w:lang w:val="en-GB"/>
        </w:rPr>
        <w:t>Qiagen</w:t>
      </w:r>
      <w:proofErr w:type="spellEnd"/>
      <w:r w:rsidRPr="008B1F8D">
        <w:rPr>
          <w:lang w:val="en-GB"/>
        </w:rPr>
        <w:t>, Hilden, Germany).</w:t>
      </w:r>
      <w:r w:rsidRPr="00066153">
        <w:rPr>
          <w:lang w:val="en-GB"/>
        </w:rPr>
        <w:t xml:space="preserve"> Gene expression </w:t>
      </w:r>
      <w:proofErr w:type="gramStart"/>
      <w:r w:rsidRPr="008B1F8D">
        <w:rPr>
          <w:lang w:val="en-GB"/>
        </w:rPr>
        <w:t>was measured</w:t>
      </w:r>
      <w:proofErr w:type="gramEnd"/>
      <w:r w:rsidRPr="008B1F8D">
        <w:rPr>
          <w:lang w:val="en-GB"/>
        </w:rPr>
        <w:t xml:space="preserve"> using </w:t>
      </w:r>
      <w:proofErr w:type="spellStart"/>
      <w:r w:rsidRPr="008B1F8D">
        <w:rPr>
          <w:lang w:val="en-GB"/>
        </w:rPr>
        <w:t>TaqMan</w:t>
      </w:r>
      <w:proofErr w:type="spellEnd"/>
      <w:r w:rsidRPr="008B1F8D">
        <w:rPr>
          <w:lang w:val="en-GB"/>
        </w:rPr>
        <w:t xml:space="preserve"> Gene Expression Assays (</w:t>
      </w:r>
      <w:proofErr w:type="spellStart"/>
      <w:r w:rsidRPr="008B1F8D">
        <w:rPr>
          <w:lang w:val="en-GB"/>
        </w:rPr>
        <w:t>Thermo</w:t>
      </w:r>
      <w:proofErr w:type="spellEnd"/>
      <w:r w:rsidRPr="008B1F8D">
        <w:rPr>
          <w:lang w:val="en-GB"/>
        </w:rPr>
        <w:t xml:space="preserve"> Fisher Scientific, see Table 2)</w:t>
      </w:r>
      <w:r w:rsidRPr="008B1F8D">
        <w:rPr>
          <w:i/>
          <w:iCs/>
          <w:lang w:val="en-GB"/>
        </w:rPr>
        <w:t xml:space="preserve">, </w:t>
      </w:r>
      <w:r w:rsidRPr="008B1F8D">
        <w:rPr>
          <w:lang w:val="en-GB"/>
        </w:rPr>
        <w:t xml:space="preserve">microfluidic cards and </w:t>
      </w:r>
      <w:proofErr w:type="spellStart"/>
      <w:r w:rsidRPr="008B1F8D">
        <w:rPr>
          <w:lang w:val="en-GB"/>
        </w:rPr>
        <w:t>TaqMan</w:t>
      </w:r>
      <w:proofErr w:type="spellEnd"/>
      <w:r w:rsidRPr="008B1F8D">
        <w:rPr>
          <w:lang w:val="en-GB"/>
        </w:rPr>
        <w:t xml:space="preserve"> Universal Master Mix (</w:t>
      </w:r>
      <w:proofErr w:type="spellStart"/>
      <w:r w:rsidRPr="008B1F8D">
        <w:rPr>
          <w:lang w:val="en-GB"/>
        </w:rPr>
        <w:t>Thermo</w:t>
      </w:r>
      <w:proofErr w:type="spellEnd"/>
      <w:r w:rsidRPr="008B1F8D">
        <w:rPr>
          <w:lang w:val="en-GB"/>
        </w:rPr>
        <w:t xml:space="preserve"> Fisher Scientific) on the ViiA7 Real Time PCR System (</w:t>
      </w:r>
      <w:proofErr w:type="spellStart"/>
      <w:r w:rsidRPr="008B1F8D">
        <w:rPr>
          <w:lang w:val="en-GB"/>
        </w:rPr>
        <w:t>Thermo</w:t>
      </w:r>
      <w:proofErr w:type="spellEnd"/>
      <w:r w:rsidRPr="008B1F8D">
        <w:rPr>
          <w:lang w:val="en-GB"/>
        </w:rPr>
        <w:t xml:space="preserve"> Fisher Scientific). Reactions </w:t>
      </w:r>
      <w:proofErr w:type="gramStart"/>
      <w:r w:rsidRPr="008B1F8D">
        <w:rPr>
          <w:lang w:val="en-GB"/>
        </w:rPr>
        <w:t>were run</w:t>
      </w:r>
      <w:proofErr w:type="gramEnd"/>
      <w:r w:rsidRPr="008B1F8D">
        <w:rPr>
          <w:lang w:val="en-GB"/>
        </w:rPr>
        <w:t xml:space="preserve"> in duplicates using 384-well microfluidic Custom </w:t>
      </w:r>
      <w:proofErr w:type="spellStart"/>
      <w:r w:rsidRPr="008B1F8D">
        <w:rPr>
          <w:lang w:val="en-GB"/>
        </w:rPr>
        <w:t>TaqMan</w:t>
      </w:r>
      <w:proofErr w:type="spellEnd"/>
      <w:r w:rsidRPr="008B1F8D">
        <w:rPr>
          <w:lang w:val="en-GB"/>
        </w:rPr>
        <w:t>® Array Cards; data were analysed applying the respective ViiA7 Software v 1.2.2. Gene expression of the gene expression marker subset was calculated relative to the median expression of three reference genes (HPRT, B2M and GADPH), using the 2</w:t>
      </w:r>
      <w:r w:rsidRPr="008B1F8D">
        <w:rPr>
          <w:vertAlign w:val="superscript"/>
          <w:lang w:val="en-GB"/>
        </w:rPr>
        <w:t>-ΔΔCt</w:t>
      </w:r>
      <w:r w:rsidRPr="008B1F8D">
        <w:rPr>
          <w:lang w:val="en-GB"/>
        </w:rPr>
        <w:t xml:space="preserve"> method. </w:t>
      </w:r>
    </w:p>
    <w:p w:rsidR="00F7195E" w:rsidRDefault="00F7195E" w:rsidP="00F7195E">
      <w:pPr>
        <w:rPr>
          <w:lang w:val="en-GB"/>
        </w:rPr>
      </w:pPr>
      <w:r w:rsidRPr="008B1F8D">
        <w:rPr>
          <w:lang w:val="en-GB"/>
        </w:rPr>
        <w:t xml:space="preserve"> </w:t>
      </w:r>
    </w:p>
    <w:tbl>
      <w:tblPr>
        <w:tblStyle w:val="TableGrid"/>
        <w:tblW w:w="0" w:type="auto"/>
        <w:tblLook w:val="04A0" w:firstRow="1" w:lastRow="0" w:firstColumn="1" w:lastColumn="0" w:noHBand="0" w:noVBand="1"/>
      </w:tblPr>
      <w:tblGrid>
        <w:gridCol w:w="1555"/>
        <w:gridCol w:w="4961"/>
        <w:gridCol w:w="2503"/>
      </w:tblGrid>
      <w:tr w:rsidR="00F7195E" w:rsidRPr="00AA6F8D" w:rsidTr="00AA6F8D">
        <w:tc>
          <w:tcPr>
            <w:tcW w:w="1555" w:type="dxa"/>
          </w:tcPr>
          <w:p w:rsidR="00F7195E" w:rsidRPr="009032FC" w:rsidRDefault="00F7195E" w:rsidP="00AA6F8D">
            <w:pPr>
              <w:rPr>
                <w:b/>
                <w:bCs/>
                <w:sz w:val="20"/>
                <w:szCs w:val="20"/>
                <w:lang w:val="en-GB"/>
              </w:rPr>
            </w:pPr>
            <w:r w:rsidRPr="009032FC">
              <w:rPr>
                <w:b/>
                <w:bCs/>
                <w:sz w:val="20"/>
                <w:szCs w:val="20"/>
                <w:lang w:val="en-GB"/>
              </w:rPr>
              <w:t>Gene symbol</w:t>
            </w:r>
          </w:p>
        </w:tc>
        <w:tc>
          <w:tcPr>
            <w:tcW w:w="4961" w:type="dxa"/>
          </w:tcPr>
          <w:p w:rsidR="00F7195E" w:rsidRPr="009032FC" w:rsidRDefault="00F7195E" w:rsidP="00AA6F8D">
            <w:pPr>
              <w:rPr>
                <w:b/>
                <w:bCs/>
                <w:sz w:val="20"/>
                <w:szCs w:val="20"/>
                <w:lang w:val="en-GB"/>
              </w:rPr>
            </w:pPr>
            <w:r w:rsidRPr="009032FC">
              <w:rPr>
                <w:b/>
                <w:bCs/>
                <w:sz w:val="20"/>
                <w:szCs w:val="20"/>
                <w:lang w:val="en-GB"/>
              </w:rPr>
              <w:t>Gene name</w:t>
            </w:r>
          </w:p>
        </w:tc>
        <w:tc>
          <w:tcPr>
            <w:tcW w:w="2503" w:type="dxa"/>
          </w:tcPr>
          <w:p w:rsidR="00F7195E" w:rsidRPr="009032FC" w:rsidRDefault="00F7195E" w:rsidP="00AA6F8D">
            <w:pPr>
              <w:rPr>
                <w:b/>
                <w:bCs/>
                <w:sz w:val="20"/>
                <w:szCs w:val="20"/>
                <w:lang w:val="en-GB"/>
              </w:rPr>
            </w:pPr>
            <w:proofErr w:type="spellStart"/>
            <w:r w:rsidRPr="009032FC">
              <w:rPr>
                <w:b/>
                <w:bCs/>
                <w:sz w:val="20"/>
                <w:szCs w:val="20"/>
                <w:lang w:val="en-GB"/>
              </w:rPr>
              <w:t>Thermo</w:t>
            </w:r>
            <w:proofErr w:type="spellEnd"/>
            <w:r w:rsidRPr="009032FC">
              <w:rPr>
                <w:b/>
                <w:bCs/>
                <w:sz w:val="20"/>
                <w:szCs w:val="20"/>
                <w:lang w:val="en-GB"/>
              </w:rPr>
              <w:t xml:space="preserve"> Fisher Assay ID</w:t>
            </w:r>
          </w:p>
        </w:tc>
      </w:tr>
      <w:tr w:rsidR="00F7195E" w:rsidRPr="00AA6F8D" w:rsidTr="00AA6F8D">
        <w:tc>
          <w:tcPr>
            <w:tcW w:w="1555" w:type="dxa"/>
          </w:tcPr>
          <w:p w:rsidR="00F7195E" w:rsidRPr="009032FC" w:rsidRDefault="00F7195E" w:rsidP="00AA6F8D">
            <w:pPr>
              <w:rPr>
                <w:sz w:val="20"/>
                <w:szCs w:val="20"/>
                <w:lang w:val="en-GB"/>
              </w:rPr>
            </w:pPr>
            <w:r w:rsidRPr="009032FC">
              <w:rPr>
                <w:sz w:val="20"/>
                <w:szCs w:val="20"/>
                <w:lang w:val="en-GB"/>
              </w:rPr>
              <w:t>HPRT</w:t>
            </w:r>
          </w:p>
        </w:tc>
        <w:tc>
          <w:tcPr>
            <w:tcW w:w="4961" w:type="dxa"/>
          </w:tcPr>
          <w:p w:rsidR="00F7195E" w:rsidRPr="009032FC" w:rsidRDefault="00F7195E" w:rsidP="00AA6F8D">
            <w:pPr>
              <w:rPr>
                <w:sz w:val="20"/>
                <w:szCs w:val="20"/>
                <w:lang w:val="en-GB"/>
              </w:rPr>
            </w:pPr>
            <w:r w:rsidRPr="009032FC">
              <w:rPr>
                <w:sz w:val="20"/>
                <w:szCs w:val="20"/>
                <w:lang w:val="en-GB"/>
              </w:rPr>
              <w:t xml:space="preserve">Hypoxanthine-guanine </w:t>
            </w:r>
            <w:proofErr w:type="spellStart"/>
            <w:r w:rsidRPr="009032FC">
              <w:rPr>
                <w:sz w:val="20"/>
                <w:szCs w:val="20"/>
                <w:lang w:val="en-GB"/>
              </w:rPr>
              <w:t>phosphoribosyltransferase</w:t>
            </w:r>
            <w:proofErr w:type="spellEnd"/>
          </w:p>
        </w:tc>
        <w:tc>
          <w:tcPr>
            <w:tcW w:w="2503" w:type="dxa"/>
          </w:tcPr>
          <w:p w:rsidR="00F7195E" w:rsidRPr="009032FC" w:rsidRDefault="00F7195E" w:rsidP="00AA6F8D">
            <w:pPr>
              <w:rPr>
                <w:sz w:val="20"/>
                <w:szCs w:val="20"/>
                <w:lang w:val="en-GB"/>
              </w:rPr>
            </w:pPr>
            <w:r w:rsidRPr="009032FC">
              <w:rPr>
                <w:sz w:val="20"/>
                <w:szCs w:val="20"/>
                <w:lang w:val="en-GB"/>
              </w:rPr>
              <w:t>Hs02800695_m1</w:t>
            </w:r>
          </w:p>
        </w:tc>
      </w:tr>
      <w:tr w:rsidR="00F7195E" w:rsidRPr="00AA6F8D" w:rsidTr="00AA6F8D">
        <w:tc>
          <w:tcPr>
            <w:tcW w:w="1555" w:type="dxa"/>
            <w:tcBorders>
              <w:bottom w:val="single" w:sz="4" w:space="0" w:color="auto"/>
            </w:tcBorders>
          </w:tcPr>
          <w:p w:rsidR="00F7195E" w:rsidRPr="009032FC" w:rsidRDefault="00F7195E" w:rsidP="00AA6F8D">
            <w:pPr>
              <w:rPr>
                <w:sz w:val="20"/>
                <w:szCs w:val="20"/>
                <w:lang w:val="en-GB"/>
              </w:rPr>
            </w:pPr>
            <w:r w:rsidRPr="009032FC">
              <w:rPr>
                <w:sz w:val="20"/>
                <w:szCs w:val="20"/>
                <w:lang w:val="en-GB"/>
              </w:rPr>
              <w:t>B2M</w:t>
            </w:r>
          </w:p>
        </w:tc>
        <w:tc>
          <w:tcPr>
            <w:tcW w:w="4961" w:type="dxa"/>
            <w:tcBorders>
              <w:bottom w:val="single" w:sz="4" w:space="0" w:color="auto"/>
            </w:tcBorders>
          </w:tcPr>
          <w:p w:rsidR="00F7195E" w:rsidRPr="009032FC" w:rsidRDefault="00F7195E" w:rsidP="00AA6F8D">
            <w:pPr>
              <w:rPr>
                <w:sz w:val="20"/>
                <w:szCs w:val="20"/>
                <w:lang w:val="en-GB"/>
              </w:rPr>
            </w:pPr>
            <w:r w:rsidRPr="009032FC">
              <w:rPr>
                <w:sz w:val="20"/>
                <w:szCs w:val="20"/>
                <w:lang w:val="en-GB"/>
              </w:rPr>
              <w:t>Beta-2-microglobulin</w:t>
            </w:r>
          </w:p>
        </w:tc>
        <w:tc>
          <w:tcPr>
            <w:tcW w:w="2503" w:type="dxa"/>
            <w:tcBorders>
              <w:bottom w:val="single" w:sz="4" w:space="0" w:color="auto"/>
            </w:tcBorders>
          </w:tcPr>
          <w:p w:rsidR="00F7195E" w:rsidRPr="009032FC" w:rsidRDefault="00F7195E" w:rsidP="00AA6F8D">
            <w:pPr>
              <w:rPr>
                <w:sz w:val="20"/>
                <w:szCs w:val="20"/>
                <w:lang w:val="en-GB"/>
              </w:rPr>
            </w:pPr>
            <w:r w:rsidRPr="009032FC">
              <w:rPr>
                <w:sz w:val="20"/>
                <w:szCs w:val="20"/>
                <w:lang w:val="en-GB"/>
              </w:rPr>
              <w:t>Hs00984230_m1</w:t>
            </w:r>
          </w:p>
        </w:tc>
      </w:tr>
      <w:tr w:rsidR="00F7195E" w:rsidRPr="00AA6F8D" w:rsidTr="00AA6F8D">
        <w:tc>
          <w:tcPr>
            <w:tcW w:w="1555" w:type="dxa"/>
            <w:tcBorders>
              <w:bottom w:val="single" w:sz="12" w:space="0" w:color="auto"/>
            </w:tcBorders>
          </w:tcPr>
          <w:p w:rsidR="00F7195E" w:rsidRPr="009032FC" w:rsidRDefault="00F7195E" w:rsidP="00AA6F8D">
            <w:pPr>
              <w:rPr>
                <w:sz w:val="20"/>
                <w:szCs w:val="20"/>
                <w:lang w:val="en-GB"/>
              </w:rPr>
            </w:pPr>
            <w:r w:rsidRPr="009032FC">
              <w:rPr>
                <w:sz w:val="20"/>
                <w:szCs w:val="20"/>
                <w:lang w:val="en-GB"/>
              </w:rPr>
              <w:t>GAPDH</w:t>
            </w:r>
          </w:p>
        </w:tc>
        <w:tc>
          <w:tcPr>
            <w:tcW w:w="4961" w:type="dxa"/>
            <w:tcBorders>
              <w:bottom w:val="single" w:sz="12" w:space="0" w:color="auto"/>
            </w:tcBorders>
          </w:tcPr>
          <w:p w:rsidR="00F7195E" w:rsidRPr="009032FC" w:rsidRDefault="00F7195E" w:rsidP="00AA6F8D">
            <w:pPr>
              <w:rPr>
                <w:sz w:val="20"/>
                <w:szCs w:val="20"/>
                <w:lang w:val="en-GB"/>
              </w:rPr>
            </w:pPr>
            <w:r w:rsidRPr="009032FC">
              <w:rPr>
                <w:sz w:val="20"/>
                <w:szCs w:val="20"/>
                <w:lang w:val="en-GB"/>
              </w:rPr>
              <w:t>Glyceraldehyde 3-phosphate dehydrogenase</w:t>
            </w:r>
          </w:p>
        </w:tc>
        <w:tc>
          <w:tcPr>
            <w:tcW w:w="2503" w:type="dxa"/>
            <w:tcBorders>
              <w:bottom w:val="single" w:sz="12" w:space="0" w:color="auto"/>
            </w:tcBorders>
          </w:tcPr>
          <w:p w:rsidR="00F7195E" w:rsidRPr="009032FC" w:rsidRDefault="00F7195E" w:rsidP="00AA6F8D">
            <w:pPr>
              <w:rPr>
                <w:sz w:val="20"/>
                <w:szCs w:val="20"/>
                <w:lang w:val="en-GB"/>
              </w:rPr>
            </w:pPr>
            <w:r w:rsidRPr="009032FC">
              <w:rPr>
                <w:sz w:val="20"/>
                <w:szCs w:val="20"/>
                <w:lang w:val="en-GB"/>
              </w:rPr>
              <w:t>Hs99999905_m1</w:t>
            </w:r>
          </w:p>
        </w:tc>
      </w:tr>
      <w:tr w:rsidR="00F7195E" w:rsidRPr="00AA6F8D" w:rsidTr="00AA6F8D">
        <w:tc>
          <w:tcPr>
            <w:tcW w:w="1555" w:type="dxa"/>
            <w:tcBorders>
              <w:top w:val="single" w:sz="12" w:space="0" w:color="auto"/>
            </w:tcBorders>
            <w:vAlign w:val="bottom"/>
          </w:tcPr>
          <w:p w:rsidR="00F7195E" w:rsidRPr="009032FC" w:rsidRDefault="00F7195E" w:rsidP="00AA6F8D">
            <w:pPr>
              <w:rPr>
                <w:sz w:val="20"/>
                <w:szCs w:val="20"/>
                <w:lang w:val="en-GB"/>
              </w:rPr>
            </w:pPr>
            <w:r w:rsidRPr="009032FC">
              <w:rPr>
                <w:color w:val="000000"/>
                <w:sz w:val="20"/>
                <w:szCs w:val="20"/>
                <w:lang w:val="en-GB"/>
              </w:rPr>
              <w:t>CD79B</w:t>
            </w:r>
          </w:p>
        </w:tc>
        <w:tc>
          <w:tcPr>
            <w:tcW w:w="4961" w:type="dxa"/>
            <w:tcBorders>
              <w:top w:val="single" w:sz="12" w:space="0" w:color="auto"/>
            </w:tcBorders>
            <w:vAlign w:val="bottom"/>
          </w:tcPr>
          <w:p w:rsidR="00F7195E" w:rsidRPr="009032FC" w:rsidRDefault="00F7195E" w:rsidP="00AA6F8D">
            <w:pPr>
              <w:rPr>
                <w:sz w:val="20"/>
                <w:szCs w:val="20"/>
                <w:lang w:val="en-GB"/>
              </w:rPr>
            </w:pPr>
            <w:r w:rsidRPr="009032FC">
              <w:rPr>
                <w:color w:val="000000"/>
                <w:sz w:val="20"/>
                <w:szCs w:val="20"/>
                <w:lang w:val="en-GB"/>
              </w:rPr>
              <w:t>CD79B</w:t>
            </w:r>
          </w:p>
        </w:tc>
        <w:tc>
          <w:tcPr>
            <w:tcW w:w="2503" w:type="dxa"/>
            <w:tcBorders>
              <w:top w:val="single" w:sz="12" w:space="0" w:color="auto"/>
            </w:tcBorders>
            <w:vAlign w:val="bottom"/>
          </w:tcPr>
          <w:p w:rsidR="00F7195E" w:rsidRPr="009032FC" w:rsidRDefault="00F7195E" w:rsidP="00AA6F8D">
            <w:pPr>
              <w:rPr>
                <w:sz w:val="20"/>
                <w:szCs w:val="20"/>
                <w:lang w:val="en-GB"/>
              </w:rPr>
            </w:pPr>
            <w:r w:rsidRPr="009032FC">
              <w:rPr>
                <w:color w:val="000000"/>
                <w:sz w:val="20"/>
                <w:szCs w:val="20"/>
                <w:lang w:val="en-GB"/>
              </w:rPr>
              <w:t>Hs00236881_m1</w:t>
            </w:r>
          </w:p>
        </w:tc>
      </w:tr>
      <w:tr w:rsidR="00F7195E" w:rsidRPr="00AA6F8D" w:rsidTr="00AA6F8D">
        <w:tc>
          <w:tcPr>
            <w:tcW w:w="1555" w:type="dxa"/>
            <w:vAlign w:val="bottom"/>
          </w:tcPr>
          <w:p w:rsidR="00F7195E" w:rsidRPr="00900C26" w:rsidRDefault="00F7195E" w:rsidP="00AA6F8D">
            <w:pPr>
              <w:rPr>
                <w:sz w:val="20"/>
                <w:szCs w:val="20"/>
                <w:lang w:val="en-GB"/>
              </w:rPr>
            </w:pPr>
            <w:r w:rsidRPr="00066153">
              <w:rPr>
                <w:sz w:val="20"/>
                <w:szCs w:val="20"/>
                <w:lang w:val="en-GB"/>
              </w:rPr>
              <w:t>CD200</w:t>
            </w:r>
          </w:p>
        </w:tc>
        <w:tc>
          <w:tcPr>
            <w:tcW w:w="4961" w:type="dxa"/>
            <w:vAlign w:val="bottom"/>
          </w:tcPr>
          <w:p w:rsidR="00F7195E" w:rsidRPr="00900C26" w:rsidRDefault="00F7195E" w:rsidP="00AA6F8D">
            <w:pPr>
              <w:rPr>
                <w:sz w:val="20"/>
                <w:szCs w:val="20"/>
                <w:lang w:val="en-GB"/>
              </w:rPr>
            </w:pPr>
            <w:r w:rsidRPr="00066153">
              <w:rPr>
                <w:sz w:val="20"/>
                <w:szCs w:val="20"/>
                <w:lang w:val="en-GB"/>
              </w:rPr>
              <w:t>CD200</w:t>
            </w:r>
          </w:p>
        </w:tc>
        <w:tc>
          <w:tcPr>
            <w:tcW w:w="2503" w:type="dxa"/>
            <w:vAlign w:val="bottom"/>
          </w:tcPr>
          <w:p w:rsidR="00F7195E" w:rsidRPr="00900C26" w:rsidRDefault="00F7195E" w:rsidP="00AA6F8D">
            <w:pPr>
              <w:rPr>
                <w:sz w:val="20"/>
                <w:szCs w:val="20"/>
                <w:lang w:val="en-GB"/>
              </w:rPr>
            </w:pPr>
            <w:r w:rsidRPr="00066153">
              <w:rPr>
                <w:sz w:val="20"/>
                <w:szCs w:val="20"/>
                <w:lang w:val="en-GB"/>
              </w:rPr>
              <w:t>Hs01033303_m1</w:t>
            </w:r>
          </w:p>
        </w:tc>
      </w:tr>
      <w:tr w:rsidR="00F7195E" w:rsidRPr="00AA6F8D" w:rsidTr="00AA6F8D">
        <w:tc>
          <w:tcPr>
            <w:tcW w:w="1555" w:type="dxa"/>
            <w:vAlign w:val="bottom"/>
          </w:tcPr>
          <w:p w:rsidR="00F7195E" w:rsidRPr="00066153" w:rsidRDefault="00F7195E" w:rsidP="00AA6F8D">
            <w:pPr>
              <w:rPr>
                <w:sz w:val="20"/>
                <w:szCs w:val="20"/>
                <w:lang w:val="en-GB"/>
              </w:rPr>
            </w:pPr>
            <w:r w:rsidRPr="00066153">
              <w:rPr>
                <w:sz w:val="20"/>
                <w:szCs w:val="20"/>
                <w:lang w:val="en-GB"/>
              </w:rPr>
              <w:t>CD247</w:t>
            </w:r>
          </w:p>
        </w:tc>
        <w:tc>
          <w:tcPr>
            <w:tcW w:w="4961" w:type="dxa"/>
            <w:vAlign w:val="bottom"/>
          </w:tcPr>
          <w:p w:rsidR="00F7195E" w:rsidRPr="00066153" w:rsidRDefault="00F7195E" w:rsidP="00AA6F8D">
            <w:pPr>
              <w:rPr>
                <w:sz w:val="20"/>
                <w:szCs w:val="20"/>
                <w:lang w:val="en-GB"/>
              </w:rPr>
            </w:pPr>
            <w:r w:rsidRPr="00066153">
              <w:rPr>
                <w:sz w:val="20"/>
                <w:szCs w:val="20"/>
                <w:lang w:val="en-GB"/>
              </w:rPr>
              <w:t>CD247</w:t>
            </w:r>
          </w:p>
        </w:tc>
        <w:tc>
          <w:tcPr>
            <w:tcW w:w="2503" w:type="dxa"/>
            <w:vAlign w:val="bottom"/>
          </w:tcPr>
          <w:p w:rsidR="00F7195E" w:rsidRPr="00066153" w:rsidRDefault="00F7195E" w:rsidP="00AA6F8D">
            <w:pPr>
              <w:rPr>
                <w:sz w:val="20"/>
                <w:szCs w:val="20"/>
                <w:lang w:val="en-GB"/>
              </w:rPr>
            </w:pPr>
            <w:r w:rsidRPr="0010358E">
              <w:rPr>
                <w:kern w:val="24"/>
                <w:sz w:val="20"/>
                <w:szCs w:val="18"/>
                <w:lang w:val="en-GB"/>
              </w:rPr>
              <w:t>Hs00167901_m1</w:t>
            </w:r>
          </w:p>
        </w:tc>
      </w:tr>
      <w:tr w:rsidR="00F7195E" w:rsidRPr="00AA6F8D" w:rsidTr="00AA6F8D">
        <w:tc>
          <w:tcPr>
            <w:tcW w:w="1555" w:type="dxa"/>
            <w:vAlign w:val="bottom"/>
          </w:tcPr>
          <w:p w:rsidR="00F7195E" w:rsidRPr="00900C26" w:rsidRDefault="00F7195E" w:rsidP="00AA6F8D">
            <w:pPr>
              <w:rPr>
                <w:sz w:val="20"/>
                <w:szCs w:val="20"/>
                <w:lang w:val="en-GB"/>
              </w:rPr>
            </w:pPr>
            <w:r w:rsidRPr="00066153">
              <w:rPr>
                <w:sz w:val="20"/>
                <w:szCs w:val="20"/>
                <w:lang w:val="en-GB"/>
              </w:rPr>
              <w:t>CD274</w:t>
            </w:r>
          </w:p>
        </w:tc>
        <w:tc>
          <w:tcPr>
            <w:tcW w:w="4961" w:type="dxa"/>
            <w:vAlign w:val="bottom"/>
          </w:tcPr>
          <w:p w:rsidR="00F7195E" w:rsidRPr="00900C26" w:rsidRDefault="00F7195E" w:rsidP="00AA6F8D">
            <w:pPr>
              <w:rPr>
                <w:sz w:val="20"/>
                <w:szCs w:val="20"/>
                <w:lang w:val="en-GB"/>
              </w:rPr>
            </w:pPr>
            <w:r w:rsidRPr="00066153">
              <w:rPr>
                <w:sz w:val="20"/>
                <w:szCs w:val="20"/>
                <w:lang w:val="en-GB"/>
              </w:rPr>
              <w:t>CD274</w:t>
            </w:r>
          </w:p>
        </w:tc>
        <w:tc>
          <w:tcPr>
            <w:tcW w:w="2503" w:type="dxa"/>
            <w:vAlign w:val="bottom"/>
          </w:tcPr>
          <w:p w:rsidR="00F7195E" w:rsidRPr="00900C26" w:rsidRDefault="00F7195E" w:rsidP="00AA6F8D">
            <w:pPr>
              <w:rPr>
                <w:sz w:val="20"/>
                <w:szCs w:val="20"/>
                <w:lang w:val="en-GB"/>
              </w:rPr>
            </w:pPr>
            <w:r w:rsidRPr="00066153">
              <w:rPr>
                <w:sz w:val="20"/>
                <w:szCs w:val="20"/>
                <w:lang w:val="en-GB"/>
              </w:rPr>
              <w:t>Hs01125301_m1</w:t>
            </w:r>
          </w:p>
        </w:tc>
      </w:tr>
      <w:tr w:rsidR="00F7195E" w:rsidRPr="00AA6F8D" w:rsidTr="00AA6F8D">
        <w:tc>
          <w:tcPr>
            <w:tcW w:w="1555" w:type="dxa"/>
            <w:vAlign w:val="bottom"/>
          </w:tcPr>
          <w:p w:rsidR="00F7195E" w:rsidRPr="00066153" w:rsidRDefault="00F7195E" w:rsidP="00AA6F8D">
            <w:pPr>
              <w:rPr>
                <w:sz w:val="20"/>
                <w:szCs w:val="20"/>
                <w:lang w:val="en-GB"/>
              </w:rPr>
            </w:pPr>
            <w:r w:rsidRPr="00066153">
              <w:rPr>
                <w:sz w:val="20"/>
                <w:szCs w:val="20"/>
                <w:lang w:val="en-GB"/>
              </w:rPr>
              <w:t>CXCL10</w:t>
            </w:r>
          </w:p>
        </w:tc>
        <w:tc>
          <w:tcPr>
            <w:tcW w:w="4961" w:type="dxa"/>
            <w:vAlign w:val="bottom"/>
          </w:tcPr>
          <w:p w:rsidR="00F7195E" w:rsidRPr="00066153" w:rsidRDefault="00F7195E" w:rsidP="00AA6F8D">
            <w:pPr>
              <w:rPr>
                <w:sz w:val="20"/>
                <w:szCs w:val="20"/>
                <w:lang w:val="en-GB"/>
              </w:rPr>
            </w:pPr>
            <w:r w:rsidRPr="00066153">
              <w:rPr>
                <w:sz w:val="20"/>
                <w:szCs w:val="20"/>
                <w:lang w:val="en-GB"/>
              </w:rPr>
              <w:t>C-X-C motif chemokine ligand 10</w:t>
            </w:r>
          </w:p>
        </w:tc>
        <w:tc>
          <w:tcPr>
            <w:tcW w:w="2503" w:type="dxa"/>
            <w:vAlign w:val="bottom"/>
          </w:tcPr>
          <w:p w:rsidR="00F7195E" w:rsidRPr="00066153" w:rsidRDefault="00F7195E" w:rsidP="00AA6F8D">
            <w:pPr>
              <w:rPr>
                <w:sz w:val="20"/>
                <w:szCs w:val="20"/>
                <w:lang w:val="en-GB"/>
              </w:rPr>
            </w:pPr>
            <w:r w:rsidRPr="0010358E">
              <w:rPr>
                <w:kern w:val="24"/>
                <w:sz w:val="20"/>
                <w:szCs w:val="18"/>
                <w:lang w:val="en-GB"/>
              </w:rPr>
              <w:t>Hs99999049_m1</w:t>
            </w:r>
          </w:p>
        </w:tc>
      </w:tr>
      <w:tr w:rsidR="00F7195E" w:rsidRPr="00AA6F8D" w:rsidTr="00AA6F8D">
        <w:tc>
          <w:tcPr>
            <w:tcW w:w="1555" w:type="dxa"/>
            <w:vAlign w:val="bottom"/>
          </w:tcPr>
          <w:p w:rsidR="00F7195E" w:rsidRPr="00900C26" w:rsidRDefault="00F7195E" w:rsidP="00AA6F8D">
            <w:pPr>
              <w:rPr>
                <w:sz w:val="20"/>
                <w:szCs w:val="20"/>
                <w:lang w:val="en-GB"/>
              </w:rPr>
            </w:pPr>
            <w:r w:rsidRPr="00066153">
              <w:rPr>
                <w:sz w:val="20"/>
                <w:szCs w:val="20"/>
                <w:lang w:val="en-GB"/>
              </w:rPr>
              <w:t>FCRL1</w:t>
            </w:r>
          </w:p>
        </w:tc>
        <w:tc>
          <w:tcPr>
            <w:tcW w:w="4961" w:type="dxa"/>
            <w:vAlign w:val="bottom"/>
          </w:tcPr>
          <w:p w:rsidR="00F7195E" w:rsidRPr="00900C26" w:rsidRDefault="00F7195E" w:rsidP="00AA6F8D">
            <w:pPr>
              <w:rPr>
                <w:sz w:val="20"/>
                <w:szCs w:val="20"/>
                <w:lang w:val="en-GB"/>
              </w:rPr>
            </w:pPr>
            <w:r w:rsidRPr="00066153">
              <w:rPr>
                <w:sz w:val="20"/>
                <w:szCs w:val="20"/>
                <w:lang w:val="en-GB"/>
              </w:rPr>
              <w:t xml:space="preserve">Fc receptor like 1  </w:t>
            </w:r>
          </w:p>
        </w:tc>
        <w:tc>
          <w:tcPr>
            <w:tcW w:w="2503" w:type="dxa"/>
            <w:vAlign w:val="bottom"/>
          </w:tcPr>
          <w:p w:rsidR="00F7195E" w:rsidRPr="00900C26" w:rsidRDefault="00F7195E" w:rsidP="00AA6F8D">
            <w:pPr>
              <w:rPr>
                <w:sz w:val="20"/>
                <w:szCs w:val="20"/>
                <w:lang w:val="en-GB"/>
              </w:rPr>
            </w:pPr>
            <w:r w:rsidRPr="00066153">
              <w:rPr>
                <w:sz w:val="20"/>
                <w:szCs w:val="20"/>
                <w:lang w:val="en-GB"/>
              </w:rPr>
              <w:t>Hs00957541_m1</w:t>
            </w:r>
          </w:p>
        </w:tc>
      </w:tr>
      <w:tr w:rsidR="00F7195E" w:rsidRPr="00AA6F8D" w:rsidTr="00AA6F8D">
        <w:tc>
          <w:tcPr>
            <w:tcW w:w="1555" w:type="dxa"/>
            <w:vAlign w:val="bottom"/>
          </w:tcPr>
          <w:p w:rsidR="00F7195E" w:rsidRPr="00900C26" w:rsidRDefault="00F7195E" w:rsidP="00AA6F8D">
            <w:pPr>
              <w:rPr>
                <w:sz w:val="20"/>
                <w:szCs w:val="20"/>
                <w:lang w:val="en-GB"/>
              </w:rPr>
            </w:pPr>
            <w:r w:rsidRPr="00066153">
              <w:rPr>
                <w:sz w:val="20"/>
                <w:szCs w:val="20"/>
                <w:lang w:val="en-GB"/>
              </w:rPr>
              <w:t>FCRL2</w:t>
            </w:r>
          </w:p>
        </w:tc>
        <w:tc>
          <w:tcPr>
            <w:tcW w:w="4961" w:type="dxa"/>
            <w:vAlign w:val="bottom"/>
          </w:tcPr>
          <w:p w:rsidR="00F7195E" w:rsidRPr="00900C26" w:rsidRDefault="00F7195E" w:rsidP="00AA6F8D">
            <w:pPr>
              <w:rPr>
                <w:sz w:val="20"/>
                <w:szCs w:val="20"/>
                <w:lang w:val="en-GB"/>
              </w:rPr>
            </w:pPr>
            <w:r w:rsidRPr="00066153">
              <w:rPr>
                <w:sz w:val="20"/>
                <w:szCs w:val="20"/>
                <w:lang w:val="en-GB"/>
              </w:rPr>
              <w:t>Fc receptor like 2</w:t>
            </w:r>
          </w:p>
        </w:tc>
        <w:tc>
          <w:tcPr>
            <w:tcW w:w="2503" w:type="dxa"/>
            <w:vAlign w:val="bottom"/>
          </w:tcPr>
          <w:p w:rsidR="00F7195E" w:rsidRPr="00900C26" w:rsidRDefault="00F7195E" w:rsidP="00AA6F8D">
            <w:pPr>
              <w:rPr>
                <w:sz w:val="20"/>
                <w:szCs w:val="20"/>
                <w:lang w:val="en-GB"/>
              </w:rPr>
            </w:pPr>
            <w:r w:rsidRPr="00066153">
              <w:rPr>
                <w:sz w:val="20"/>
                <w:szCs w:val="20"/>
                <w:lang w:val="en-GB"/>
              </w:rPr>
              <w:t>Hs00229156_m1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FOXP3</w:t>
            </w:r>
          </w:p>
        </w:tc>
        <w:tc>
          <w:tcPr>
            <w:tcW w:w="4961" w:type="dxa"/>
            <w:vAlign w:val="bottom"/>
          </w:tcPr>
          <w:p w:rsidR="00F7195E" w:rsidRPr="00900C26" w:rsidRDefault="00F7195E" w:rsidP="00AA6F8D">
            <w:pPr>
              <w:rPr>
                <w:sz w:val="20"/>
                <w:szCs w:val="20"/>
                <w:lang w:val="en-GB"/>
              </w:rPr>
            </w:pPr>
            <w:proofErr w:type="spellStart"/>
            <w:r w:rsidRPr="00066153">
              <w:rPr>
                <w:sz w:val="20"/>
                <w:szCs w:val="20"/>
                <w:lang w:val="en-GB"/>
              </w:rPr>
              <w:t>Forkhead</w:t>
            </w:r>
            <w:proofErr w:type="spellEnd"/>
            <w:r w:rsidRPr="00066153">
              <w:rPr>
                <w:sz w:val="20"/>
                <w:szCs w:val="20"/>
                <w:lang w:val="en-GB"/>
              </w:rPr>
              <w:t xml:space="preserve"> box P3</w:t>
            </w:r>
          </w:p>
        </w:tc>
        <w:tc>
          <w:tcPr>
            <w:tcW w:w="2503" w:type="dxa"/>
            <w:vAlign w:val="bottom"/>
          </w:tcPr>
          <w:p w:rsidR="00F7195E" w:rsidRPr="00900C26" w:rsidRDefault="00F7195E" w:rsidP="00AA6F8D">
            <w:pPr>
              <w:rPr>
                <w:sz w:val="20"/>
                <w:szCs w:val="20"/>
                <w:lang w:val="en-GB"/>
              </w:rPr>
            </w:pPr>
            <w:r w:rsidRPr="00066153">
              <w:rPr>
                <w:sz w:val="20"/>
                <w:szCs w:val="20"/>
                <w:lang w:val="en-GB"/>
              </w:rPr>
              <w:t>Hs00203958_m1</w:t>
            </w:r>
          </w:p>
        </w:tc>
      </w:tr>
      <w:tr w:rsidR="00F7195E" w:rsidRPr="009032FC" w:rsidTr="00AA6F8D">
        <w:tc>
          <w:tcPr>
            <w:tcW w:w="1555" w:type="dxa"/>
            <w:vAlign w:val="bottom"/>
          </w:tcPr>
          <w:p w:rsidR="00F7195E" w:rsidRPr="00066153" w:rsidRDefault="00F7195E" w:rsidP="00AA6F8D">
            <w:pPr>
              <w:rPr>
                <w:sz w:val="20"/>
                <w:szCs w:val="20"/>
                <w:lang w:val="en-GB"/>
              </w:rPr>
            </w:pPr>
            <w:r w:rsidRPr="00066153">
              <w:rPr>
                <w:sz w:val="20"/>
                <w:szCs w:val="20"/>
                <w:lang w:val="en-GB"/>
              </w:rPr>
              <w:t>HMMR</w:t>
            </w:r>
          </w:p>
        </w:tc>
        <w:tc>
          <w:tcPr>
            <w:tcW w:w="4961" w:type="dxa"/>
            <w:vAlign w:val="bottom"/>
          </w:tcPr>
          <w:p w:rsidR="00F7195E" w:rsidRPr="00066153" w:rsidRDefault="00F7195E" w:rsidP="00AA6F8D">
            <w:pPr>
              <w:rPr>
                <w:sz w:val="20"/>
                <w:szCs w:val="20"/>
                <w:lang w:val="en-GB"/>
              </w:rPr>
            </w:pPr>
            <w:proofErr w:type="spellStart"/>
            <w:r w:rsidRPr="00066153">
              <w:rPr>
                <w:sz w:val="20"/>
                <w:szCs w:val="20"/>
                <w:lang w:val="en-GB"/>
              </w:rPr>
              <w:t>Hyaluronan</w:t>
            </w:r>
            <w:proofErr w:type="spellEnd"/>
            <w:r w:rsidRPr="00066153">
              <w:rPr>
                <w:sz w:val="20"/>
                <w:szCs w:val="20"/>
                <w:lang w:val="en-GB"/>
              </w:rPr>
              <w:t xml:space="preserve"> mediated motility receptor</w:t>
            </w:r>
          </w:p>
        </w:tc>
        <w:tc>
          <w:tcPr>
            <w:tcW w:w="2503" w:type="dxa"/>
            <w:vAlign w:val="bottom"/>
          </w:tcPr>
          <w:p w:rsidR="00F7195E" w:rsidRPr="00066153" w:rsidRDefault="00F7195E" w:rsidP="00AA6F8D">
            <w:pPr>
              <w:rPr>
                <w:sz w:val="20"/>
                <w:szCs w:val="20"/>
                <w:lang w:val="en-GB"/>
              </w:rPr>
            </w:pPr>
            <w:r w:rsidRPr="00066153">
              <w:rPr>
                <w:kern w:val="24"/>
                <w:sz w:val="20"/>
                <w:szCs w:val="18"/>
              </w:rPr>
              <w:t>Hs00234864_m1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HS3ST1</w:t>
            </w:r>
          </w:p>
        </w:tc>
        <w:tc>
          <w:tcPr>
            <w:tcW w:w="4961" w:type="dxa"/>
            <w:vAlign w:val="bottom"/>
          </w:tcPr>
          <w:p w:rsidR="00F7195E" w:rsidRPr="00900C26" w:rsidRDefault="00F7195E" w:rsidP="00AA6F8D">
            <w:pPr>
              <w:rPr>
                <w:sz w:val="20"/>
                <w:szCs w:val="20"/>
                <w:lang w:val="en-GB"/>
              </w:rPr>
            </w:pPr>
            <w:proofErr w:type="spellStart"/>
            <w:r w:rsidRPr="00066153">
              <w:rPr>
                <w:sz w:val="20"/>
                <w:szCs w:val="20"/>
                <w:lang w:val="en-GB"/>
              </w:rPr>
              <w:t>Heparan</w:t>
            </w:r>
            <w:proofErr w:type="spellEnd"/>
            <w:r w:rsidRPr="00066153">
              <w:rPr>
                <w:sz w:val="20"/>
                <w:szCs w:val="20"/>
                <w:lang w:val="en-GB"/>
              </w:rPr>
              <w:t xml:space="preserve"> </w:t>
            </w:r>
            <w:proofErr w:type="spellStart"/>
            <w:r w:rsidRPr="00066153">
              <w:rPr>
                <w:sz w:val="20"/>
                <w:szCs w:val="20"/>
                <w:lang w:val="en-GB"/>
              </w:rPr>
              <w:t>sulfate</w:t>
            </w:r>
            <w:proofErr w:type="spellEnd"/>
            <w:r w:rsidRPr="00066153">
              <w:rPr>
                <w:sz w:val="20"/>
                <w:szCs w:val="20"/>
                <w:lang w:val="en-GB"/>
              </w:rPr>
              <w:t>-glucosamine 3-sulfotransferase 1</w:t>
            </w:r>
          </w:p>
        </w:tc>
        <w:tc>
          <w:tcPr>
            <w:tcW w:w="2503" w:type="dxa"/>
            <w:vAlign w:val="bottom"/>
          </w:tcPr>
          <w:p w:rsidR="00F7195E" w:rsidRPr="00900C26" w:rsidRDefault="00F7195E" w:rsidP="00AA6F8D">
            <w:pPr>
              <w:rPr>
                <w:sz w:val="20"/>
                <w:szCs w:val="20"/>
                <w:lang w:val="en-GB"/>
              </w:rPr>
            </w:pPr>
            <w:r w:rsidRPr="00066153">
              <w:rPr>
                <w:sz w:val="20"/>
                <w:szCs w:val="20"/>
                <w:lang w:val="en-GB"/>
              </w:rPr>
              <w:t>Hs01099196_m1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LAG3</w:t>
            </w:r>
          </w:p>
        </w:tc>
        <w:tc>
          <w:tcPr>
            <w:tcW w:w="4961" w:type="dxa"/>
            <w:vAlign w:val="bottom"/>
          </w:tcPr>
          <w:p w:rsidR="00F7195E" w:rsidRPr="00900C26" w:rsidRDefault="00F7195E" w:rsidP="00AA6F8D">
            <w:pPr>
              <w:rPr>
                <w:sz w:val="20"/>
                <w:szCs w:val="20"/>
                <w:lang w:val="en-GB"/>
              </w:rPr>
            </w:pPr>
            <w:r w:rsidRPr="00066153">
              <w:rPr>
                <w:sz w:val="20"/>
                <w:szCs w:val="20"/>
                <w:lang w:val="en-GB"/>
              </w:rPr>
              <w:t>Lymphocyte activating 3</w:t>
            </w:r>
          </w:p>
        </w:tc>
        <w:tc>
          <w:tcPr>
            <w:tcW w:w="2503" w:type="dxa"/>
            <w:vAlign w:val="bottom"/>
          </w:tcPr>
          <w:p w:rsidR="00F7195E" w:rsidRPr="00900C26" w:rsidRDefault="00F7195E" w:rsidP="00AA6F8D">
            <w:pPr>
              <w:rPr>
                <w:sz w:val="20"/>
                <w:szCs w:val="20"/>
                <w:lang w:val="en-GB"/>
              </w:rPr>
            </w:pPr>
            <w:r w:rsidRPr="00066153">
              <w:rPr>
                <w:sz w:val="20"/>
                <w:szCs w:val="20"/>
                <w:lang w:val="en-GB"/>
              </w:rPr>
              <w:t>Hs00158563_m1</w:t>
            </w:r>
          </w:p>
        </w:tc>
      </w:tr>
      <w:tr w:rsidR="00F7195E" w:rsidRPr="009032FC" w:rsidTr="00AA6F8D">
        <w:tc>
          <w:tcPr>
            <w:tcW w:w="1555" w:type="dxa"/>
            <w:vAlign w:val="bottom"/>
          </w:tcPr>
          <w:p w:rsidR="00F7195E" w:rsidRPr="00066153" w:rsidRDefault="00F7195E" w:rsidP="00AA6F8D">
            <w:pPr>
              <w:rPr>
                <w:sz w:val="20"/>
                <w:szCs w:val="20"/>
                <w:lang w:val="en-GB"/>
              </w:rPr>
            </w:pPr>
            <w:r w:rsidRPr="00066153">
              <w:rPr>
                <w:sz w:val="20"/>
                <w:szCs w:val="20"/>
                <w:lang w:val="en-GB"/>
              </w:rPr>
              <w:t>MAN1A1</w:t>
            </w:r>
          </w:p>
        </w:tc>
        <w:tc>
          <w:tcPr>
            <w:tcW w:w="4961" w:type="dxa"/>
            <w:vAlign w:val="bottom"/>
          </w:tcPr>
          <w:p w:rsidR="00F7195E" w:rsidRPr="00066153" w:rsidRDefault="00F7195E" w:rsidP="00AA6F8D">
            <w:pPr>
              <w:rPr>
                <w:sz w:val="20"/>
                <w:szCs w:val="20"/>
                <w:lang w:val="en-GB"/>
              </w:rPr>
            </w:pPr>
            <w:proofErr w:type="spellStart"/>
            <w:r w:rsidRPr="00066153">
              <w:rPr>
                <w:sz w:val="20"/>
                <w:szCs w:val="20"/>
              </w:rPr>
              <w:t>Mannosyl-oligosaccharide</w:t>
            </w:r>
            <w:proofErr w:type="spellEnd"/>
            <w:r w:rsidRPr="00066153">
              <w:rPr>
                <w:sz w:val="20"/>
                <w:szCs w:val="20"/>
              </w:rPr>
              <w:t xml:space="preserve"> 1,2-alpha-mannosidase IA</w:t>
            </w:r>
          </w:p>
        </w:tc>
        <w:tc>
          <w:tcPr>
            <w:tcW w:w="2503" w:type="dxa"/>
            <w:vAlign w:val="bottom"/>
          </w:tcPr>
          <w:p w:rsidR="00F7195E" w:rsidRPr="00066153" w:rsidRDefault="00F7195E" w:rsidP="00AA6F8D">
            <w:pPr>
              <w:rPr>
                <w:sz w:val="20"/>
                <w:szCs w:val="20"/>
                <w:lang w:val="en-GB"/>
              </w:rPr>
            </w:pPr>
            <w:r w:rsidRPr="00066153">
              <w:rPr>
                <w:kern w:val="24"/>
                <w:sz w:val="20"/>
                <w:szCs w:val="18"/>
              </w:rPr>
              <w:t>Hs00195458_m1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MS4A1</w:t>
            </w:r>
          </w:p>
        </w:tc>
        <w:tc>
          <w:tcPr>
            <w:tcW w:w="4961" w:type="dxa"/>
            <w:vAlign w:val="bottom"/>
          </w:tcPr>
          <w:p w:rsidR="00F7195E" w:rsidRPr="00900C26" w:rsidRDefault="00F7195E" w:rsidP="00AA6F8D">
            <w:pPr>
              <w:rPr>
                <w:sz w:val="20"/>
                <w:szCs w:val="20"/>
                <w:lang w:val="en-GB"/>
              </w:rPr>
            </w:pPr>
            <w:r w:rsidRPr="00066153">
              <w:rPr>
                <w:sz w:val="20"/>
                <w:szCs w:val="20"/>
                <w:lang w:val="en-GB"/>
              </w:rPr>
              <w:t>Membrane spanning 4-domains A1</w:t>
            </w:r>
          </w:p>
        </w:tc>
        <w:tc>
          <w:tcPr>
            <w:tcW w:w="2503" w:type="dxa"/>
            <w:vAlign w:val="bottom"/>
          </w:tcPr>
          <w:p w:rsidR="00F7195E" w:rsidRPr="00900C26" w:rsidRDefault="00F7195E" w:rsidP="00AA6F8D">
            <w:pPr>
              <w:rPr>
                <w:sz w:val="20"/>
                <w:szCs w:val="20"/>
                <w:lang w:val="en-GB"/>
              </w:rPr>
            </w:pPr>
            <w:r w:rsidRPr="00066153">
              <w:rPr>
                <w:sz w:val="20"/>
                <w:szCs w:val="20"/>
                <w:lang w:val="en-GB"/>
              </w:rPr>
              <w:t>Hs00544818_m1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NAV3</w:t>
            </w:r>
          </w:p>
        </w:tc>
        <w:tc>
          <w:tcPr>
            <w:tcW w:w="4961" w:type="dxa"/>
            <w:vAlign w:val="bottom"/>
          </w:tcPr>
          <w:p w:rsidR="00F7195E" w:rsidRPr="00900C26" w:rsidRDefault="00F7195E" w:rsidP="00AA6F8D">
            <w:pPr>
              <w:rPr>
                <w:sz w:val="20"/>
                <w:szCs w:val="20"/>
                <w:lang w:val="en-GB"/>
              </w:rPr>
            </w:pPr>
            <w:r w:rsidRPr="00066153">
              <w:rPr>
                <w:sz w:val="20"/>
                <w:szCs w:val="20"/>
                <w:lang w:val="en-GB"/>
              </w:rPr>
              <w:t>Neuron navigator 3</w:t>
            </w:r>
          </w:p>
        </w:tc>
        <w:tc>
          <w:tcPr>
            <w:tcW w:w="2503" w:type="dxa"/>
            <w:vAlign w:val="bottom"/>
          </w:tcPr>
          <w:p w:rsidR="00F7195E" w:rsidRPr="00900C26" w:rsidRDefault="00F7195E" w:rsidP="00AA6F8D">
            <w:pPr>
              <w:rPr>
                <w:sz w:val="20"/>
                <w:szCs w:val="20"/>
                <w:lang w:val="en-GB"/>
              </w:rPr>
            </w:pPr>
            <w:r w:rsidRPr="00066153">
              <w:rPr>
                <w:sz w:val="20"/>
                <w:szCs w:val="20"/>
                <w:lang w:val="en-GB"/>
              </w:rPr>
              <w:t>Hs00372108_m1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PNOC</w:t>
            </w:r>
          </w:p>
        </w:tc>
        <w:tc>
          <w:tcPr>
            <w:tcW w:w="4961" w:type="dxa"/>
            <w:vAlign w:val="bottom"/>
          </w:tcPr>
          <w:p w:rsidR="00F7195E" w:rsidRPr="00900C26" w:rsidRDefault="00F7195E" w:rsidP="00AA6F8D">
            <w:pPr>
              <w:rPr>
                <w:sz w:val="20"/>
                <w:szCs w:val="20"/>
                <w:lang w:val="en-GB"/>
              </w:rPr>
            </w:pPr>
            <w:proofErr w:type="spellStart"/>
            <w:r w:rsidRPr="00066153">
              <w:rPr>
                <w:sz w:val="20"/>
                <w:szCs w:val="20"/>
                <w:lang w:val="en-GB"/>
              </w:rPr>
              <w:t>Prepronociceptin</w:t>
            </w:r>
            <w:proofErr w:type="spellEnd"/>
          </w:p>
        </w:tc>
        <w:tc>
          <w:tcPr>
            <w:tcW w:w="2503" w:type="dxa"/>
            <w:vAlign w:val="bottom"/>
          </w:tcPr>
          <w:p w:rsidR="00F7195E" w:rsidRPr="00900C26" w:rsidRDefault="00F7195E" w:rsidP="00AA6F8D">
            <w:pPr>
              <w:rPr>
                <w:sz w:val="20"/>
                <w:szCs w:val="20"/>
                <w:lang w:val="en-GB"/>
              </w:rPr>
            </w:pPr>
            <w:r w:rsidRPr="00066153">
              <w:rPr>
                <w:sz w:val="20"/>
                <w:szCs w:val="20"/>
                <w:lang w:val="en-GB"/>
              </w:rPr>
              <w:t>Hs00918595_m1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SH2D1B</w:t>
            </w:r>
          </w:p>
        </w:tc>
        <w:tc>
          <w:tcPr>
            <w:tcW w:w="4961" w:type="dxa"/>
            <w:vAlign w:val="bottom"/>
          </w:tcPr>
          <w:p w:rsidR="00F7195E" w:rsidRPr="00900C26" w:rsidRDefault="00F7195E" w:rsidP="00AA6F8D">
            <w:pPr>
              <w:rPr>
                <w:sz w:val="20"/>
                <w:szCs w:val="20"/>
                <w:lang w:val="en-GB"/>
              </w:rPr>
            </w:pPr>
            <w:r w:rsidRPr="00066153">
              <w:rPr>
                <w:sz w:val="20"/>
                <w:szCs w:val="20"/>
                <w:lang w:val="en-GB"/>
              </w:rPr>
              <w:t>SH2 domain containing 1B</w:t>
            </w:r>
          </w:p>
        </w:tc>
        <w:tc>
          <w:tcPr>
            <w:tcW w:w="2503" w:type="dxa"/>
            <w:vAlign w:val="bottom"/>
          </w:tcPr>
          <w:p w:rsidR="00F7195E" w:rsidRPr="00900C26" w:rsidRDefault="00F7195E" w:rsidP="00AA6F8D">
            <w:pPr>
              <w:rPr>
                <w:sz w:val="20"/>
                <w:szCs w:val="20"/>
                <w:lang w:val="en-GB"/>
              </w:rPr>
            </w:pPr>
            <w:r w:rsidRPr="00066153">
              <w:rPr>
                <w:sz w:val="20"/>
                <w:szCs w:val="20"/>
                <w:lang w:val="en-GB"/>
              </w:rPr>
              <w:t>Hs01592483_m1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SLC8A1</w:t>
            </w:r>
          </w:p>
        </w:tc>
        <w:tc>
          <w:tcPr>
            <w:tcW w:w="4961" w:type="dxa"/>
            <w:vAlign w:val="bottom"/>
          </w:tcPr>
          <w:p w:rsidR="00F7195E" w:rsidRPr="00900C26" w:rsidRDefault="00F7195E" w:rsidP="00AA6F8D">
            <w:pPr>
              <w:rPr>
                <w:sz w:val="20"/>
                <w:szCs w:val="20"/>
                <w:lang w:val="en-GB"/>
              </w:rPr>
            </w:pPr>
            <w:r w:rsidRPr="00066153">
              <w:rPr>
                <w:sz w:val="20"/>
                <w:szCs w:val="20"/>
                <w:lang w:val="en-GB"/>
              </w:rPr>
              <w:t>Solute carrier family 8 member A1</w:t>
            </w:r>
          </w:p>
        </w:tc>
        <w:tc>
          <w:tcPr>
            <w:tcW w:w="2503" w:type="dxa"/>
            <w:vAlign w:val="bottom"/>
          </w:tcPr>
          <w:p w:rsidR="00F7195E" w:rsidRPr="00900C26" w:rsidRDefault="00F7195E" w:rsidP="00AA6F8D">
            <w:pPr>
              <w:rPr>
                <w:sz w:val="20"/>
                <w:szCs w:val="20"/>
                <w:lang w:val="en-GB"/>
              </w:rPr>
            </w:pPr>
            <w:r w:rsidRPr="00066153">
              <w:rPr>
                <w:sz w:val="20"/>
                <w:szCs w:val="20"/>
                <w:lang w:val="en-GB"/>
              </w:rPr>
              <w:t>Hs01062258_m1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TCL1A</w:t>
            </w:r>
          </w:p>
        </w:tc>
        <w:tc>
          <w:tcPr>
            <w:tcW w:w="4961" w:type="dxa"/>
            <w:vAlign w:val="bottom"/>
          </w:tcPr>
          <w:p w:rsidR="00F7195E" w:rsidRPr="00900C26" w:rsidRDefault="00F7195E" w:rsidP="00AA6F8D">
            <w:pPr>
              <w:rPr>
                <w:sz w:val="20"/>
                <w:szCs w:val="20"/>
                <w:lang w:val="en-GB"/>
              </w:rPr>
            </w:pPr>
            <w:r w:rsidRPr="00066153">
              <w:rPr>
                <w:sz w:val="20"/>
                <w:szCs w:val="20"/>
                <w:lang w:val="en-GB"/>
              </w:rPr>
              <w:t xml:space="preserve">T cell </w:t>
            </w:r>
            <w:proofErr w:type="spellStart"/>
            <w:r w:rsidRPr="00066153">
              <w:rPr>
                <w:sz w:val="20"/>
                <w:szCs w:val="20"/>
                <w:lang w:val="en-GB"/>
              </w:rPr>
              <w:t>leukemia</w:t>
            </w:r>
            <w:proofErr w:type="spellEnd"/>
            <w:r w:rsidRPr="00066153">
              <w:rPr>
                <w:sz w:val="20"/>
                <w:szCs w:val="20"/>
                <w:lang w:val="en-GB"/>
              </w:rPr>
              <w:t xml:space="preserve">/lymphoma 1A  </w:t>
            </w:r>
          </w:p>
        </w:tc>
        <w:tc>
          <w:tcPr>
            <w:tcW w:w="2503" w:type="dxa"/>
            <w:vAlign w:val="bottom"/>
          </w:tcPr>
          <w:p w:rsidR="00F7195E" w:rsidRPr="00900C26" w:rsidRDefault="00F7195E" w:rsidP="00AA6F8D">
            <w:pPr>
              <w:rPr>
                <w:sz w:val="20"/>
                <w:szCs w:val="20"/>
                <w:lang w:val="en-GB"/>
              </w:rPr>
            </w:pPr>
            <w:r w:rsidRPr="00066153">
              <w:rPr>
                <w:sz w:val="20"/>
                <w:szCs w:val="20"/>
                <w:lang w:val="en-GB"/>
              </w:rPr>
              <w:t>Hs00172040_m1</w:t>
            </w:r>
          </w:p>
        </w:tc>
      </w:tr>
      <w:tr w:rsidR="00F7195E" w:rsidRPr="009032FC" w:rsidTr="00AA6F8D">
        <w:tc>
          <w:tcPr>
            <w:tcW w:w="1555" w:type="dxa"/>
            <w:vAlign w:val="bottom"/>
          </w:tcPr>
          <w:p w:rsidR="00F7195E" w:rsidRPr="00900C26" w:rsidRDefault="00F7195E" w:rsidP="00AA6F8D">
            <w:pPr>
              <w:rPr>
                <w:sz w:val="20"/>
                <w:szCs w:val="20"/>
                <w:lang w:val="en-GB"/>
              </w:rPr>
            </w:pPr>
            <w:r w:rsidRPr="00066153">
              <w:rPr>
                <w:sz w:val="20"/>
                <w:szCs w:val="20"/>
                <w:lang w:val="en-GB"/>
              </w:rPr>
              <w:t>TLR5</w:t>
            </w:r>
          </w:p>
        </w:tc>
        <w:tc>
          <w:tcPr>
            <w:tcW w:w="4961" w:type="dxa"/>
            <w:vAlign w:val="bottom"/>
          </w:tcPr>
          <w:p w:rsidR="00F7195E" w:rsidRPr="00900C26" w:rsidRDefault="00F7195E" w:rsidP="00AA6F8D">
            <w:pPr>
              <w:rPr>
                <w:sz w:val="20"/>
                <w:szCs w:val="20"/>
                <w:lang w:val="en-GB"/>
              </w:rPr>
            </w:pPr>
            <w:r w:rsidRPr="00066153">
              <w:rPr>
                <w:sz w:val="20"/>
                <w:szCs w:val="20"/>
                <w:lang w:val="en-GB"/>
              </w:rPr>
              <w:t>Toll-like receptor 5</w:t>
            </w:r>
          </w:p>
        </w:tc>
        <w:tc>
          <w:tcPr>
            <w:tcW w:w="2503" w:type="dxa"/>
            <w:vAlign w:val="bottom"/>
          </w:tcPr>
          <w:p w:rsidR="00F7195E" w:rsidRPr="00900C26" w:rsidRDefault="00F7195E" w:rsidP="00AA6F8D">
            <w:pPr>
              <w:rPr>
                <w:sz w:val="20"/>
                <w:szCs w:val="20"/>
                <w:lang w:val="en-GB"/>
              </w:rPr>
            </w:pPr>
            <w:r w:rsidRPr="00066153">
              <w:rPr>
                <w:sz w:val="20"/>
                <w:szCs w:val="20"/>
                <w:lang w:val="en-GB"/>
              </w:rPr>
              <w:t>Hs01019558_m1</w:t>
            </w:r>
          </w:p>
        </w:tc>
      </w:tr>
      <w:tr w:rsidR="00F7195E" w:rsidRPr="009032FC" w:rsidTr="00AA6F8D">
        <w:tc>
          <w:tcPr>
            <w:tcW w:w="1555" w:type="dxa"/>
            <w:vAlign w:val="bottom"/>
          </w:tcPr>
          <w:p w:rsidR="00F7195E" w:rsidRPr="00066153" w:rsidRDefault="00F7195E" w:rsidP="00AA6F8D">
            <w:pPr>
              <w:rPr>
                <w:sz w:val="20"/>
                <w:szCs w:val="20"/>
                <w:lang w:val="en-GB"/>
              </w:rPr>
            </w:pPr>
            <w:r w:rsidRPr="00066153">
              <w:rPr>
                <w:sz w:val="20"/>
                <w:szCs w:val="20"/>
                <w:lang w:val="en-GB"/>
              </w:rPr>
              <w:t>TMEM176B</w:t>
            </w:r>
          </w:p>
        </w:tc>
        <w:tc>
          <w:tcPr>
            <w:tcW w:w="4961" w:type="dxa"/>
            <w:vAlign w:val="bottom"/>
          </w:tcPr>
          <w:p w:rsidR="00F7195E" w:rsidRPr="00066153" w:rsidRDefault="00F7195E" w:rsidP="00AA6F8D">
            <w:pPr>
              <w:rPr>
                <w:sz w:val="20"/>
                <w:szCs w:val="20"/>
                <w:lang w:val="en-GB"/>
              </w:rPr>
            </w:pPr>
            <w:r w:rsidRPr="00066153">
              <w:rPr>
                <w:sz w:val="20"/>
                <w:szCs w:val="20"/>
                <w:lang w:val="en-GB"/>
              </w:rPr>
              <w:t>Transmembrane Protein 176B</w:t>
            </w:r>
          </w:p>
        </w:tc>
        <w:tc>
          <w:tcPr>
            <w:tcW w:w="2503" w:type="dxa"/>
            <w:vAlign w:val="bottom"/>
          </w:tcPr>
          <w:p w:rsidR="00F7195E" w:rsidRPr="00066153" w:rsidRDefault="00F7195E" w:rsidP="00AA6F8D">
            <w:pPr>
              <w:rPr>
                <w:sz w:val="20"/>
                <w:szCs w:val="20"/>
                <w:lang w:val="en-GB"/>
              </w:rPr>
            </w:pPr>
            <w:r w:rsidRPr="00066153">
              <w:rPr>
                <w:kern w:val="24"/>
                <w:sz w:val="20"/>
                <w:szCs w:val="18"/>
              </w:rPr>
              <w:t>Hs00962650_m1</w:t>
            </w:r>
          </w:p>
        </w:tc>
      </w:tr>
    </w:tbl>
    <w:p w:rsidR="00F7195E" w:rsidRPr="0031313A" w:rsidRDefault="00F7195E" w:rsidP="00F7195E">
      <w:pPr>
        <w:rPr>
          <w:b/>
          <w:bCs/>
          <w:lang w:val="en-GB"/>
        </w:rPr>
      </w:pPr>
      <w:r>
        <w:rPr>
          <w:b/>
          <w:bCs/>
          <w:lang w:val="en-GB"/>
        </w:rPr>
        <w:lastRenderedPageBreak/>
        <w:t xml:space="preserve">Table </w:t>
      </w:r>
      <w:r w:rsidR="00741A92">
        <w:rPr>
          <w:b/>
          <w:bCs/>
          <w:lang w:val="en-GB"/>
        </w:rPr>
        <w:t>A</w:t>
      </w:r>
      <w:bookmarkStart w:id="0" w:name="_GoBack"/>
      <w:bookmarkEnd w:id="0"/>
      <w:r>
        <w:rPr>
          <w:b/>
          <w:bCs/>
          <w:lang w:val="en-GB"/>
        </w:rPr>
        <w:t xml:space="preserve">. </w:t>
      </w:r>
      <w:r w:rsidRPr="009032FC">
        <w:rPr>
          <w:lang w:val="en-GB"/>
        </w:rPr>
        <w:t>D</w:t>
      </w:r>
      <w:r>
        <w:rPr>
          <w:lang w:val="en-GB"/>
        </w:rPr>
        <w:t>etailed information</w:t>
      </w:r>
      <w:r w:rsidRPr="009032FC">
        <w:rPr>
          <w:lang w:val="en-GB"/>
        </w:rPr>
        <w:t xml:space="preserve"> o</w:t>
      </w:r>
      <w:r>
        <w:rPr>
          <w:lang w:val="en-GB"/>
        </w:rPr>
        <w:t>n</w:t>
      </w:r>
      <w:r w:rsidRPr="009032FC">
        <w:rPr>
          <w:lang w:val="en-GB"/>
        </w:rPr>
        <w:t xml:space="preserve"> the </w:t>
      </w:r>
      <w:r>
        <w:rPr>
          <w:lang w:val="en-GB"/>
        </w:rPr>
        <w:t>reference genes (first three rows) and gene expression subset, including the assay employed for measuring of expression.</w:t>
      </w:r>
    </w:p>
    <w:p w:rsidR="00F7195E" w:rsidRPr="008B1F8D" w:rsidRDefault="00F7195E" w:rsidP="00F7195E">
      <w:pPr>
        <w:pStyle w:val="Heading2"/>
        <w:rPr>
          <w:lang w:val="en-GB"/>
        </w:rPr>
      </w:pPr>
      <w:r w:rsidRPr="008B1F8D">
        <w:rPr>
          <w:lang w:val="en-GB"/>
        </w:rPr>
        <w:t>Characterization of urine metabolome</w:t>
      </w:r>
    </w:p>
    <w:p w:rsidR="00F7195E" w:rsidRPr="008B1F8D" w:rsidRDefault="00F7195E" w:rsidP="00F7195E">
      <w:pPr>
        <w:rPr>
          <w:lang w:val="en-GB"/>
        </w:rPr>
      </w:pPr>
      <w:r w:rsidRPr="0010358E">
        <w:rPr>
          <w:lang w:val="en-GB"/>
        </w:rPr>
        <w:t xml:space="preserve">Urine samples </w:t>
      </w:r>
      <w:proofErr w:type="gramStart"/>
      <w:r w:rsidRPr="0010358E">
        <w:rPr>
          <w:lang w:val="en-GB"/>
        </w:rPr>
        <w:t>were measured</w:t>
      </w:r>
      <w:proofErr w:type="gramEnd"/>
      <w:r w:rsidRPr="0010358E">
        <w:rPr>
          <w:lang w:val="en-GB"/>
        </w:rPr>
        <w:t xml:space="preserve"> by nuclear magnetic resonance </w:t>
      </w:r>
      <w:r>
        <w:rPr>
          <w:lang w:val="en-GB"/>
        </w:rPr>
        <w:t>(</w:t>
      </w:r>
      <w:r w:rsidRPr="0010358E">
        <w:rPr>
          <w:lang w:val="en-GB"/>
        </w:rPr>
        <w:t>NMR</w:t>
      </w:r>
      <w:r>
        <w:rPr>
          <w:lang w:val="en-GB"/>
        </w:rPr>
        <w:t>)</w:t>
      </w:r>
      <w:r w:rsidRPr="0010358E">
        <w:rPr>
          <w:lang w:val="en-GB"/>
        </w:rPr>
        <w:t xml:space="preserve"> spectroscopy at </w:t>
      </w:r>
      <w:proofErr w:type="spellStart"/>
      <w:r w:rsidRPr="0010358E">
        <w:rPr>
          <w:lang w:val="en-GB"/>
        </w:rPr>
        <w:t>numares</w:t>
      </w:r>
      <w:proofErr w:type="spellEnd"/>
      <w:r w:rsidRPr="0010358E">
        <w:rPr>
          <w:lang w:val="en-GB"/>
        </w:rPr>
        <w:t xml:space="preserve"> AG (Regensburg, Germany). Therefore, 600 </w:t>
      </w:r>
      <w:proofErr w:type="spellStart"/>
      <w:r w:rsidRPr="0010358E">
        <w:rPr>
          <w:lang w:val="en-GB"/>
        </w:rPr>
        <w:t>μl</w:t>
      </w:r>
      <w:proofErr w:type="spellEnd"/>
      <w:r w:rsidRPr="0010358E">
        <w:rPr>
          <w:lang w:val="en-GB"/>
        </w:rPr>
        <w:t xml:space="preserve"> of each urine sample </w:t>
      </w:r>
      <w:proofErr w:type="gramStart"/>
      <w:r w:rsidRPr="0010358E">
        <w:rPr>
          <w:lang w:val="en-GB"/>
        </w:rPr>
        <w:t>was mixed</w:t>
      </w:r>
      <w:proofErr w:type="gramEnd"/>
      <w:r w:rsidRPr="0010358E">
        <w:rPr>
          <w:lang w:val="en-GB"/>
        </w:rPr>
        <w:t xml:space="preserve"> with </w:t>
      </w:r>
      <w:r w:rsidRPr="0010358E">
        <w:rPr>
          <w:i/>
          <w:iCs/>
          <w:lang w:val="en-GB"/>
        </w:rPr>
        <w:t>AXINON</w:t>
      </w:r>
      <w:r w:rsidRPr="0010358E">
        <w:rPr>
          <w:lang w:val="en-GB"/>
        </w:rPr>
        <w:t xml:space="preserve">® urine additive solution. Insoluble material </w:t>
      </w:r>
      <w:proofErr w:type="gramStart"/>
      <w:r w:rsidRPr="0010358E">
        <w:rPr>
          <w:lang w:val="en-GB"/>
        </w:rPr>
        <w:t>was removed</w:t>
      </w:r>
      <w:proofErr w:type="gramEnd"/>
      <w:r w:rsidRPr="0010358E">
        <w:rPr>
          <w:lang w:val="en-GB"/>
        </w:rPr>
        <w:t xml:space="preserve"> by centrifugation at 20,000 </w:t>
      </w:r>
      <w:r w:rsidRPr="0010358E">
        <w:rPr>
          <w:i/>
          <w:iCs/>
          <w:lang w:val="en-GB"/>
        </w:rPr>
        <w:t xml:space="preserve">g </w:t>
      </w:r>
      <w:r w:rsidRPr="0010358E">
        <w:rPr>
          <w:lang w:val="en-GB"/>
        </w:rPr>
        <w:t xml:space="preserve">for 10 min at 20°C. A volume of 600 </w:t>
      </w:r>
      <w:proofErr w:type="spellStart"/>
      <w:r w:rsidRPr="0010358E">
        <w:rPr>
          <w:lang w:val="en-GB"/>
        </w:rPr>
        <w:t>μl</w:t>
      </w:r>
      <w:proofErr w:type="spellEnd"/>
      <w:r w:rsidRPr="0010358E">
        <w:rPr>
          <w:lang w:val="en-GB"/>
        </w:rPr>
        <w:t xml:space="preserve"> of the supernatant was transferred to 5 mm NMR tubes and kept at 2-6°C until measurement with a Bruker </w:t>
      </w:r>
      <w:proofErr w:type="spellStart"/>
      <w:r w:rsidRPr="0010358E">
        <w:rPr>
          <w:lang w:val="en-GB"/>
        </w:rPr>
        <w:t>Avance</w:t>
      </w:r>
      <w:proofErr w:type="spellEnd"/>
      <w:r w:rsidRPr="0010358E">
        <w:rPr>
          <w:lang w:val="en-GB"/>
        </w:rPr>
        <w:t xml:space="preserve"> II+ 600MHz NMR-spectrometer and a 5 mm triple resonance TXI probe head (PATXI 1H/D-13C/15N Z-GRD). Before samples </w:t>
      </w:r>
      <w:proofErr w:type="gramStart"/>
      <w:r w:rsidRPr="0010358E">
        <w:rPr>
          <w:lang w:val="en-GB"/>
        </w:rPr>
        <w:t>were measured</w:t>
      </w:r>
      <w:proofErr w:type="gramEnd"/>
      <w:r w:rsidRPr="0010358E">
        <w:rPr>
          <w:lang w:val="en-GB"/>
        </w:rPr>
        <w:t xml:space="preserve"> in batches of up to 93 samples per run, they were warmed to a target temperature of 37°C in the integrated preheating block. In order to ensure consistent and reproducible measurements, each run included one </w:t>
      </w:r>
      <w:r w:rsidRPr="0010358E">
        <w:rPr>
          <w:i/>
          <w:iCs/>
          <w:lang w:val="en-GB"/>
        </w:rPr>
        <w:t>AXINON</w:t>
      </w:r>
      <w:r w:rsidRPr="0010358E">
        <w:rPr>
          <w:lang w:val="en-GB"/>
        </w:rPr>
        <w:t xml:space="preserve">® urine calibrator sample and two </w:t>
      </w:r>
      <w:r w:rsidRPr="0010358E">
        <w:rPr>
          <w:i/>
          <w:iCs/>
          <w:lang w:val="en-GB"/>
        </w:rPr>
        <w:t>AXINON</w:t>
      </w:r>
      <w:r w:rsidRPr="0010358E">
        <w:rPr>
          <w:lang w:val="en-GB"/>
        </w:rPr>
        <w:t xml:space="preserve">® urine control samples. </w:t>
      </w:r>
      <w:proofErr w:type="gramStart"/>
      <w:r w:rsidRPr="00A062D0">
        <w:rPr>
          <w:vertAlign w:val="superscript"/>
          <w:lang w:val="en-GB"/>
        </w:rPr>
        <w:t>1</w:t>
      </w:r>
      <w:r w:rsidRPr="0010358E">
        <w:rPr>
          <w:lang w:val="en-GB"/>
        </w:rPr>
        <w:t>H</w:t>
      </w:r>
      <w:proofErr w:type="gramEnd"/>
      <w:r w:rsidRPr="0010358E">
        <w:rPr>
          <w:lang w:val="en-GB"/>
        </w:rPr>
        <w:t xml:space="preserve"> NMR spectra were recorded including pre-saturation to suppress the water signal. Finally, the region containing the residual water signal (4.5 to 5.0 ppm) </w:t>
      </w:r>
      <w:proofErr w:type="gramStart"/>
      <w:r w:rsidRPr="0010358E">
        <w:rPr>
          <w:lang w:val="en-GB"/>
        </w:rPr>
        <w:t>was excluded</w:t>
      </w:r>
      <w:proofErr w:type="gramEnd"/>
      <w:r w:rsidRPr="0010358E">
        <w:rPr>
          <w:lang w:val="en-GB"/>
        </w:rPr>
        <w:t xml:space="preserve"> from further analysis. The resulting </w:t>
      </w:r>
      <w:proofErr w:type="gramStart"/>
      <w:r w:rsidRPr="00A062D0">
        <w:rPr>
          <w:vertAlign w:val="superscript"/>
          <w:lang w:val="en-GB"/>
        </w:rPr>
        <w:t>1</w:t>
      </w:r>
      <w:r w:rsidRPr="0010358E">
        <w:rPr>
          <w:lang w:val="en-GB"/>
        </w:rPr>
        <w:t>H</w:t>
      </w:r>
      <w:proofErr w:type="gramEnd"/>
      <w:r w:rsidRPr="0010358E">
        <w:rPr>
          <w:lang w:val="en-GB"/>
        </w:rPr>
        <w:t xml:space="preserve"> NMR spectra were binned in the spectral region of 0.96-9.04 ppm using a bucket size of 0.04 ppm and 50% overlap. Due to the huge concentration differences in urine, these bins </w:t>
      </w:r>
      <w:proofErr w:type="gramStart"/>
      <w:r w:rsidRPr="0010358E">
        <w:rPr>
          <w:lang w:val="en-GB"/>
        </w:rPr>
        <w:t>were further normalized</w:t>
      </w:r>
      <w:proofErr w:type="gramEnd"/>
      <w:r w:rsidRPr="0010358E">
        <w:rPr>
          <w:lang w:val="en-GB"/>
        </w:rPr>
        <w:t xml:space="preserve"> by dividing them by the total area of the respective spectrum in order to allow the comparison of multiple spectra.</w:t>
      </w:r>
    </w:p>
    <w:p w:rsidR="00F7195E" w:rsidRPr="008B1F8D" w:rsidRDefault="00F7195E" w:rsidP="00F7195E">
      <w:pPr>
        <w:pStyle w:val="Heading2"/>
        <w:rPr>
          <w:lang w:val="en-GB"/>
        </w:rPr>
      </w:pPr>
      <w:r w:rsidRPr="008B1F8D">
        <w:rPr>
          <w:lang w:val="en-GB"/>
        </w:rPr>
        <w:t>Screening of HLA-1-specific serum antibodies</w:t>
      </w:r>
    </w:p>
    <w:p w:rsidR="00F7195E" w:rsidRPr="008B1F8D" w:rsidRDefault="00F7195E" w:rsidP="00F7195E">
      <w:pPr>
        <w:rPr>
          <w:lang w:val="en-GB"/>
        </w:rPr>
      </w:pPr>
      <w:r w:rsidRPr="008B1F8D">
        <w:rPr>
          <w:lang w:val="en-GB"/>
        </w:rPr>
        <w:t xml:space="preserve">Screening of serum antibodies was performed as in </w:t>
      </w:r>
      <w:proofErr w:type="spellStart"/>
      <w:r w:rsidRPr="008B1F8D">
        <w:rPr>
          <w:lang w:val="en-GB"/>
        </w:rPr>
        <w:t>Wittenbrink</w:t>
      </w:r>
      <w:proofErr w:type="spellEnd"/>
      <w:r w:rsidRPr="008B1F8D">
        <w:rPr>
          <w:lang w:val="en-GB"/>
        </w:rPr>
        <w:t xml:space="preserve"> </w:t>
      </w:r>
      <w:r w:rsidRPr="008B1F8D">
        <w:rPr>
          <w:i/>
          <w:lang w:val="en-GB"/>
        </w:rPr>
        <w:t>et al</w:t>
      </w:r>
      <w:r w:rsidRPr="008B1F8D">
        <w:rPr>
          <w:lang w:val="en-GB"/>
        </w:rPr>
        <w:t>. 2019.</w:t>
      </w:r>
      <w:r w:rsidRPr="008B1F8D">
        <w:rPr>
          <w:lang w:val="en-GB"/>
        </w:rPr>
        <w:fldChar w:fldCharType="begin" w:fldLock="1"/>
      </w:r>
      <w:r w:rsidR="00EE4F0F">
        <w:rPr>
          <w:lang w:val="en-GB"/>
        </w:rPr>
        <w:instrText>ADDIN CSL_CITATION {"citationItems":[{"id":"ITEM-1","itemData":{"DOI":"https://doi.org/10.1186/s12865-019-0291-2","author":[{"dropping-particle":"","family":"Wittenbrink","given":"Nicole","non-dropping-particle":"","parse-names":false,"suffix":""},{"dropping-particle":"","family":"Herrmann","given":"Sabrina","non-dropping-particle":"","parse-names":false,"suffix":""},{"dropping-particle":"","family":"Blazquez-Navarro","given":"Arturo","non-dropping-particle":"","parse-names":false,"suffix":""},{"dropping-particle":"","family":"Bauer","given":"Chris","non-dropping-particle":"","parse-names":false,"suffix":""},{"dropping-particle":"","family":"Lindberg","given":"Eric","non-dropping-particle":"","parse-names":false,"suffix":""},{"dropping-particle":"","family":"Reinke","given":"Petra","non-dropping-particle":"","parse-names":false,"suffix":""},{"dropping-particle":"","family":"Sawitzki","given":"Birgit","non-dropping-particle":"","parse-names":false,"suffix":""},{"dropping-particle":"","family":"Thomusch","given":"Oliver","non-dropping-particle":"","parse-names":false,"suffix":""},{"dropping-particle":"","family":"Hugo","given":"Christian","non-dropping-particle":"","parse-names":false,"suffix":""},{"dropping-particle":"","family":"Babel","given":"Nina","non-dropping-particle":"","parse-names":false,"suffix":""},{"dropping-particle":"","family":"Seitz","given":"Harald","non-dropping-particle":"","parse-names":false,"suffix":""},{"dropping-particle":"","family":"Or-Guil","given":"Michal","non-dropping-particle":"","parse-names":false,"suffix":""}],"container-title":"BMC Immunology","id":"ITEM-1","issued":{"date-parts":[["2019"]]},"page":"11","title":"A novel approach reveals that HLA class 1 single antigen bead-signatures provide a means of high-accuracy pre-transplant risk assessment of acute cellular rejection","type":"article-journal","volume":"20"},"uris":["http://www.mendeley.com/documents/?uuid=0db7b2b4-c898-4141-9f7f-e5a0f7658380"]}],"mendeley":{"formattedCitation":"(&lt;i&gt;7&lt;/i&gt;)","plainTextFormattedCitation":"(7)","previouslyFormattedCitation":"&lt;span style=\"baseline\"&gt;[10]&lt;/span&gt;"},"properties":{"noteIndex":0},"schema":"https://github.com/citation-style-language/schema/raw/master/csl-citation.json"}</w:instrText>
      </w:r>
      <w:r w:rsidRPr="008B1F8D">
        <w:rPr>
          <w:lang w:val="en-GB"/>
        </w:rPr>
        <w:fldChar w:fldCharType="separate"/>
      </w:r>
      <w:r w:rsidR="00EE4F0F" w:rsidRPr="00EE4F0F">
        <w:rPr>
          <w:noProof/>
          <w:lang w:val="en-GB"/>
        </w:rPr>
        <w:t>(</w:t>
      </w:r>
      <w:r w:rsidR="00EE4F0F" w:rsidRPr="00EE4F0F">
        <w:rPr>
          <w:i/>
          <w:noProof/>
          <w:lang w:val="en-GB"/>
        </w:rPr>
        <w:t>7</w:t>
      </w:r>
      <w:r w:rsidR="00EE4F0F" w:rsidRPr="00EE4F0F">
        <w:rPr>
          <w:noProof/>
          <w:lang w:val="en-GB"/>
        </w:rPr>
        <w:t>)</w:t>
      </w:r>
      <w:r w:rsidRPr="008B1F8D">
        <w:rPr>
          <w:lang w:val="en-GB"/>
        </w:rPr>
        <w:fldChar w:fldCharType="end"/>
      </w:r>
      <w:r w:rsidRPr="008B1F8D">
        <w:rPr>
          <w:lang w:val="en-GB"/>
        </w:rPr>
        <w:t xml:space="preserve"> Briefly, all </w:t>
      </w:r>
      <w:proofErr w:type="gramStart"/>
      <w:r w:rsidRPr="008B1F8D">
        <w:rPr>
          <w:lang w:val="en-GB"/>
        </w:rPr>
        <w:t>sera testing</w:t>
      </w:r>
      <w:proofErr w:type="gramEnd"/>
      <w:r w:rsidRPr="008B1F8D">
        <w:rPr>
          <w:lang w:val="en-GB"/>
        </w:rPr>
        <w:t xml:space="preserve"> positive for the HLA-1 mixed antigen bead assay and a random subset of negative sera were characterized for HLA-1 specific antigens employing the single antigen bead assay (</w:t>
      </w:r>
      <w:proofErr w:type="spellStart"/>
      <w:r w:rsidRPr="008B1F8D">
        <w:rPr>
          <w:lang w:val="en-GB"/>
        </w:rPr>
        <w:t>LABScreen</w:t>
      </w:r>
      <w:proofErr w:type="spellEnd"/>
      <w:r w:rsidRPr="008B1F8D">
        <w:rPr>
          <w:lang w:val="en-GB"/>
        </w:rPr>
        <w:t xml:space="preserve"> Single Antigen HLA Class I, One Lambda). Both MAB and SAB were performed according to the manufacturer</w:t>
      </w:r>
      <w:r>
        <w:rPr>
          <w:lang w:val="en-GB"/>
        </w:rPr>
        <w:t>’</w:t>
      </w:r>
      <w:r w:rsidRPr="008B1F8D">
        <w:rPr>
          <w:lang w:val="en-GB"/>
        </w:rPr>
        <w:t xml:space="preserve">s instructions: Following incubation at 56°C for 30 min and filtering, 20 µl of undiluted serum were incubated for 30 min with </w:t>
      </w:r>
      <w:proofErr w:type="gramStart"/>
      <w:r w:rsidRPr="008B1F8D">
        <w:rPr>
          <w:lang w:val="en-GB"/>
        </w:rPr>
        <w:t>3</w:t>
      </w:r>
      <w:proofErr w:type="gramEnd"/>
      <w:r w:rsidRPr="008B1F8D">
        <w:rPr>
          <w:lang w:val="en-GB"/>
        </w:rPr>
        <w:t xml:space="preserve"> µl of the </w:t>
      </w:r>
      <w:proofErr w:type="spellStart"/>
      <w:r w:rsidRPr="008B1F8D">
        <w:rPr>
          <w:lang w:val="en-GB"/>
        </w:rPr>
        <w:t>LABScreen</w:t>
      </w:r>
      <w:proofErr w:type="spellEnd"/>
      <w:r w:rsidRPr="008B1F8D">
        <w:rPr>
          <w:lang w:val="en-GB"/>
        </w:rPr>
        <w:t xml:space="preserve"> bead mix. After a first washing step (</w:t>
      </w:r>
      <w:proofErr w:type="gramStart"/>
      <w:r w:rsidRPr="008B1F8D">
        <w:rPr>
          <w:lang w:val="en-GB"/>
        </w:rPr>
        <w:t>1x</w:t>
      </w:r>
      <w:proofErr w:type="gramEnd"/>
      <w:r w:rsidRPr="008B1F8D">
        <w:rPr>
          <w:lang w:val="en-GB"/>
        </w:rPr>
        <w:t xml:space="preserve"> </w:t>
      </w:r>
      <w:proofErr w:type="spellStart"/>
      <w:r w:rsidRPr="008B1F8D">
        <w:rPr>
          <w:lang w:val="en-GB"/>
        </w:rPr>
        <w:t>LABScreen</w:t>
      </w:r>
      <w:proofErr w:type="spellEnd"/>
      <w:r w:rsidRPr="008B1F8D">
        <w:rPr>
          <w:lang w:val="en-GB"/>
        </w:rPr>
        <w:t xml:space="preserve"> wash buffer), the mix was incubated with 100 µl of a dilution of PE-conjugated IgG detection antibody for 30 min. After a final washing step, the mean fluorescence intensity corresponding for each bead was measured using a FLEXMAP3D Analyser in combination with </w:t>
      </w:r>
      <w:proofErr w:type="spellStart"/>
      <w:r w:rsidRPr="008B1F8D">
        <w:rPr>
          <w:lang w:val="en-GB"/>
        </w:rPr>
        <w:t>xPONENT</w:t>
      </w:r>
      <w:proofErr w:type="spellEnd"/>
      <w:r w:rsidRPr="008B1F8D">
        <w:rPr>
          <w:lang w:val="en-GB"/>
        </w:rPr>
        <w:t xml:space="preserve"> software version 4.1 (</w:t>
      </w:r>
      <w:proofErr w:type="spellStart"/>
      <w:r w:rsidRPr="008B1F8D">
        <w:rPr>
          <w:lang w:val="en-GB"/>
        </w:rPr>
        <w:t>Luminex</w:t>
      </w:r>
      <w:proofErr w:type="spellEnd"/>
      <w:r w:rsidRPr="008B1F8D">
        <w:rPr>
          <w:lang w:val="en-GB"/>
        </w:rPr>
        <w:t xml:space="preserve"> Corporation, Texas, </w:t>
      </w:r>
      <w:proofErr w:type="gramStart"/>
      <w:r w:rsidRPr="008B1F8D">
        <w:rPr>
          <w:lang w:val="en-GB"/>
        </w:rPr>
        <w:t>USA</w:t>
      </w:r>
      <w:proofErr w:type="gramEnd"/>
      <w:r w:rsidRPr="008B1F8D">
        <w:rPr>
          <w:lang w:val="en-GB"/>
        </w:rPr>
        <w:t xml:space="preserve">). In this study, the raw mean fluorescence intensity for each bead – without binarization or normalization – </w:t>
      </w:r>
      <w:proofErr w:type="gramStart"/>
      <w:r w:rsidRPr="008B1F8D">
        <w:rPr>
          <w:lang w:val="en-GB"/>
        </w:rPr>
        <w:t>was employed</w:t>
      </w:r>
      <w:proofErr w:type="gramEnd"/>
      <w:r w:rsidRPr="008B1F8D">
        <w:rPr>
          <w:lang w:val="en-GB"/>
        </w:rPr>
        <w:t xml:space="preserve"> to predict eGFR-1y.</w:t>
      </w:r>
    </w:p>
    <w:p w:rsidR="00F7195E" w:rsidRPr="008B1F8D" w:rsidRDefault="00F7195E" w:rsidP="00F7195E">
      <w:pPr>
        <w:pStyle w:val="Heading2"/>
        <w:rPr>
          <w:lang w:val="en-GB"/>
        </w:rPr>
      </w:pPr>
      <w:r w:rsidRPr="008B1F8D">
        <w:rPr>
          <w:lang w:val="en-GB"/>
        </w:rPr>
        <w:t>Monitoring and management of viral infection</w:t>
      </w:r>
    </w:p>
    <w:p w:rsidR="00F7195E" w:rsidRPr="008B1F8D" w:rsidRDefault="00F7195E" w:rsidP="00F7195E">
      <w:pPr>
        <w:spacing w:after="240"/>
        <w:rPr>
          <w:rFonts w:cstheme="minorHAnsi"/>
          <w:lang w:val="en-GB"/>
        </w:rPr>
      </w:pPr>
      <w:r w:rsidRPr="008B1F8D">
        <w:rPr>
          <w:rFonts w:cstheme="minorHAnsi"/>
          <w:lang w:val="en-GB"/>
        </w:rPr>
        <w:t xml:space="preserve">In several transplant centres, prophylactic approaches using valganciclovir </w:t>
      </w:r>
      <w:proofErr w:type="gramStart"/>
      <w:r w:rsidRPr="008B1F8D">
        <w:rPr>
          <w:rFonts w:cstheme="minorHAnsi"/>
          <w:lang w:val="en-GB"/>
        </w:rPr>
        <w:t>were applied</w:t>
      </w:r>
      <w:proofErr w:type="gramEnd"/>
      <w:r w:rsidRPr="008B1F8D">
        <w:rPr>
          <w:rFonts w:cstheme="minorHAnsi"/>
          <w:lang w:val="en-GB"/>
        </w:rPr>
        <w:t xml:space="preserve"> to prevent CMV infection. For our analysis, patients starting a (</w:t>
      </w:r>
      <w:proofErr w:type="spellStart"/>
      <w:r w:rsidRPr="008B1F8D">
        <w:rPr>
          <w:rFonts w:cstheme="minorHAnsi"/>
          <w:lang w:val="en-GB"/>
        </w:rPr>
        <w:t>val</w:t>
      </w:r>
      <w:proofErr w:type="spellEnd"/>
      <w:proofErr w:type="gramStart"/>
      <w:r w:rsidRPr="008B1F8D">
        <w:rPr>
          <w:rFonts w:cstheme="minorHAnsi"/>
          <w:lang w:val="en-GB"/>
        </w:rPr>
        <w:t>)ganciclovir</w:t>
      </w:r>
      <w:proofErr w:type="gramEnd"/>
      <w:r w:rsidRPr="008B1F8D">
        <w:rPr>
          <w:rFonts w:cstheme="minorHAnsi"/>
          <w:lang w:val="en-GB"/>
        </w:rPr>
        <w:t xml:space="preserve"> treatment during the first 14 days were considered to have received a prophylactic treatment. Likewise, the provided value for tacrolimus and MMF usage corresponds to visit 2w. </w:t>
      </w:r>
      <w:r w:rsidRPr="0010358E">
        <w:rPr>
          <w:rFonts w:cstheme="minorHAnsi"/>
          <w:lang w:val="en-GB"/>
        </w:rPr>
        <w:t>I</w:t>
      </w:r>
      <w:r w:rsidRPr="008B1F8D">
        <w:rPr>
          <w:rFonts w:cstheme="minorHAnsi"/>
          <w:lang w:val="en-GB"/>
        </w:rPr>
        <w:t xml:space="preserve">n parallel to the clinical monitoring performed at each centre, peripheral blood samples from the eight visits were centrally monitored for cytomegalovirus, Epstein-Barr virus and BK virus by </w:t>
      </w:r>
      <w:proofErr w:type="spellStart"/>
      <w:r w:rsidR="00BA483B" w:rsidRPr="00BA483B">
        <w:rPr>
          <w:rFonts w:cstheme="minorHAnsi"/>
          <w:lang w:val="en-GB"/>
        </w:rPr>
        <w:t>TaqMan</w:t>
      </w:r>
      <w:proofErr w:type="spellEnd"/>
      <w:r w:rsidR="00BA483B" w:rsidRPr="00BA483B">
        <w:rPr>
          <w:rFonts w:cstheme="minorHAnsi"/>
          <w:lang w:val="en-GB"/>
        </w:rPr>
        <w:t xml:space="preserve"> quantitative polymerase chain reaction (qPCR)</w:t>
      </w:r>
      <w:r w:rsidRPr="008B1F8D">
        <w:rPr>
          <w:rFonts w:cstheme="minorHAnsi"/>
          <w:lang w:val="en-GB"/>
        </w:rPr>
        <w:t>, as described previously.</w:t>
      </w:r>
      <w:r w:rsidRPr="008B1F8D">
        <w:rPr>
          <w:rFonts w:cstheme="minorHAnsi"/>
          <w:lang w:val="en-GB"/>
        </w:rPr>
        <w:fldChar w:fldCharType="begin" w:fldLock="1"/>
      </w:r>
      <w:r w:rsidR="00EE4F0F">
        <w:rPr>
          <w:rFonts w:cstheme="minorHAnsi"/>
          <w:lang w:val="en-GB"/>
        </w:rPr>
        <w:instrText>ADDIN CSL_CITATION {"citationItems":[{"id":"ITEM-1","itemData":{"DOI":"10.1016/j.ebiom.2018.07.017","ISSN":"23523964","author":[{"dropping-particle":"","family":"Blazquez-Navarro","given":"Arturo","non-dropping-particle":"","parse-names":false,"suffix":""},{"dropping-particle":"","family":"Dang-Heine","given":"Chantip","non-dropping-particle":"","parse-names":false,"suffix":""},{"dropping-particle":"","family":"Wittenbrink","given":"Nicole","non-dropping-particle":"","parse-names":false,"suffix":""},{"dropping-particle":"","family":"Bauer","given":"Chris","non-dropping-particle":"","parse-names":false,"suffix":""},{"dropping-particle":"","family":"Wolk","given":"Kerstin","non-dropping-particle":"","parse-names":false,"suffix":""},{"dropping-particle":"","family":"Sabat","given":"Robert","non-dropping-particle":"","parse-names":false,"suffix":""},{"dropping-particle":"","family":"Westhoff","given":"Timm H.","non-dropping-particle":"","parse-names":false,"suffix":""},{"dropping-particle":"","family":"Sawitzki","given":"Birgit","non-dropping-particle":"","parse-names":false,"suffix":""},{"dropping-particle":"","family":"Reinke","given":"Petra","non-dropping-particle":"","parse-names":false,"suffix":""},{"dropping-particle":"","family":"Thomusch","given":"Oliver","non-dropping-particle":"","parse-names":false,"suffix":""},{"dropping-particle":"","family":"Hugo","given":"Christian","non-dropping-particle":"","parse-names":false,"suffix":""},{"dropping-particle":"","family":"Or-Guil","given":"Michal","non-dropping-particle":"","parse-names":false,"suffix":""},{"dropping-particle":"","family":"Babel","given":"Nina","non-dropping-particle":"","parse-names":false,"suffix":""}],"container-title":"EBioMedicine","id":"ITEM-1","issued":{"date-parts":[["2018"]]},"page":"113-121","publisher":"Elsevier B.V.","title":"BKV, CMV, and EBV Interactions and their Effect on Graft Function One Year Post-Renal Transplantation: Results from a Large Multi-Centre Study","type":"article-journal","volume":"34"},"uris":["http://www.mendeley.com/documents/?uuid=9b91a017-b3b4-4be7-bf92-d9ce9e52f8ff"]}],"mendeley":{"formattedCitation":"(&lt;i&gt;8&lt;/i&gt;)","plainTextFormattedCitation":"(8)","previouslyFormattedCitation":"&lt;span style=\"baseline\"&gt;[34]&lt;/span&gt;"},"properties":{"noteIndex":0},"schema":"https://github.com/citation-style-language/schema/raw/master/csl-citation.json"}</w:instrText>
      </w:r>
      <w:r w:rsidRPr="008B1F8D">
        <w:rPr>
          <w:rFonts w:cstheme="minorHAnsi"/>
          <w:lang w:val="en-GB"/>
        </w:rPr>
        <w:fldChar w:fldCharType="separate"/>
      </w:r>
      <w:r w:rsidR="00EE4F0F" w:rsidRPr="00EE4F0F">
        <w:rPr>
          <w:rFonts w:cstheme="minorHAnsi"/>
          <w:noProof/>
          <w:lang w:val="en-GB"/>
        </w:rPr>
        <w:t>(</w:t>
      </w:r>
      <w:r w:rsidR="00EE4F0F" w:rsidRPr="00EE4F0F">
        <w:rPr>
          <w:rFonts w:cstheme="minorHAnsi"/>
          <w:i/>
          <w:noProof/>
          <w:lang w:val="en-GB"/>
        </w:rPr>
        <w:t>8</w:t>
      </w:r>
      <w:r w:rsidR="00EE4F0F" w:rsidRPr="00EE4F0F">
        <w:rPr>
          <w:rFonts w:cstheme="minorHAnsi"/>
          <w:noProof/>
          <w:lang w:val="en-GB"/>
        </w:rPr>
        <w:t>)</w:t>
      </w:r>
      <w:r w:rsidRPr="008B1F8D">
        <w:rPr>
          <w:rFonts w:cstheme="minorHAnsi"/>
          <w:lang w:val="en-GB"/>
        </w:rPr>
        <w:fldChar w:fldCharType="end"/>
      </w:r>
      <w:r w:rsidRPr="008B1F8D">
        <w:rPr>
          <w:rFonts w:cstheme="minorHAnsi"/>
          <w:lang w:val="en-GB"/>
        </w:rPr>
        <w:t xml:space="preserve"> Briefly, DNA was isolated from serum (BK virus) or whole blood samples (cytomegalovirus and Epstein-Barr virus) according to the manufacturer</w:t>
      </w:r>
      <w:r>
        <w:rPr>
          <w:rFonts w:cstheme="minorHAnsi"/>
          <w:lang w:val="en-GB"/>
        </w:rPr>
        <w:t>’</w:t>
      </w:r>
      <w:r w:rsidRPr="008B1F8D">
        <w:rPr>
          <w:rFonts w:cstheme="minorHAnsi"/>
          <w:lang w:val="en-GB"/>
        </w:rPr>
        <w:t xml:space="preserve">s instructions. </w:t>
      </w:r>
      <w:proofErr w:type="gramStart"/>
      <w:r w:rsidRPr="008B1F8D">
        <w:rPr>
          <w:rFonts w:cstheme="minorHAnsi"/>
          <w:lang w:val="en-GB"/>
        </w:rPr>
        <w:t>qPCR</w:t>
      </w:r>
      <w:proofErr w:type="gramEnd"/>
      <w:r w:rsidRPr="008B1F8D">
        <w:rPr>
          <w:rFonts w:cstheme="minorHAnsi"/>
          <w:lang w:val="en-GB"/>
        </w:rPr>
        <w:t xml:space="preserve"> was performed employing the Prism 7700 Sequence Detector. The detection level was the lowest viral load measured within the range of linearity.</w:t>
      </w:r>
    </w:p>
    <w:p w:rsidR="00F7195E" w:rsidRPr="0010358E" w:rsidRDefault="00F7195E" w:rsidP="00F7195E">
      <w:pPr>
        <w:rPr>
          <w:lang w:val="en-GB"/>
        </w:rPr>
      </w:pPr>
      <w:r w:rsidRPr="0010358E">
        <w:rPr>
          <w:lang w:val="en-GB"/>
        </w:rPr>
        <w:lastRenderedPageBreak/>
        <w:t>To determine the amount of anti-BKV IgG antibodies in patient serum, 96 well plates (</w:t>
      </w:r>
      <w:proofErr w:type="spellStart"/>
      <w:r w:rsidRPr="0010358E">
        <w:rPr>
          <w:lang w:val="en-GB"/>
        </w:rPr>
        <w:t>Costar</w:t>
      </w:r>
      <w:proofErr w:type="spellEnd"/>
      <w:r w:rsidRPr="0010358E">
        <w:rPr>
          <w:lang w:val="en-GB"/>
        </w:rPr>
        <w:t xml:space="preserve"> Assay Platte High Binding, Corning) were coated </w:t>
      </w:r>
      <w:r w:rsidRPr="008B1F8D">
        <w:rPr>
          <w:lang w:val="en-GB"/>
        </w:rPr>
        <w:t>at 4°C overnight</w:t>
      </w:r>
      <w:r w:rsidRPr="0010358E">
        <w:rPr>
          <w:lang w:val="en-GB"/>
        </w:rPr>
        <w:t xml:space="preserve"> with </w:t>
      </w:r>
      <w:r w:rsidRPr="008B1F8D">
        <w:rPr>
          <w:lang w:val="en-GB"/>
        </w:rPr>
        <w:t>1 µg·mL</w:t>
      </w:r>
      <w:r w:rsidRPr="008B1F8D">
        <w:rPr>
          <w:vertAlign w:val="superscript"/>
          <w:lang w:val="en-GB"/>
        </w:rPr>
        <w:t>-1</w:t>
      </w:r>
      <w:r w:rsidRPr="008B1F8D">
        <w:rPr>
          <w:lang w:val="en-GB"/>
        </w:rPr>
        <w:t xml:space="preserve"> of BKV-VP1 protein, which was </w:t>
      </w:r>
      <w:r w:rsidRPr="0010358E">
        <w:rPr>
          <w:lang w:val="en-GB"/>
        </w:rPr>
        <w:t xml:space="preserve">reconstituted in </w:t>
      </w:r>
      <w:r w:rsidRPr="008B1F8D">
        <w:rPr>
          <w:lang w:val="en-GB"/>
        </w:rPr>
        <w:t>100 µl sterile ddH</w:t>
      </w:r>
      <w:r w:rsidRPr="008B1F8D">
        <w:rPr>
          <w:vertAlign w:val="subscript"/>
          <w:lang w:val="en-GB"/>
        </w:rPr>
        <w:t>2</w:t>
      </w:r>
      <w:r w:rsidRPr="008B1F8D">
        <w:rPr>
          <w:lang w:val="en-GB"/>
        </w:rPr>
        <w:t>0 to a final stock concentration of 1 mg·mL</w:t>
      </w:r>
      <w:r w:rsidRPr="008B1F8D">
        <w:rPr>
          <w:vertAlign w:val="superscript"/>
          <w:lang w:val="en-GB"/>
        </w:rPr>
        <w:t>-1</w:t>
      </w:r>
      <w:r w:rsidRPr="008B1F8D">
        <w:rPr>
          <w:lang w:val="en-GB"/>
        </w:rPr>
        <w:t xml:space="preserve">. Plates were washed twice with 150 µl wash buffer (Phosphoprotein Detection Wash Buffer, </w:t>
      </w:r>
      <w:proofErr w:type="spellStart"/>
      <w:r w:rsidRPr="008B1F8D">
        <w:rPr>
          <w:lang w:val="en-GB"/>
        </w:rPr>
        <w:t>Biorad</w:t>
      </w:r>
      <w:proofErr w:type="spellEnd"/>
      <w:r w:rsidRPr="008B1F8D">
        <w:rPr>
          <w:lang w:val="en-GB"/>
        </w:rPr>
        <w:t>), blocked with Roti-Block (Carl Roth GmbH) solution for 2 hours at 37°C to minimized unspecific bindings and washed for another two times with wash buffer. Patient serum was diluted 1:250 in Roti-Block solution. The standard curve was prepared using 1:2 serial dilutions of the monoclonal anti-human-BKP-VP1 antibody (Sigma Aldrich) with a starting concentration of 500 ng·mL</w:t>
      </w:r>
      <w:r w:rsidRPr="008B1F8D">
        <w:rPr>
          <w:vertAlign w:val="superscript"/>
          <w:lang w:val="en-GB"/>
        </w:rPr>
        <w:t>-1</w:t>
      </w:r>
      <w:r w:rsidRPr="008B1F8D">
        <w:rPr>
          <w:lang w:val="en-GB"/>
        </w:rPr>
        <w:t xml:space="preserve">.  </w:t>
      </w:r>
      <w:proofErr w:type="gramStart"/>
      <w:r w:rsidRPr="008B1F8D">
        <w:rPr>
          <w:lang w:val="en-GB"/>
        </w:rPr>
        <w:t>100</w:t>
      </w:r>
      <w:proofErr w:type="gramEnd"/>
      <w:r w:rsidRPr="008B1F8D">
        <w:rPr>
          <w:lang w:val="en-GB"/>
        </w:rPr>
        <w:t xml:space="preserve"> µl of standard and diluted serum samples were then added onto the coated plate and incubated for 1 hour at room temperature. After washing twice, 100µl of </w:t>
      </w:r>
      <w:proofErr w:type="gramStart"/>
      <w:r w:rsidRPr="008B1F8D">
        <w:rPr>
          <w:lang w:val="en-GB"/>
        </w:rPr>
        <w:t>1</w:t>
      </w:r>
      <w:proofErr w:type="gramEnd"/>
      <w:r w:rsidRPr="008B1F8D">
        <w:rPr>
          <w:lang w:val="en-GB"/>
        </w:rPr>
        <w:t xml:space="preserve"> µg·mL</w:t>
      </w:r>
      <w:r w:rsidRPr="008B1F8D">
        <w:rPr>
          <w:vertAlign w:val="superscript"/>
          <w:lang w:val="en-GB"/>
        </w:rPr>
        <w:t>-1</w:t>
      </w:r>
      <w:r w:rsidRPr="008B1F8D">
        <w:rPr>
          <w:lang w:val="en-GB"/>
        </w:rPr>
        <w:t xml:space="preserve"> anti-human-IgG-HRP (</w:t>
      </w:r>
      <w:proofErr w:type="spellStart"/>
      <w:r w:rsidRPr="008B1F8D">
        <w:rPr>
          <w:lang w:val="en-GB"/>
        </w:rPr>
        <w:t>Abcam</w:t>
      </w:r>
      <w:proofErr w:type="spellEnd"/>
      <w:r w:rsidRPr="008B1F8D">
        <w:rPr>
          <w:lang w:val="en-GB"/>
        </w:rPr>
        <w:t xml:space="preserve">) diluted in PBS was added to each well and incubated for 1 hour at room temperature. After washing, the plates </w:t>
      </w:r>
      <w:proofErr w:type="gramStart"/>
      <w:r w:rsidRPr="008B1F8D">
        <w:rPr>
          <w:lang w:val="en-GB"/>
        </w:rPr>
        <w:t>were developed</w:t>
      </w:r>
      <w:proofErr w:type="gramEnd"/>
      <w:r w:rsidRPr="008B1F8D">
        <w:rPr>
          <w:lang w:val="en-GB"/>
        </w:rPr>
        <w:t xml:space="preserve"> using the Substrate Reagent Pack (R&amp;D systems) according to manufactures instructions. Absorbance at 450 nm </w:t>
      </w:r>
      <w:proofErr w:type="gramStart"/>
      <w:r w:rsidRPr="008B1F8D">
        <w:rPr>
          <w:lang w:val="en-GB"/>
        </w:rPr>
        <w:t>was measured</w:t>
      </w:r>
      <w:proofErr w:type="gramEnd"/>
      <w:r w:rsidRPr="008B1F8D">
        <w:rPr>
          <w:lang w:val="en-GB"/>
        </w:rPr>
        <w:t xml:space="preserve"> and anti-BKV-VP1 antibody serum concentrations were calculated by interpolating with the standard curves.  </w:t>
      </w:r>
    </w:p>
    <w:p w:rsidR="00D855FB" w:rsidRDefault="00D855FB">
      <w:pPr>
        <w:rPr>
          <w:lang w:val="en-GB"/>
        </w:rPr>
      </w:pPr>
    </w:p>
    <w:p w:rsidR="00EE4F0F" w:rsidRPr="00EE4F0F" w:rsidRDefault="00EE4F0F" w:rsidP="00EE4F0F">
      <w:pPr>
        <w:widowControl w:val="0"/>
        <w:autoSpaceDE w:val="0"/>
        <w:autoSpaceDN w:val="0"/>
        <w:adjustRightInd w:val="0"/>
        <w:ind w:left="640" w:hanging="640"/>
        <w:rPr>
          <w:noProof/>
        </w:rPr>
      </w:pPr>
      <w:r>
        <w:rPr>
          <w:lang w:val="en-GB"/>
        </w:rPr>
        <w:fldChar w:fldCharType="begin" w:fldLock="1"/>
      </w:r>
      <w:r>
        <w:rPr>
          <w:lang w:val="en-GB"/>
        </w:rPr>
        <w:instrText xml:space="preserve">ADDIN Mendeley Bibliography CSL_BIBLIOGRAPHY </w:instrText>
      </w:r>
      <w:r>
        <w:rPr>
          <w:lang w:val="en-GB"/>
        </w:rPr>
        <w:fldChar w:fldCharType="separate"/>
      </w:r>
      <w:r w:rsidRPr="00EE4F0F">
        <w:rPr>
          <w:noProof/>
        </w:rPr>
        <w:t xml:space="preserve">1. </w:t>
      </w:r>
      <w:r w:rsidRPr="00EE4F0F">
        <w:rPr>
          <w:noProof/>
        </w:rPr>
        <w:tab/>
        <w:t xml:space="preserve">E. Witte-Händel, K. Wolk, A. Tsaousi, M. L. Irmer, R. Mößner, O. Shomroni, T. Lingner, K. Witte, D. Kunkel, G. Salinas, S. Jodl, N. Schmidt, W. Sterry, H. D. Volk, E. J. Giamarellos-Bourboulis, A. Pokrywka, W. D. Döcke, S. Schneider-Burrus, R. Sabat, The IL-1 Pathway Is Hyperactive in Hidradenitis Suppurativa and Contributes to Skin Infiltration and Destruction. </w:t>
      </w:r>
      <w:r w:rsidRPr="00EE4F0F">
        <w:rPr>
          <w:i/>
          <w:iCs/>
          <w:noProof/>
        </w:rPr>
        <w:t>J. Invest. Dermatol.</w:t>
      </w:r>
      <w:r w:rsidRPr="00EE4F0F">
        <w:rPr>
          <w:noProof/>
        </w:rPr>
        <w:t xml:space="preserve"> </w:t>
      </w:r>
      <w:r w:rsidRPr="00EE4F0F">
        <w:rPr>
          <w:b/>
          <w:bCs/>
          <w:noProof/>
        </w:rPr>
        <w:t>139</w:t>
      </w:r>
      <w:r w:rsidRPr="00EE4F0F">
        <w:rPr>
          <w:noProof/>
        </w:rPr>
        <w:t>, 1294–1305 (2019).</w:t>
      </w:r>
    </w:p>
    <w:p w:rsidR="00EE4F0F" w:rsidRPr="00EE4F0F" w:rsidRDefault="00EE4F0F" w:rsidP="00EE4F0F">
      <w:pPr>
        <w:widowControl w:val="0"/>
        <w:autoSpaceDE w:val="0"/>
        <w:autoSpaceDN w:val="0"/>
        <w:adjustRightInd w:val="0"/>
        <w:ind w:left="640" w:hanging="640"/>
        <w:rPr>
          <w:noProof/>
        </w:rPr>
      </w:pPr>
      <w:r w:rsidRPr="00EE4F0F">
        <w:rPr>
          <w:noProof/>
        </w:rPr>
        <w:t xml:space="preserve">2. </w:t>
      </w:r>
      <w:r w:rsidRPr="00EE4F0F">
        <w:rPr>
          <w:noProof/>
        </w:rPr>
        <w:tab/>
        <w:t xml:space="preserve">K. Krause, R. Sabat, E. Witte-Händel, A. Schulze, V. Puhl, M. Maurer, K. Wolk, Association of CCL2 with systemic inflammation in Schnitzler syndrome. </w:t>
      </w:r>
      <w:r w:rsidRPr="00EE4F0F">
        <w:rPr>
          <w:i/>
          <w:iCs/>
          <w:noProof/>
        </w:rPr>
        <w:t>Br. J. Dermatol.</w:t>
      </w:r>
      <w:r w:rsidRPr="00EE4F0F">
        <w:rPr>
          <w:noProof/>
        </w:rPr>
        <w:t xml:space="preserve"> </w:t>
      </w:r>
      <w:r w:rsidRPr="00EE4F0F">
        <w:rPr>
          <w:b/>
          <w:bCs/>
          <w:noProof/>
        </w:rPr>
        <w:t>180</w:t>
      </w:r>
      <w:r w:rsidRPr="00EE4F0F">
        <w:rPr>
          <w:noProof/>
        </w:rPr>
        <w:t>, 859–868 (2019).</w:t>
      </w:r>
    </w:p>
    <w:p w:rsidR="00EE4F0F" w:rsidRPr="00EE4F0F" w:rsidRDefault="00EE4F0F" w:rsidP="00EE4F0F">
      <w:pPr>
        <w:widowControl w:val="0"/>
        <w:autoSpaceDE w:val="0"/>
        <w:autoSpaceDN w:val="0"/>
        <w:adjustRightInd w:val="0"/>
        <w:ind w:left="640" w:hanging="640"/>
        <w:rPr>
          <w:noProof/>
        </w:rPr>
      </w:pPr>
      <w:r w:rsidRPr="00EE4F0F">
        <w:rPr>
          <w:noProof/>
        </w:rPr>
        <w:t xml:space="preserve">3. </w:t>
      </w:r>
      <w:r w:rsidRPr="00EE4F0F">
        <w:rPr>
          <w:noProof/>
        </w:rPr>
        <w:tab/>
        <w:t xml:space="preserve">P. Sagoo, E. Perucha, B. Sawitzki, S. Tomiuk, D. A. Stephens, P. Miqueu, S. Chapman, L. Craciun, R. Sergeant, S. Brouard, F. Rovis, E. Jimenez, A. Ballow, M. Giral, I. Rebollo-Mesa, A. Le Moine, C. Braudeau, R. Hilton, B. Gerstmayer, K. Bourcier, A. Sharif, M. Krajewska, G. M. Lord, I. Roberts, M. Goldman, K. J. Wood, K. Newell, V. Seyfert-Margolis, A. N. Warrens, U. Janssen, H. D. Volk, J. P. Soulillou, M. P. Hernandez-Fuentes, R. I. Lechler, Development of a cross-platform biomarker signature to detect renal transplant tolerance in humans. </w:t>
      </w:r>
      <w:r w:rsidRPr="00EE4F0F">
        <w:rPr>
          <w:i/>
          <w:iCs/>
          <w:noProof/>
        </w:rPr>
        <w:t>J. Clin. Invest.</w:t>
      </w:r>
      <w:r w:rsidRPr="00EE4F0F">
        <w:rPr>
          <w:noProof/>
        </w:rPr>
        <w:t xml:space="preserve"> </w:t>
      </w:r>
      <w:r w:rsidRPr="00EE4F0F">
        <w:rPr>
          <w:b/>
          <w:bCs/>
          <w:noProof/>
        </w:rPr>
        <w:t>120</w:t>
      </w:r>
      <w:r w:rsidRPr="00EE4F0F">
        <w:rPr>
          <w:noProof/>
        </w:rPr>
        <w:t>, 1848–1861 (2010).</w:t>
      </w:r>
    </w:p>
    <w:p w:rsidR="00EE4F0F" w:rsidRPr="00EE4F0F" w:rsidRDefault="00EE4F0F" w:rsidP="00EE4F0F">
      <w:pPr>
        <w:widowControl w:val="0"/>
        <w:autoSpaceDE w:val="0"/>
        <w:autoSpaceDN w:val="0"/>
        <w:adjustRightInd w:val="0"/>
        <w:ind w:left="640" w:hanging="640"/>
        <w:rPr>
          <w:noProof/>
        </w:rPr>
      </w:pPr>
      <w:r w:rsidRPr="00EE4F0F">
        <w:rPr>
          <w:noProof/>
        </w:rPr>
        <w:t xml:space="preserve">4. </w:t>
      </w:r>
      <w:r w:rsidRPr="00EE4F0F">
        <w:rPr>
          <w:noProof/>
        </w:rPr>
        <w:tab/>
        <w:t xml:space="preserve">B. Sawitzki, A. Bushell, U. Steger, N. Jones, K. Risch, A. Siepert, M. Lehmann, I. Schmitt-Knosalla, K. Vogt, I. Gebuhr, K. Wood, H. D. Volk, Identification of gene markers for the prediction of allograft rejection or permanent acceptance. </w:t>
      </w:r>
      <w:r w:rsidRPr="00EE4F0F">
        <w:rPr>
          <w:i/>
          <w:iCs/>
          <w:noProof/>
        </w:rPr>
        <w:t>Am. J. Transplant.</w:t>
      </w:r>
      <w:r w:rsidRPr="00EE4F0F">
        <w:rPr>
          <w:noProof/>
        </w:rPr>
        <w:t xml:space="preserve"> </w:t>
      </w:r>
      <w:r w:rsidRPr="00EE4F0F">
        <w:rPr>
          <w:b/>
          <w:bCs/>
          <w:noProof/>
        </w:rPr>
        <w:t>7</w:t>
      </w:r>
      <w:r w:rsidRPr="00EE4F0F">
        <w:rPr>
          <w:noProof/>
        </w:rPr>
        <w:t>, 1091–1102 (2007).</w:t>
      </w:r>
    </w:p>
    <w:p w:rsidR="00EE4F0F" w:rsidRPr="00EE4F0F" w:rsidRDefault="00EE4F0F" w:rsidP="00EE4F0F">
      <w:pPr>
        <w:widowControl w:val="0"/>
        <w:autoSpaceDE w:val="0"/>
        <w:autoSpaceDN w:val="0"/>
        <w:adjustRightInd w:val="0"/>
        <w:ind w:left="640" w:hanging="640"/>
        <w:rPr>
          <w:noProof/>
        </w:rPr>
      </w:pPr>
      <w:r w:rsidRPr="00EE4F0F">
        <w:rPr>
          <w:noProof/>
        </w:rPr>
        <w:t xml:space="preserve">5. </w:t>
      </w:r>
      <w:r w:rsidRPr="00EE4F0F">
        <w:rPr>
          <w:noProof/>
        </w:rPr>
        <w:tab/>
        <w:t xml:space="preserve">O. Viklicky, E. Krystufkova, I. Brabcova, A. Sekerkova, P. Wohlfahrt, P. Hribova, M. Wohlfahrtova, B. Sawitzki, J. Slatinska, I. Striz, H. D. Volk, P. Reinke, B-cell-related biomarkers of tolerance are up-regulated in rejection-free kidney transplant recipients. </w:t>
      </w:r>
      <w:r w:rsidRPr="00EE4F0F">
        <w:rPr>
          <w:i/>
          <w:iCs/>
          <w:noProof/>
        </w:rPr>
        <w:t>Transplantation</w:t>
      </w:r>
      <w:r w:rsidRPr="00EE4F0F">
        <w:rPr>
          <w:noProof/>
        </w:rPr>
        <w:t xml:space="preserve">. </w:t>
      </w:r>
      <w:r w:rsidRPr="00EE4F0F">
        <w:rPr>
          <w:b/>
          <w:bCs/>
          <w:noProof/>
        </w:rPr>
        <w:t>95</w:t>
      </w:r>
      <w:r w:rsidRPr="00EE4F0F">
        <w:rPr>
          <w:noProof/>
        </w:rPr>
        <w:t>, 148–154 (2013).</w:t>
      </w:r>
    </w:p>
    <w:p w:rsidR="00EE4F0F" w:rsidRPr="00EE4F0F" w:rsidRDefault="00EE4F0F" w:rsidP="00EE4F0F">
      <w:pPr>
        <w:widowControl w:val="0"/>
        <w:autoSpaceDE w:val="0"/>
        <w:autoSpaceDN w:val="0"/>
        <w:adjustRightInd w:val="0"/>
        <w:ind w:left="640" w:hanging="640"/>
        <w:rPr>
          <w:noProof/>
        </w:rPr>
      </w:pPr>
      <w:r w:rsidRPr="00EE4F0F">
        <w:rPr>
          <w:noProof/>
        </w:rPr>
        <w:t xml:space="preserve">6. </w:t>
      </w:r>
      <w:r w:rsidRPr="00EE4F0F">
        <w:rPr>
          <w:noProof/>
        </w:rPr>
        <w:tab/>
        <w:t xml:space="preserve">E. Krepsova, I. Tycova, A. Sekerkova, P. Wohlfahrt, P. Hruba, I. Striz, B. Sawitzki, O. Viklicky, Effect of induction therapy on the expression of molecular markers associated with rejection and tolerance. </w:t>
      </w:r>
      <w:r w:rsidRPr="00EE4F0F">
        <w:rPr>
          <w:i/>
          <w:iCs/>
          <w:noProof/>
        </w:rPr>
        <w:t>BMC Nephrol.</w:t>
      </w:r>
      <w:r w:rsidRPr="00EE4F0F">
        <w:rPr>
          <w:noProof/>
        </w:rPr>
        <w:t xml:space="preserve"> </w:t>
      </w:r>
      <w:r w:rsidRPr="00EE4F0F">
        <w:rPr>
          <w:b/>
          <w:bCs/>
          <w:noProof/>
        </w:rPr>
        <w:t>16</w:t>
      </w:r>
      <w:r w:rsidRPr="00EE4F0F">
        <w:rPr>
          <w:noProof/>
        </w:rPr>
        <w:t>, 1–9 (2015).</w:t>
      </w:r>
    </w:p>
    <w:p w:rsidR="00EE4F0F" w:rsidRPr="00EE4F0F" w:rsidRDefault="00EE4F0F" w:rsidP="00EE4F0F">
      <w:pPr>
        <w:widowControl w:val="0"/>
        <w:autoSpaceDE w:val="0"/>
        <w:autoSpaceDN w:val="0"/>
        <w:adjustRightInd w:val="0"/>
        <w:ind w:left="640" w:hanging="640"/>
        <w:rPr>
          <w:noProof/>
        </w:rPr>
      </w:pPr>
      <w:r w:rsidRPr="00EE4F0F">
        <w:rPr>
          <w:noProof/>
        </w:rPr>
        <w:t xml:space="preserve">7. </w:t>
      </w:r>
      <w:r w:rsidRPr="00EE4F0F">
        <w:rPr>
          <w:noProof/>
        </w:rPr>
        <w:tab/>
        <w:t xml:space="preserve">N. Wittenbrink, S. Herrmann, A. Blazquez-Navarro, C. Bauer, E. Lindberg, P. Reinke, B. Sawitzki, O. Thomusch, C. Hugo, N. Babel, H. Seitz, M. Or-Guil, A novel approach reveals that HLA class 1 single antigen bead-signatures provide a means of high-accuracy pre-transplant risk assessment of acute cellular rejection. </w:t>
      </w:r>
      <w:r w:rsidRPr="00EE4F0F">
        <w:rPr>
          <w:i/>
          <w:iCs/>
          <w:noProof/>
        </w:rPr>
        <w:t>BMC Immunol.</w:t>
      </w:r>
      <w:r w:rsidRPr="00EE4F0F">
        <w:rPr>
          <w:noProof/>
        </w:rPr>
        <w:t xml:space="preserve"> </w:t>
      </w:r>
      <w:r w:rsidRPr="00EE4F0F">
        <w:rPr>
          <w:b/>
          <w:bCs/>
          <w:noProof/>
        </w:rPr>
        <w:t>20</w:t>
      </w:r>
      <w:r w:rsidRPr="00EE4F0F">
        <w:rPr>
          <w:noProof/>
        </w:rPr>
        <w:t>, 11 (2019).</w:t>
      </w:r>
    </w:p>
    <w:p w:rsidR="00EE4F0F" w:rsidRPr="00EE4F0F" w:rsidRDefault="00EE4F0F" w:rsidP="00EE4F0F">
      <w:pPr>
        <w:widowControl w:val="0"/>
        <w:autoSpaceDE w:val="0"/>
        <w:autoSpaceDN w:val="0"/>
        <w:adjustRightInd w:val="0"/>
        <w:ind w:left="640" w:hanging="640"/>
        <w:rPr>
          <w:noProof/>
        </w:rPr>
      </w:pPr>
      <w:r w:rsidRPr="00EE4F0F">
        <w:rPr>
          <w:noProof/>
        </w:rPr>
        <w:t xml:space="preserve">8. </w:t>
      </w:r>
      <w:r w:rsidRPr="00EE4F0F">
        <w:rPr>
          <w:noProof/>
        </w:rPr>
        <w:tab/>
        <w:t>A. Blazquez-Navarro, C. Dang-Heine, N. Wittenbrink, C. Bauer, K. Wolk, R. Sabat, T. H. Westhoff, B. Sawitzki, P. Reinke, O. Thomusch, C. Hugo, M. Or-Guil, N. Babel, BKV, CMV, and EBV Interactions and their Effect on Graft Function One Year Post-</w:t>
      </w:r>
      <w:r w:rsidRPr="00EE4F0F">
        <w:rPr>
          <w:noProof/>
        </w:rPr>
        <w:lastRenderedPageBreak/>
        <w:t xml:space="preserve">Renal Transplantation: Results from a Large Multi-Centre Study. </w:t>
      </w:r>
      <w:r w:rsidRPr="00EE4F0F">
        <w:rPr>
          <w:i/>
          <w:iCs/>
          <w:noProof/>
        </w:rPr>
        <w:t>EBioMedicine</w:t>
      </w:r>
      <w:r w:rsidRPr="00EE4F0F">
        <w:rPr>
          <w:noProof/>
        </w:rPr>
        <w:t xml:space="preserve">. </w:t>
      </w:r>
      <w:r w:rsidRPr="00EE4F0F">
        <w:rPr>
          <w:b/>
          <w:bCs/>
          <w:noProof/>
        </w:rPr>
        <w:t>34</w:t>
      </w:r>
      <w:r w:rsidRPr="00EE4F0F">
        <w:rPr>
          <w:noProof/>
        </w:rPr>
        <w:t>, 113–121 (2018).</w:t>
      </w:r>
    </w:p>
    <w:p w:rsidR="00EE4F0F" w:rsidRPr="00F7195E" w:rsidRDefault="00EE4F0F">
      <w:pPr>
        <w:rPr>
          <w:lang w:val="en-GB"/>
        </w:rPr>
      </w:pPr>
      <w:r>
        <w:rPr>
          <w:lang w:val="en-GB"/>
        </w:rPr>
        <w:fldChar w:fldCharType="end"/>
      </w:r>
    </w:p>
    <w:sectPr w:rsidR="00EE4F0F" w:rsidRPr="00F7195E">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5E"/>
    <w:rsid w:val="004F77A8"/>
    <w:rsid w:val="00741A92"/>
    <w:rsid w:val="00BA483B"/>
    <w:rsid w:val="00D855FB"/>
    <w:rsid w:val="00EE4F0F"/>
    <w:rsid w:val="00F71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8661"/>
  <w15:chartTrackingRefBased/>
  <w15:docId w15:val="{E500B200-DB63-45E5-906F-57793A91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5E"/>
    <w:pPr>
      <w:spacing w:after="0" w:line="240" w:lineRule="auto"/>
    </w:pPr>
    <w:rPr>
      <w:rFonts w:ascii="Times New Roman" w:eastAsia="Times New Roman" w:hAnsi="Times New Roman" w:cs="Times New Roman"/>
      <w:sz w:val="24"/>
      <w:szCs w:val="24"/>
      <w:lang w:val="es" w:eastAsia="es-ES_tradnl"/>
    </w:rPr>
  </w:style>
  <w:style w:type="paragraph" w:styleId="Heading2">
    <w:name w:val="heading 2"/>
    <w:basedOn w:val="Normal"/>
    <w:next w:val="Normal"/>
    <w:link w:val="Heading2Char"/>
    <w:rsid w:val="00F7195E"/>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195E"/>
    <w:rPr>
      <w:rFonts w:ascii="Times New Roman" w:eastAsia="Times New Roman" w:hAnsi="Times New Roman" w:cs="Times New Roman"/>
      <w:sz w:val="32"/>
      <w:szCs w:val="32"/>
      <w:lang w:val="es" w:eastAsia="es-ES_tradnl"/>
    </w:rPr>
  </w:style>
  <w:style w:type="table" w:styleId="TableGrid">
    <w:name w:val="Table Grid"/>
    <w:basedOn w:val="TableNormal"/>
    <w:uiPriority w:val="39"/>
    <w:rsid w:val="00F7195E"/>
    <w:pPr>
      <w:spacing w:after="0" w:line="240" w:lineRule="auto"/>
    </w:pPr>
    <w:rPr>
      <w:rFonts w:ascii="Arial" w:eastAsia="Arial" w:hAnsi="Arial" w:cs="Arial"/>
      <w:lang w:val="e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B8DA-8B15-4553-9BA9-235933F9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5610</Words>
  <Characters>32203</Characters>
  <Application>Microsoft Office Word</Application>
  <DocSecurity>0</DocSecurity>
  <Lines>480</Lines>
  <Paragraphs>106</Paragraphs>
  <ScaleCrop>false</ScaleCrop>
  <HeadingPairs>
    <vt:vector size="2" baseType="variant">
      <vt:variant>
        <vt:lpstr>Title</vt:lpstr>
      </vt:variant>
      <vt:variant>
        <vt:i4>1</vt:i4>
      </vt:variant>
    </vt:vector>
  </HeadingPairs>
  <TitlesOfParts>
    <vt:vector size="1" baseType="lpstr">
      <vt:lpstr/>
    </vt:vector>
  </TitlesOfParts>
  <Company>Charité Universitaetsmedizin Berlin</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Blázquez Navarro, Arturo</dc:creator>
  <cp:keywords/>
  <dc:description/>
  <cp:lastModifiedBy>Blázquez Navarro, Arturo</cp:lastModifiedBy>
  <cp:revision>3</cp:revision>
  <dcterms:created xsi:type="dcterms:W3CDTF">2020-12-10T13:34:00Z</dcterms:created>
  <dcterms:modified xsi:type="dcterms:W3CDTF">2020-12-10T14:48:00Z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04df0c79-8f6d-30b9-b70c-181e7d9acf2f</vt:lpwstr>
  </property>
  <property fmtid="{D5CDD505-2E9C-101B-9397-08002B2CF9AE}" pid="4" name="Mendeley Citation Style_1">
    <vt:lpwstr>http://www.zotero.org/styles/science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http://csl.mendeley.com/styles/22106871/jasn-2</vt:lpwstr>
  </property>
  <property fmtid="{D5CDD505-2E9C-101B-9397-08002B2CF9AE}" pid="14" name="Mendeley Recent Style Name 4_1">
    <vt:lpwstr>JASN - Arturo Blázquez Navarro</vt:lpwstr>
  </property>
  <property fmtid="{D5CDD505-2E9C-101B-9397-08002B2CF9AE}" pid="15" name="Mendeley Recent Style Id 5_1">
    <vt:lpwstr>http://csl.mendeley.com/styles/22106871/jasn</vt:lpwstr>
  </property>
  <property fmtid="{D5CDD505-2E9C-101B-9397-08002B2CF9AE}" pid="16" name="Mendeley Recent Style Name 5_1">
    <vt:lpwstr>JASN - Arturo Blázquez Navarro</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http://www.zotero.org/styles/science</vt:lpwstr>
  </property>
  <property fmtid="{D5CDD505-2E9C-101B-9397-08002B2CF9AE}" pid="22" name="Mendeley Recent Style Name 8_1">
    <vt:lpwstr>Science</vt:lpwstr>
  </property>
  <property fmtid="{D5CDD505-2E9C-101B-9397-08002B2CF9AE}" pid="23" name="Mendeley Recent Style Id 9_1">
    <vt:lpwstr>http://csl.mendeley.com/styles/22106871/TransplantInternational</vt:lpwstr>
  </property>
  <property fmtid="{D5CDD505-2E9C-101B-9397-08002B2CF9AE}" pid="24" name="Mendeley Recent Style Name 9_1">
    <vt:lpwstr>Trans Int - Arturo Blázquez Navarro</vt:lpwstr>
  </property>
</Properties>
</file>