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8F" w:rsidRDefault="00E67E95">
      <w:pPr>
        <w:pStyle w:val="Heading1"/>
        <w:jc w:val="both"/>
      </w:pPr>
      <w:bookmarkStart w:id="0" w:name="_biylora600cn" w:colFirst="0" w:colLast="0"/>
      <w:bookmarkEnd w:id="0"/>
      <w:r>
        <w:t>SUPPLEMENTARY MATERIAL</w:t>
      </w:r>
    </w:p>
    <w:p w:rsidR="001D3E8F" w:rsidRDefault="001D3E8F">
      <w:pPr>
        <w:jc w:val="both"/>
        <w:rPr>
          <w:b/>
        </w:rPr>
      </w:pPr>
    </w:p>
    <w:p w:rsidR="001D3E8F" w:rsidRDefault="00E67E95">
      <w:pPr>
        <w:pStyle w:val="Heading2"/>
        <w:jc w:val="both"/>
      </w:pPr>
      <w:bookmarkStart w:id="1" w:name="_pfvtdjdv7j5l" w:colFirst="0" w:colLast="0"/>
      <w:bookmarkEnd w:id="1"/>
      <w:proofErr w:type="spellStart"/>
      <w:r>
        <w:t>Review</w:t>
      </w:r>
      <w:proofErr w:type="spellEnd"/>
      <w:r>
        <w:t xml:space="preserve"> of </w:t>
      </w:r>
      <w:proofErr w:type="spellStart"/>
      <w:r>
        <w:t>percentage</w:t>
      </w:r>
      <w:proofErr w:type="spellEnd"/>
      <w:r>
        <w:t xml:space="preserve"> of patients </w:t>
      </w:r>
      <w:proofErr w:type="spellStart"/>
      <w:r>
        <w:t>with</w:t>
      </w:r>
      <w:proofErr w:type="spellEnd"/>
      <w:r>
        <w:t xml:space="preserve"> COVID-19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ICU care</w:t>
      </w:r>
    </w:p>
    <w:p w:rsidR="001D3E8F" w:rsidRDefault="001D3E8F">
      <w:pPr>
        <w:jc w:val="both"/>
        <w:rPr>
          <w:b/>
        </w:rPr>
      </w:pPr>
    </w:p>
    <w:p w:rsidR="001D3E8F" w:rsidRDefault="00E67E95">
      <w:pPr>
        <w:jc w:val="both"/>
      </w:pPr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an international perspective on the proportion of patients </w:t>
      </w:r>
      <w:proofErr w:type="spellStart"/>
      <w:r>
        <w:t>entering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pathway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length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for patients </w:t>
      </w:r>
      <w:proofErr w:type="spellStart"/>
      <w:r>
        <w:t>with</w:t>
      </w:r>
      <w:proofErr w:type="spellEnd"/>
      <w:r>
        <w:t xml:space="preserve"> COVID-19 as a </w:t>
      </w:r>
      <w:proofErr w:type="spellStart"/>
      <w:r>
        <w:t>dataset</w:t>
      </w:r>
      <w:proofErr w:type="spellEnd"/>
      <w:r>
        <w:t xml:space="preserve"> for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information. The </w:t>
      </w:r>
      <w:proofErr w:type="spellStart"/>
      <w:r>
        <w:t>references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hyperlink r:id="rId4">
        <w:r>
          <w:t>(1)</w:t>
        </w:r>
      </w:hyperlink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gathered</w:t>
      </w:r>
      <w:proofErr w:type="spellEnd"/>
      <w:r>
        <w:t xml:space="preserve"> up to 12th April 2020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the first </w:t>
      </w:r>
      <w:proofErr w:type="spellStart"/>
      <w:r>
        <w:t>period</w:t>
      </w:r>
      <w:proofErr w:type="spellEnd"/>
      <w:r>
        <w:t xml:space="preserve"> of the </w:t>
      </w:r>
      <w:proofErr w:type="spellStart"/>
      <w:r>
        <w:t>pandemic</w:t>
      </w:r>
      <w:proofErr w:type="spellEnd"/>
      <w:r>
        <w:t xml:space="preserve">. </w:t>
      </w:r>
    </w:p>
    <w:p w:rsidR="001D3E8F" w:rsidRDefault="001D3E8F">
      <w:pPr>
        <w:jc w:val="both"/>
      </w:pPr>
    </w:p>
    <w:p w:rsidR="001D3E8F" w:rsidRDefault="00E67E95">
      <w:pPr>
        <w:jc w:val="both"/>
      </w:pPr>
      <w:proofErr w:type="spellStart"/>
      <w:r>
        <w:t>Each</w:t>
      </w:r>
      <w:proofErr w:type="spellEnd"/>
      <w:r>
        <w:t xml:space="preserve"> of the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in 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screened</w:t>
      </w:r>
      <w:proofErr w:type="spellEnd"/>
      <w:r>
        <w:t xml:space="preserve"> for information on the t</w:t>
      </w:r>
      <w:r>
        <w:t xml:space="preserve">otal </w:t>
      </w:r>
      <w:proofErr w:type="spellStart"/>
      <w:r>
        <w:t>number</w:t>
      </w:r>
      <w:proofErr w:type="spellEnd"/>
      <w:r>
        <w:t xml:space="preserve"> of patients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study</w:t>
      </w:r>
      <w:proofErr w:type="spellEnd"/>
      <w:r>
        <w:t xml:space="preserve">, and how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to a </w:t>
      </w:r>
      <w:proofErr w:type="spellStart"/>
      <w:r>
        <w:t>critical</w:t>
      </w:r>
      <w:proofErr w:type="spellEnd"/>
      <w:r>
        <w:t xml:space="preserve"> care </w:t>
      </w:r>
      <w:proofErr w:type="spellStart"/>
      <w:r>
        <w:t>bed</w:t>
      </w:r>
      <w:proofErr w:type="spellEnd"/>
      <w:r>
        <w:t xml:space="preserve">. In total, 21 relevant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. None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pathway</w:t>
      </w:r>
      <w:proofErr w:type="spellEnd"/>
      <w:r>
        <w:t xml:space="preserve"> proportions, </w:t>
      </w:r>
      <w:proofErr w:type="spellStart"/>
      <w:r>
        <w:t>only</w:t>
      </w:r>
      <w:proofErr w:type="spellEnd"/>
      <w:r>
        <w:t xml:space="preserve"> proportion </w:t>
      </w:r>
      <w:proofErr w:type="spellStart"/>
      <w:r>
        <w:t>entering</w:t>
      </w:r>
      <w:proofErr w:type="spellEnd"/>
      <w:r>
        <w:t xml:space="preserve"> a </w:t>
      </w:r>
      <w:proofErr w:type="spellStart"/>
      <w:r>
        <w:t>critical</w:t>
      </w:r>
      <w:proofErr w:type="spellEnd"/>
      <w:r>
        <w:t xml:space="preserve"> care </w:t>
      </w:r>
      <w:proofErr w:type="spellStart"/>
      <w:r>
        <w:t>bed</w:t>
      </w:r>
      <w:proofErr w:type="spellEnd"/>
      <w:r>
        <w:t xml:space="preserve">. All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on</w:t>
      </w:r>
      <w:r>
        <w:t>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the </w:t>
      </w:r>
      <w:proofErr w:type="spellStart"/>
      <w:r>
        <w:t>term</w:t>
      </w:r>
      <w:proofErr w:type="spellEnd"/>
      <w:r>
        <w:t xml:space="preserve"> “intensive care unit” (ICU) to </w:t>
      </w:r>
      <w:proofErr w:type="spellStart"/>
      <w:r>
        <w:t>refer</w:t>
      </w:r>
      <w:proofErr w:type="spellEnd"/>
      <w:r>
        <w:t xml:space="preserve"> to </w:t>
      </w:r>
      <w:proofErr w:type="spellStart"/>
      <w:r>
        <w:t>critical</w:t>
      </w:r>
      <w:proofErr w:type="spellEnd"/>
      <w:r>
        <w:t xml:space="preserve"> care, and </w:t>
      </w:r>
      <w:proofErr w:type="spellStart"/>
      <w:r>
        <w:t>did</w:t>
      </w:r>
      <w:proofErr w:type="spellEnd"/>
      <w:r>
        <w:t xml:space="preserve"> not mention high </w:t>
      </w:r>
      <w:proofErr w:type="spellStart"/>
      <w:r>
        <w:t>dependency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. </w:t>
      </w:r>
    </w:p>
    <w:p w:rsidR="001D3E8F" w:rsidRDefault="00E67E95">
      <w:pPr>
        <w:jc w:val="both"/>
      </w:pPr>
      <w:r>
        <w:t xml:space="preserve"> </w:t>
      </w:r>
    </w:p>
    <w:p w:rsidR="001D3E8F" w:rsidRDefault="00E67E95">
      <w:pPr>
        <w:jc w:val="both"/>
      </w:pPr>
      <w:r>
        <w:t xml:space="preserve">The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countries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2019 to the </w:t>
      </w:r>
      <w:proofErr w:type="spellStart"/>
      <w:r>
        <w:t>start</w:t>
      </w:r>
      <w:proofErr w:type="spellEnd"/>
      <w:r>
        <w:t xml:space="preserve"> of April 2020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of patients per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varying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28 to 3316. Due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range, a </w:t>
      </w:r>
      <w:proofErr w:type="spellStart"/>
      <w:r>
        <w:t>weighted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and </w:t>
      </w:r>
      <w:proofErr w:type="spellStart"/>
      <w:r>
        <w:t>weighted</w:t>
      </w:r>
      <w:proofErr w:type="spellEnd"/>
      <w:r>
        <w:t xml:space="preserve"> standard </w:t>
      </w:r>
      <w:proofErr w:type="spellStart"/>
      <w:r>
        <w:t>deviation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for the </w:t>
      </w:r>
      <w:proofErr w:type="spellStart"/>
      <w:r>
        <w:t>percentage</w:t>
      </w:r>
      <w:proofErr w:type="spellEnd"/>
      <w:r>
        <w:t xml:space="preserve"> of patients </w:t>
      </w:r>
      <w:proofErr w:type="spellStart"/>
      <w:r>
        <w:t>transferred</w:t>
      </w:r>
      <w:proofErr w:type="spellEnd"/>
      <w:r>
        <w:t xml:space="preserve"> to an ICU (</w:t>
      </w:r>
      <w:proofErr w:type="spellStart"/>
      <w:r>
        <w:t>Supplementary</w:t>
      </w:r>
      <w:proofErr w:type="spellEnd"/>
      <w:r>
        <w:t xml:space="preserve"> Table 1). </w:t>
      </w:r>
      <w:proofErr w:type="spellStart"/>
      <w:r>
        <w:t>However</w:t>
      </w:r>
      <w:proofErr w:type="spellEnd"/>
      <w:r>
        <w:t xml:space="preserve">, the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China (13/21),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</w:t>
      </w:r>
      <w:r>
        <w:t>y</w:t>
      </w:r>
      <w:proofErr w:type="spellEnd"/>
      <w:r>
        <w:t xml:space="preserve"> </w:t>
      </w:r>
      <w:proofErr w:type="spellStart"/>
      <w:r>
        <w:t>bias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. All </w:t>
      </w:r>
      <w:proofErr w:type="spellStart"/>
      <w:r>
        <w:t>calculations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in R </w:t>
      </w:r>
      <w:hyperlink r:id="rId5">
        <w:r>
          <w:t>(2)</w:t>
        </w:r>
      </w:hyperlink>
      <w:r>
        <w:t xml:space="preserve">. </w:t>
      </w:r>
    </w:p>
    <w:p w:rsidR="001D3E8F" w:rsidRDefault="001D3E8F">
      <w:pPr>
        <w:jc w:val="both"/>
      </w:pPr>
    </w:p>
    <w:p w:rsidR="001D3E8F" w:rsidRDefault="00E67E95">
      <w:pPr>
        <w:jc w:val="both"/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Table </w:t>
      </w:r>
      <w:proofErr w:type="gramStart"/>
      <w:r>
        <w:rPr>
          <w:b/>
        </w:rPr>
        <w:t>1: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Percentage</w:t>
      </w:r>
      <w:proofErr w:type="spellEnd"/>
      <w:r>
        <w:rPr>
          <w:b/>
        </w:rPr>
        <w:t xml:space="preserve"> of patients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COVID-19 </w:t>
      </w:r>
      <w:proofErr w:type="spellStart"/>
      <w:r>
        <w:rPr>
          <w:b/>
        </w:rPr>
        <w:t>directed</w:t>
      </w:r>
      <w:proofErr w:type="spellEnd"/>
      <w:r>
        <w:rPr>
          <w:b/>
        </w:rPr>
        <w:t xml:space="preserve"> to ICU care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21 </w:t>
      </w:r>
      <w:proofErr w:type="spellStart"/>
      <w:r>
        <w:rPr>
          <w:b/>
        </w:rPr>
        <w:t>studies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Mean</w:t>
      </w:r>
      <w:proofErr w:type="spellEnd"/>
      <w:r>
        <w:t xml:space="preserve"> and standard </w:t>
      </w:r>
      <w:proofErr w:type="spellStart"/>
      <w:r>
        <w:t>deviation</w:t>
      </w:r>
      <w:proofErr w:type="spellEnd"/>
      <w:r>
        <w:t xml:space="preserve"> are </w:t>
      </w:r>
      <w:proofErr w:type="spellStart"/>
      <w:r>
        <w:t>weighted</w:t>
      </w:r>
      <w:proofErr w:type="spellEnd"/>
      <w:r>
        <w:t xml:space="preserve"> by the </w:t>
      </w:r>
      <w:proofErr w:type="spellStart"/>
      <w:r>
        <w:t>number</w:t>
      </w:r>
      <w:proofErr w:type="spellEnd"/>
      <w:r>
        <w:t xml:space="preserve"> of patients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study</w:t>
      </w:r>
      <w:proofErr w:type="spellEnd"/>
      <w:r>
        <w:t>.</w:t>
      </w:r>
    </w:p>
    <w:p w:rsidR="001D3E8F" w:rsidRDefault="001D3E8F">
      <w:pPr>
        <w:jc w:val="both"/>
        <w:rPr>
          <w:b/>
        </w:rPr>
      </w:pPr>
    </w:p>
    <w:tbl>
      <w:tblPr>
        <w:tblStyle w:val="a"/>
        <w:tblW w:w="8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1260"/>
        <w:gridCol w:w="2130"/>
        <w:gridCol w:w="2130"/>
      </w:tblGrid>
      <w:tr w:rsidR="001D3E8F">
        <w:trPr>
          <w:trHeight w:val="740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patients in </w:t>
            </w:r>
            <w:proofErr w:type="spellStart"/>
            <w:r>
              <w:rPr>
                <w:b/>
              </w:rPr>
              <w:t>study</w:t>
            </w:r>
            <w:proofErr w:type="spellEnd"/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Percentage</w:t>
            </w:r>
            <w:proofErr w:type="spellEnd"/>
            <w:r>
              <w:rPr>
                <w:b/>
              </w:rPr>
              <w:t xml:space="preserve"> to ICU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Liu et al </w:t>
            </w:r>
            <w:hyperlink r:id="rId6">
              <w:r>
                <w:t>(3)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64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0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proofErr w:type="spellStart"/>
            <w:r>
              <w:t>Ludvigsson</w:t>
            </w:r>
            <w:proofErr w:type="spellEnd"/>
            <w:r>
              <w:t xml:space="preserve">, J </w:t>
            </w:r>
            <w:hyperlink r:id="rId7">
              <w:r>
                <w:t>(4)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171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2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proofErr w:type="spellStart"/>
            <w:r>
              <w:t>Petrilli</w:t>
            </w:r>
            <w:proofErr w:type="spellEnd"/>
            <w:r>
              <w:t xml:space="preserve"> et al </w:t>
            </w:r>
            <w:hyperlink r:id="rId8">
              <w:r>
                <w:t>(5)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USA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2741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4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Guan et al </w:t>
            </w:r>
            <w:hyperlink r:id="rId9">
              <w:r>
                <w:t>(6)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1099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5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Chen et al </w:t>
            </w:r>
            <w:hyperlink r:id="rId10">
              <w:r>
                <w:t>(7)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249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9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Cai et al </w:t>
            </w:r>
            <w:hyperlink r:id="rId11">
              <w:r>
                <w:t>(8)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298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10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lastRenderedPageBreak/>
              <w:t xml:space="preserve">Zhang et al </w:t>
            </w:r>
            <w:hyperlink r:id="rId12">
              <w:r>
                <w:t>(9)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28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11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proofErr w:type="spellStart"/>
            <w:r>
              <w:t>Inciardi</w:t>
            </w:r>
            <w:proofErr w:type="spellEnd"/>
            <w:r>
              <w:t xml:space="preserve"> et al </w:t>
            </w:r>
            <w:hyperlink r:id="rId13">
              <w:r>
                <w:t>(10)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proofErr w:type="spellStart"/>
            <w:r>
              <w:t>Italy</w:t>
            </w:r>
            <w:proofErr w:type="spellEnd"/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99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12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Richardson et al </w:t>
            </w:r>
            <w:hyperlink r:id="rId14">
              <w:r>
                <w:t>(11)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USA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2634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14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Cao et al </w:t>
            </w:r>
            <w:hyperlink r:id="rId15">
              <w:r>
                <w:t>(12)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102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18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ISARIC Report </w:t>
            </w:r>
            <w:hyperlink r:id="rId16">
              <w:r>
                <w:t>(13)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proofErr w:type="spellStart"/>
            <w:r>
              <w:t>Various</w:t>
            </w:r>
            <w:proofErr w:type="spellEnd"/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3316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20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Qi et al </w:t>
            </w:r>
            <w:hyperlink r:id="rId17">
              <w:r>
                <w:t>(14)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267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20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Zhang et al </w:t>
            </w:r>
            <w:hyperlink r:id="rId18">
              <w:r>
                <w:t>(15)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221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20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Rodriguez-Morales et al </w:t>
            </w:r>
            <w:hyperlink r:id="rId19">
              <w:r>
                <w:t>(16)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proofErr w:type="spellStart"/>
            <w:r>
              <w:t>Various</w:t>
            </w:r>
            <w:proofErr w:type="spellEnd"/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656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20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proofErr w:type="spellStart"/>
            <w:r>
              <w:t>Lewnard</w:t>
            </w:r>
            <w:proofErr w:type="spellEnd"/>
            <w:r>
              <w:t xml:space="preserve"> et al </w:t>
            </w:r>
            <w:hyperlink r:id="rId20">
              <w:r>
                <w:t>(17)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USA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617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26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Zhou et al </w:t>
            </w:r>
            <w:hyperlink r:id="rId21">
              <w:r>
                <w:t>(18)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191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26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Wu et al </w:t>
            </w:r>
            <w:hyperlink r:id="rId22">
              <w:r>
                <w:t>(19)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201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26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Wu et al </w:t>
            </w:r>
            <w:hyperlink r:id="rId23">
              <w:r>
                <w:t>(20)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188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27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proofErr w:type="spellStart"/>
            <w:r>
              <w:t>Zaninotto</w:t>
            </w:r>
            <w:proofErr w:type="spellEnd"/>
            <w:r>
              <w:t xml:space="preserve"> et al </w:t>
            </w:r>
            <w:hyperlink r:id="rId24">
              <w:r>
                <w:t>(21)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proofErr w:type="spellStart"/>
            <w:r>
              <w:t>Italy</w:t>
            </w:r>
            <w:proofErr w:type="spellEnd"/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75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28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Chao et al </w:t>
            </w:r>
            <w:hyperlink r:id="rId25">
              <w:r>
                <w:t>(22)</w:t>
              </w:r>
            </w:hyperlink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USA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46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28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Huang et al </w:t>
            </w:r>
            <w:hyperlink r:id="rId26">
              <w:r>
                <w:t>(23)</w:t>
              </w:r>
            </w:hyperlink>
          </w:p>
        </w:tc>
        <w:tc>
          <w:tcPr>
            <w:tcW w:w="1260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China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3E8F" w:rsidRDefault="00E67E95">
            <w:pPr>
              <w:widowControl w:val="0"/>
              <w:jc w:val="both"/>
            </w:pPr>
            <w:r>
              <w:t>41</w:t>
            </w:r>
          </w:p>
        </w:tc>
        <w:tc>
          <w:tcPr>
            <w:tcW w:w="2130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>32</w:t>
            </w:r>
          </w:p>
        </w:tc>
      </w:tr>
      <w:tr w:rsidR="001D3E8F">
        <w:trPr>
          <w:trHeight w:val="500"/>
        </w:trPr>
        <w:tc>
          <w:tcPr>
            <w:tcW w:w="3255" w:type="dxa"/>
            <w:tcBorders>
              <w:left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Weighted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Mean</w:t>
            </w:r>
            <w:proofErr w:type="spellEnd"/>
          </w:p>
        </w:tc>
        <w:tc>
          <w:tcPr>
            <w:tcW w:w="1260" w:type="dxa"/>
            <w:tcBorders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 </w:t>
            </w:r>
          </w:p>
        </w:tc>
        <w:tc>
          <w:tcPr>
            <w:tcW w:w="2130" w:type="dxa"/>
            <w:tcBorders>
              <w:top w:val="single" w:sz="24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jc w:val="both"/>
              <w:rPr>
                <w:i/>
              </w:rPr>
            </w:pPr>
          </w:p>
        </w:tc>
        <w:tc>
          <w:tcPr>
            <w:tcW w:w="213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  <w:rPr>
                <w:i/>
              </w:rPr>
            </w:pPr>
            <w:r>
              <w:rPr>
                <w:i/>
              </w:rPr>
              <w:t>14.01</w:t>
            </w:r>
          </w:p>
        </w:tc>
      </w:tr>
      <w:tr w:rsidR="001D3E8F">
        <w:trPr>
          <w:trHeight w:val="74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rPr>
                <w:b/>
              </w:rPr>
            </w:pPr>
            <w:proofErr w:type="spellStart"/>
            <w:r>
              <w:rPr>
                <w:b/>
              </w:rPr>
              <w:t>Weighted</w:t>
            </w:r>
            <w:proofErr w:type="spellEnd"/>
            <w:r>
              <w:rPr>
                <w:b/>
              </w:rPr>
              <w:t xml:space="preserve"> Standard </w:t>
            </w:r>
            <w:proofErr w:type="spellStart"/>
            <w:r>
              <w:rPr>
                <w:b/>
              </w:rPr>
              <w:t>Deviation</w:t>
            </w:r>
            <w:proofErr w:type="spellEnd"/>
          </w:p>
        </w:tc>
        <w:tc>
          <w:tcPr>
            <w:tcW w:w="1260" w:type="dxa"/>
            <w:tcBorders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</w:pPr>
            <w:r>
              <w:t xml:space="preserve"> </w:t>
            </w:r>
          </w:p>
        </w:tc>
        <w:tc>
          <w:tcPr>
            <w:tcW w:w="21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jc w:val="both"/>
              <w:rPr>
                <w:i/>
              </w:rPr>
            </w:pP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  <w:rPr>
                <w:i/>
              </w:rPr>
            </w:pPr>
            <w:r>
              <w:rPr>
                <w:i/>
              </w:rPr>
              <w:t>7.73</w:t>
            </w:r>
          </w:p>
        </w:tc>
      </w:tr>
    </w:tbl>
    <w:p w:rsidR="001D3E8F" w:rsidRDefault="001D3E8F">
      <w:pPr>
        <w:jc w:val="both"/>
        <w:rPr>
          <w:b/>
        </w:rPr>
      </w:pPr>
    </w:p>
    <w:p w:rsidR="001D3E8F" w:rsidRDefault="001D3E8F">
      <w:pPr>
        <w:jc w:val="both"/>
        <w:rPr>
          <w:b/>
        </w:rPr>
      </w:pPr>
    </w:p>
    <w:p w:rsidR="001D3E8F" w:rsidRDefault="00E67E95">
      <w:pPr>
        <w:jc w:val="both"/>
        <w:rPr>
          <w:b/>
        </w:rPr>
      </w:pPr>
      <w:proofErr w:type="spellStart"/>
      <w:r>
        <w:rPr>
          <w:b/>
        </w:rPr>
        <w:t>References</w:t>
      </w:r>
      <w:proofErr w:type="spellEnd"/>
    </w:p>
    <w:p w:rsidR="001D3E8F" w:rsidRDefault="001D3E8F">
      <w:pPr>
        <w:jc w:val="both"/>
        <w:rPr>
          <w:b/>
        </w:rPr>
      </w:pPr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27">
        <w:r>
          <w:t xml:space="preserve">1. </w:t>
        </w:r>
        <w:r>
          <w:tab/>
        </w:r>
        <w:r>
          <w:t xml:space="preserve">Rees EM, Nightingale ES, Jafari Y, Waterlow NR, Clifford S, B. Pearson CA, et al. </w:t>
        </w:r>
        <w:r>
          <w:lastRenderedPageBreak/>
          <w:t xml:space="preserve">COVID-19 </w:t>
        </w:r>
        <w:proofErr w:type="spellStart"/>
        <w:r>
          <w:t>length</w:t>
        </w:r>
        <w:proofErr w:type="spellEnd"/>
        <w:r>
          <w:t xml:space="preserve"> of </w:t>
        </w:r>
        <w:proofErr w:type="spellStart"/>
        <w:r>
          <w:t>hospital</w:t>
        </w:r>
        <w:proofErr w:type="spellEnd"/>
        <w:r>
          <w:t xml:space="preserve"> </w:t>
        </w:r>
        <w:proofErr w:type="spellStart"/>
        <w:proofErr w:type="gramStart"/>
        <w:r>
          <w:t>stay</w:t>
        </w:r>
        <w:proofErr w:type="spellEnd"/>
        <w:r>
          <w:t>:</w:t>
        </w:r>
        <w:proofErr w:type="gramEnd"/>
        <w:r>
          <w:t xml:space="preserve"> </w:t>
        </w:r>
        <w:proofErr w:type="spellStart"/>
        <w:r>
          <w:t>a</w:t>
        </w:r>
        <w:proofErr w:type="spellEnd"/>
        <w:r>
          <w:t xml:space="preserve"> </w:t>
        </w:r>
        <w:proofErr w:type="spellStart"/>
        <w:r>
          <w:t>systematic</w:t>
        </w:r>
        <w:proofErr w:type="spellEnd"/>
        <w:r>
          <w:t xml:space="preserve"> </w:t>
        </w:r>
        <w:proofErr w:type="spellStart"/>
        <w:r>
          <w:t>review</w:t>
        </w:r>
        <w:proofErr w:type="spellEnd"/>
        <w:r>
          <w:t xml:space="preserve"> and data </w:t>
        </w:r>
        <w:proofErr w:type="spellStart"/>
        <w:r>
          <w:t>synthesis</w:t>
        </w:r>
        <w:proofErr w:type="spellEnd"/>
        <w:r>
          <w:t>. BMC Med. 2020 Sep 3;18(1):270.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28">
        <w:r>
          <w:t xml:space="preserve">2. </w:t>
        </w:r>
        <w:r>
          <w:tab/>
          <w:t>R C</w:t>
        </w:r>
        <w:r>
          <w:t>ore Team. R: A Language and Environment for Statistical Computing [Internet]. Vienna, Austria: R Foundation for Statistical Computing; 2020. Available from: https://www.R-project.org/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29">
        <w:r>
          <w:t xml:space="preserve">3. </w:t>
        </w:r>
        <w:r>
          <w:tab/>
          <w:t>Liu J,</w:t>
        </w:r>
        <w:r>
          <w:t xml:space="preserve"> </w:t>
        </w:r>
        <w:proofErr w:type="spellStart"/>
        <w:r>
          <w:t>Ouyang</w:t>
        </w:r>
        <w:proofErr w:type="spellEnd"/>
        <w:r>
          <w:t xml:space="preserve"> L, Guo P, Wu H sheng, Fu P, Chen Y </w:t>
        </w:r>
        <w:proofErr w:type="spellStart"/>
        <w:r>
          <w:t>liang</w:t>
        </w:r>
        <w:proofErr w:type="spellEnd"/>
        <w:r>
          <w:t xml:space="preserve">, et al. </w:t>
        </w:r>
        <w:proofErr w:type="spellStart"/>
        <w:r>
          <w:t>Epidemiological</w:t>
        </w:r>
        <w:proofErr w:type="spellEnd"/>
        <w:r>
          <w:t xml:space="preserve">, </w:t>
        </w:r>
        <w:proofErr w:type="spellStart"/>
        <w:r>
          <w:t>Clinical</w:t>
        </w:r>
        <w:proofErr w:type="spellEnd"/>
        <w:r>
          <w:t xml:space="preserve"> </w:t>
        </w:r>
        <w:proofErr w:type="spellStart"/>
        <w:r>
          <w:t>Characteristics</w:t>
        </w:r>
        <w:proofErr w:type="spellEnd"/>
        <w:r>
          <w:t xml:space="preserve"> and </w:t>
        </w:r>
        <w:proofErr w:type="spellStart"/>
        <w:r>
          <w:t>Outcome</w:t>
        </w:r>
        <w:proofErr w:type="spellEnd"/>
        <w:r>
          <w:t xml:space="preserve"> of </w:t>
        </w:r>
        <w:proofErr w:type="spellStart"/>
        <w:r>
          <w:t>Medical</w:t>
        </w:r>
        <w:proofErr w:type="spellEnd"/>
        <w:r>
          <w:t xml:space="preserve"> Staff </w:t>
        </w:r>
        <w:proofErr w:type="spellStart"/>
        <w:r>
          <w:t>Infected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COVID-19 in Wuhan, </w:t>
        </w:r>
        <w:proofErr w:type="gramStart"/>
        <w:r>
          <w:t>China:</w:t>
        </w:r>
        <w:proofErr w:type="gramEnd"/>
        <w:r>
          <w:t xml:space="preserve"> A </w:t>
        </w:r>
        <w:proofErr w:type="spellStart"/>
        <w:r>
          <w:t>Retrospective</w:t>
        </w:r>
        <w:proofErr w:type="spellEnd"/>
        <w:r>
          <w:t xml:space="preserve"> Case </w:t>
        </w:r>
        <w:proofErr w:type="spellStart"/>
        <w:r>
          <w:t>Series</w:t>
        </w:r>
        <w:proofErr w:type="spellEnd"/>
        <w:r>
          <w:t xml:space="preserve"> </w:t>
        </w:r>
        <w:proofErr w:type="spellStart"/>
        <w:r>
          <w:t>Analysis</w:t>
        </w:r>
        <w:proofErr w:type="spellEnd"/>
        <w:r>
          <w:t xml:space="preserve">. </w:t>
        </w:r>
        <w:proofErr w:type="spellStart"/>
        <w:proofErr w:type="gramStart"/>
        <w:r>
          <w:t>medRxiv</w:t>
        </w:r>
        <w:proofErr w:type="spellEnd"/>
        <w:proofErr w:type="gramEnd"/>
        <w:r>
          <w:t>. 2020 Jan 1;2020.03.09.20033118.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30">
        <w:r>
          <w:t xml:space="preserve">4. </w:t>
        </w:r>
        <w:r>
          <w:tab/>
          <w:t>Ludvigsson JF. Systematic review of COVID-19 in children shows milder cases and a better prognosis than adults. Acta Paediatr [Internet]. 2020 Mar 23 [cited 2020 Apr 27];n/a(n/a). Available from: htt</w:t>
        </w:r>
        <w:r>
          <w:t>ps://onlinelibrary.wiley.com/doi/abs/10.1111/apa.15270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31">
        <w:r>
          <w:t xml:space="preserve">5. </w:t>
        </w:r>
        <w:r>
          <w:tab/>
        </w:r>
        <w:proofErr w:type="spellStart"/>
        <w:r>
          <w:t>Petrilli</w:t>
        </w:r>
        <w:proofErr w:type="spellEnd"/>
        <w:r>
          <w:t xml:space="preserve"> CM, Jones SA, Yang J, </w:t>
        </w:r>
        <w:proofErr w:type="spellStart"/>
        <w:r>
          <w:t>Rajagopalan</w:t>
        </w:r>
        <w:proofErr w:type="spellEnd"/>
        <w:r>
          <w:t xml:space="preserve"> H, </w:t>
        </w:r>
        <w:proofErr w:type="spellStart"/>
        <w:r>
          <w:t>O’Donnell</w:t>
        </w:r>
        <w:proofErr w:type="spellEnd"/>
        <w:r>
          <w:t xml:space="preserve"> LF, </w:t>
        </w:r>
        <w:proofErr w:type="spellStart"/>
        <w:r>
          <w:t>Chernyak</w:t>
        </w:r>
        <w:proofErr w:type="spellEnd"/>
        <w:r>
          <w:t xml:space="preserve"> Y, et al. </w:t>
        </w:r>
        <w:proofErr w:type="spellStart"/>
        <w:r>
          <w:t>Factors</w:t>
        </w:r>
        <w:proofErr w:type="spellEnd"/>
        <w:r>
          <w:t xml:space="preserve"> </w:t>
        </w:r>
        <w:proofErr w:type="spellStart"/>
        <w:r>
          <w:t>associated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</w:t>
        </w:r>
        <w:proofErr w:type="spellStart"/>
        <w:r>
          <w:t>hospitalization</w:t>
        </w:r>
        <w:proofErr w:type="spellEnd"/>
        <w:r>
          <w:t xml:space="preserve"> and </w:t>
        </w:r>
        <w:proofErr w:type="spellStart"/>
        <w:r>
          <w:t>critical</w:t>
        </w:r>
        <w:proofErr w:type="spellEnd"/>
        <w:r>
          <w:t xml:space="preserve"> </w:t>
        </w:r>
        <w:proofErr w:type="spellStart"/>
        <w:r>
          <w:t>illness</w:t>
        </w:r>
        <w:proofErr w:type="spellEnd"/>
        <w:r>
          <w:t xml:space="preserve"> </w:t>
        </w:r>
        <w:proofErr w:type="spellStart"/>
        <w:r>
          <w:t>among</w:t>
        </w:r>
        <w:proofErr w:type="spellEnd"/>
        <w:r>
          <w:t xml:space="preserve"> 4,103 patients </w:t>
        </w:r>
        <w:proofErr w:type="spellStart"/>
        <w:r>
          <w:t>with</w:t>
        </w:r>
        <w:proofErr w:type="spellEnd"/>
        <w:r>
          <w:t xml:space="preserve"> COVID-19 </w:t>
        </w:r>
        <w:proofErr w:type="spellStart"/>
        <w:r>
          <w:t>disease</w:t>
        </w:r>
        <w:proofErr w:type="spellEnd"/>
        <w:r>
          <w:t xml:space="preserve"> in New York City. </w:t>
        </w:r>
        <w:proofErr w:type="spellStart"/>
        <w:proofErr w:type="gramStart"/>
        <w:r>
          <w:t>medRxiv</w:t>
        </w:r>
        <w:proofErr w:type="spellEnd"/>
        <w:proofErr w:type="gramEnd"/>
        <w:r>
          <w:t>. 2020 Jan 1;2020.04.08.20057794.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32">
        <w:r>
          <w:t xml:space="preserve">6. </w:t>
        </w:r>
        <w:r>
          <w:tab/>
          <w:t xml:space="preserve">Guan W, Ni Z, Hu Y, Liang W, Ou C, He J, et al. </w:t>
        </w:r>
        <w:proofErr w:type="spellStart"/>
        <w:r>
          <w:t>Clinical</w:t>
        </w:r>
        <w:proofErr w:type="spellEnd"/>
        <w:r>
          <w:t xml:space="preserve"> </w:t>
        </w:r>
        <w:proofErr w:type="spellStart"/>
        <w:r>
          <w:t>Characteristics</w:t>
        </w:r>
        <w:proofErr w:type="spellEnd"/>
        <w:r>
          <w:t xml:space="preserve"> of Coronavirus </w:t>
        </w:r>
        <w:proofErr w:type="spellStart"/>
        <w:r>
          <w:t>Disease</w:t>
        </w:r>
        <w:proofErr w:type="spellEnd"/>
        <w:r>
          <w:t xml:space="preserve"> 2019 in China. N </w:t>
        </w:r>
        <w:proofErr w:type="spellStart"/>
        <w:r>
          <w:t>Engl</w:t>
        </w:r>
        <w:proofErr w:type="spellEnd"/>
        <w:r>
          <w:t xml:space="preserve"> J Med. 2020 </w:t>
        </w:r>
        <w:proofErr w:type="spellStart"/>
        <w:r>
          <w:t>Apr</w:t>
        </w:r>
        <w:proofErr w:type="spellEnd"/>
        <w:r>
          <w:t xml:space="preserve"> 30;382(18):1708–20.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33">
        <w:r>
          <w:t xml:space="preserve">7. </w:t>
        </w:r>
        <w:r>
          <w:tab/>
          <w:t xml:space="preserve">Chen J, Qi T, Liu L, Ling Y, Qian Z, Li T, et al. </w:t>
        </w:r>
        <w:proofErr w:type="spellStart"/>
        <w:r>
          <w:t>Clinical</w:t>
        </w:r>
        <w:proofErr w:type="spellEnd"/>
        <w:r>
          <w:t xml:space="preserve"> progression of patients </w:t>
        </w:r>
        <w:proofErr w:type="spellStart"/>
        <w:r>
          <w:t>with</w:t>
        </w:r>
        <w:proofErr w:type="spellEnd"/>
        <w:r>
          <w:t xml:space="preserve"> COVID-19 in Shanghai, China. J Infect. 2020 May;80(5):e1–6.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34">
        <w:r>
          <w:t xml:space="preserve">8. </w:t>
        </w:r>
        <w:r>
          <w:tab/>
          <w:t>Cai Q, Huang D, Ou P, Yu H</w:t>
        </w:r>
        <w:r>
          <w:t>, Zhu Z, Xia Z, et al. COVID-19 in a designated infectious diseases hospital outside Hubei Province, China. Allergy [Internet]. 2020 Apr 2 [cited 2020 Apr 25];n/a(n/a). Available from: https://onlinelibrary.wiley.com/doi/abs/10.1111/all.14309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35">
        <w:r>
          <w:t xml:space="preserve">9. </w:t>
        </w:r>
        <w:r>
          <w:tab/>
          <w:t xml:space="preserve">Zhang D, Guo R, Lei L, Liu H, Wang </w:t>
        </w:r>
        <w:proofErr w:type="spellStart"/>
        <w:r>
          <w:t>Y</w:t>
        </w:r>
        <w:proofErr w:type="spellEnd"/>
        <w:r>
          <w:t xml:space="preserve">, Wang </w:t>
        </w:r>
        <w:proofErr w:type="spellStart"/>
        <w:r>
          <w:t>Y</w:t>
        </w:r>
        <w:proofErr w:type="spellEnd"/>
        <w:r>
          <w:t xml:space="preserve">, et al. COVID-19 infection </w:t>
        </w:r>
        <w:proofErr w:type="spellStart"/>
        <w:r>
          <w:t>induces</w:t>
        </w:r>
        <w:proofErr w:type="spellEnd"/>
        <w:r>
          <w:t xml:space="preserve"> </w:t>
        </w:r>
        <w:proofErr w:type="spellStart"/>
        <w:r>
          <w:t>readily</w:t>
        </w:r>
        <w:proofErr w:type="spellEnd"/>
        <w:r>
          <w:t xml:space="preserve"> </w:t>
        </w:r>
        <w:proofErr w:type="spellStart"/>
        <w:r>
          <w:t>detectable</w:t>
        </w:r>
        <w:proofErr w:type="spellEnd"/>
        <w:r>
          <w:t xml:space="preserve"> </w:t>
        </w:r>
        <w:proofErr w:type="spellStart"/>
        <w:r>
          <w:t>morphological</w:t>
        </w:r>
        <w:proofErr w:type="spellEnd"/>
        <w:r>
          <w:t xml:space="preserve"> and inflammation-</w:t>
        </w:r>
        <w:proofErr w:type="spellStart"/>
        <w:r>
          <w:t>related</w:t>
        </w:r>
        <w:proofErr w:type="spellEnd"/>
        <w:r>
          <w:t xml:space="preserve"> </w:t>
        </w:r>
        <w:proofErr w:type="spellStart"/>
        <w:r>
          <w:t>phenotypic</w:t>
        </w:r>
        <w:proofErr w:type="spellEnd"/>
        <w:r>
          <w:t xml:space="preserve"> changes in </w:t>
        </w:r>
        <w:proofErr w:type="spellStart"/>
        <w:r>
          <w:t>peripheral</w:t>
        </w:r>
        <w:proofErr w:type="spellEnd"/>
        <w:r>
          <w:t xml:space="preserve"> </w:t>
        </w:r>
        <w:proofErr w:type="spellStart"/>
        <w:r>
          <w:t>blood</w:t>
        </w:r>
        <w:proofErr w:type="spellEnd"/>
        <w:r>
          <w:t xml:space="preserve"> monocytes, the </w:t>
        </w:r>
        <w:proofErr w:type="spellStart"/>
        <w:r>
          <w:t>severity</w:t>
        </w:r>
        <w:proofErr w:type="spellEnd"/>
        <w:r>
          <w:t xml:space="preserve"> of</w:t>
        </w:r>
        <w:r>
          <w:t xml:space="preserve"> </w:t>
        </w:r>
        <w:proofErr w:type="spellStart"/>
        <w:r>
          <w:t>which</w:t>
        </w:r>
        <w:proofErr w:type="spellEnd"/>
        <w:r>
          <w:t xml:space="preserve"> </w:t>
        </w:r>
        <w:proofErr w:type="spellStart"/>
        <w:r>
          <w:t>correlate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patient </w:t>
        </w:r>
        <w:proofErr w:type="spellStart"/>
        <w:r>
          <w:t>outcome</w:t>
        </w:r>
        <w:proofErr w:type="spellEnd"/>
        <w:r>
          <w:t xml:space="preserve">. </w:t>
        </w:r>
        <w:proofErr w:type="spellStart"/>
        <w:proofErr w:type="gramStart"/>
        <w:r>
          <w:t>medRxiv</w:t>
        </w:r>
        <w:proofErr w:type="spellEnd"/>
        <w:proofErr w:type="gramEnd"/>
        <w:r>
          <w:t>. 2020 Jan 1;2020.03.24.20042655.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36">
        <w:r>
          <w:t xml:space="preserve">10. </w:t>
        </w:r>
        <w:r>
          <w:tab/>
        </w:r>
        <w:proofErr w:type="spellStart"/>
        <w:r>
          <w:t>Inciardi</w:t>
        </w:r>
        <w:proofErr w:type="spellEnd"/>
        <w:r>
          <w:t xml:space="preserve"> RM, Adamo M, </w:t>
        </w:r>
        <w:proofErr w:type="spellStart"/>
        <w:r>
          <w:t>Lupi</w:t>
        </w:r>
        <w:proofErr w:type="spellEnd"/>
        <w:r>
          <w:t xml:space="preserve"> L, </w:t>
        </w:r>
        <w:proofErr w:type="spellStart"/>
        <w:r>
          <w:t>Cani</w:t>
        </w:r>
        <w:proofErr w:type="spellEnd"/>
        <w:r>
          <w:t xml:space="preserve"> DS, Di </w:t>
        </w:r>
        <w:proofErr w:type="spellStart"/>
        <w:r>
          <w:t>Pasquale</w:t>
        </w:r>
        <w:proofErr w:type="spellEnd"/>
        <w:r>
          <w:t xml:space="preserve"> M, </w:t>
        </w:r>
        <w:proofErr w:type="spellStart"/>
        <w:r>
          <w:t>Tomasoni</w:t>
        </w:r>
        <w:proofErr w:type="spellEnd"/>
        <w:r>
          <w:t xml:space="preserve"> D, et al. </w:t>
        </w:r>
        <w:proofErr w:type="spellStart"/>
        <w:r>
          <w:t>Characteristics</w:t>
        </w:r>
        <w:proofErr w:type="spellEnd"/>
        <w:r>
          <w:t xml:space="preserve"> and </w:t>
        </w:r>
        <w:proofErr w:type="spellStart"/>
        <w:r>
          <w:t>outcomes</w:t>
        </w:r>
        <w:proofErr w:type="spellEnd"/>
        <w:r>
          <w:t xml:space="preserve"> of pati</w:t>
        </w:r>
        <w:r>
          <w:t xml:space="preserve">ents </w:t>
        </w:r>
        <w:proofErr w:type="spellStart"/>
        <w:r>
          <w:t>hospitalized</w:t>
        </w:r>
        <w:proofErr w:type="spellEnd"/>
        <w:r>
          <w:t xml:space="preserve"> for COVID-19 and </w:t>
        </w:r>
        <w:proofErr w:type="spellStart"/>
        <w:r>
          <w:t>cardiac</w:t>
        </w:r>
        <w:proofErr w:type="spellEnd"/>
        <w:r>
          <w:t xml:space="preserve"> </w:t>
        </w:r>
        <w:proofErr w:type="spellStart"/>
        <w:r>
          <w:t>disease</w:t>
        </w:r>
        <w:proofErr w:type="spellEnd"/>
        <w:r>
          <w:t xml:space="preserve"> in </w:t>
        </w:r>
        <w:proofErr w:type="spellStart"/>
        <w:r>
          <w:t>Northern</w:t>
        </w:r>
        <w:proofErr w:type="spellEnd"/>
        <w:r>
          <w:t xml:space="preserve"> </w:t>
        </w:r>
        <w:proofErr w:type="spellStart"/>
        <w:r>
          <w:t>Italy</w:t>
        </w:r>
        <w:proofErr w:type="spellEnd"/>
        <w:r>
          <w:t xml:space="preserve">. </w:t>
        </w:r>
        <w:proofErr w:type="spellStart"/>
        <w:r>
          <w:t>Eur</w:t>
        </w:r>
        <w:proofErr w:type="spellEnd"/>
        <w:r>
          <w:t xml:space="preserve"> </w:t>
        </w:r>
        <w:proofErr w:type="spellStart"/>
        <w:r>
          <w:t>Heart</w:t>
        </w:r>
        <w:proofErr w:type="spellEnd"/>
        <w:r>
          <w:t xml:space="preserve"> J. 2020 May 14;41(19):1821–9.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37">
        <w:r>
          <w:t xml:space="preserve">11. </w:t>
        </w:r>
        <w:r>
          <w:tab/>
          <w:t xml:space="preserve">Richardson S, </w:t>
        </w:r>
        <w:proofErr w:type="spellStart"/>
        <w:r>
          <w:t>Hirsch</w:t>
        </w:r>
        <w:proofErr w:type="spellEnd"/>
        <w:r>
          <w:t xml:space="preserve"> JS, </w:t>
        </w:r>
        <w:proofErr w:type="spellStart"/>
        <w:r>
          <w:t>Narasimhan</w:t>
        </w:r>
        <w:proofErr w:type="spellEnd"/>
        <w:r>
          <w:t xml:space="preserve"> M, Crawford JM, </w:t>
        </w:r>
        <w:proofErr w:type="spellStart"/>
        <w:r>
          <w:t>McGinn</w:t>
        </w:r>
        <w:proofErr w:type="spellEnd"/>
        <w:r>
          <w:t xml:space="preserve"> T, Davidson KW, et a</w:t>
        </w:r>
        <w:r>
          <w:t xml:space="preserve">l. </w:t>
        </w:r>
        <w:proofErr w:type="spellStart"/>
        <w:r>
          <w:t>Presenting</w:t>
        </w:r>
        <w:proofErr w:type="spellEnd"/>
        <w:r>
          <w:t xml:space="preserve"> </w:t>
        </w:r>
        <w:proofErr w:type="spellStart"/>
        <w:r>
          <w:t>Characteristics</w:t>
        </w:r>
        <w:proofErr w:type="spellEnd"/>
        <w:r>
          <w:t xml:space="preserve">, </w:t>
        </w:r>
        <w:proofErr w:type="spellStart"/>
        <w:r>
          <w:t>Comorbidities</w:t>
        </w:r>
        <w:proofErr w:type="spellEnd"/>
        <w:r>
          <w:t xml:space="preserve">, and </w:t>
        </w:r>
        <w:proofErr w:type="spellStart"/>
        <w:r>
          <w:t>Outcomes</w:t>
        </w:r>
        <w:proofErr w:type="spellEnd"/>
        <w:r>
          <w:t xml:space="preserve"> </w:t>
        </w:r>
        <w:proofErr w:type="spellStart"/>
        <w:r>
          <w:t>Among</w:t>
        </w:r>
        <w:proofErr w:type="spellEnd"/>
        <w:r>
          <w:t xml:space="preserve"> 5700 Patients </w:t>
        </w:r>
        <w:proofErr w:type="spellStart"/>
        <w:r>
          <w:t>Hospitalized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COVID-19 in the New York City Area. JAMA. 2020 May 26;323(20):2052–9.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38">
        <w:r>
          <w:t xml:space="preserve">12. </w:t>
        </w:r>
        <w:r>
          <w:tab/>
          <w:t>Cao J, Tu W-J, Cheng W</w:t>
        </w:r>
        <w:r>
          <w:t>, Yu L, Liu Y-K, Hu X, et al. Clinical Features and Short-term Outcomes of 102 Patients with Corona Virus Disease 2019 in Wuhan, China. Clin Infect Dis [Internet]. 2020 Apr 2 [cited 2020 Apr 25]; Available from: https://academic.oup.com/cid/article/doi/10.</w:t>
        </w:r>
        <w:r>
          <w:t>1093/cid/ciaa243/5814897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39">
        <w:r>
          <w:t xml:space="preserve">13. </w:t>
        </w:r>
        <w:r>
          <w:tab/>
          <w:t>International Severe Acute Respiratory and Emerging Infections Consortium. COVID-19 Report [Internet]. 2020 Apr. Available from: https://media.tghn.org/medialibrary</w:t>
        </w:r>
        <w:r>
          <w:t>/2020/04/ISARIC_Data_Platform_COVID-19_Report_8APR20.pdf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40">
        <w:r>
          <w:t xml:space="preserve">14. </w:t>
        </w:r>
        <w:r>
          <w:tab/>
        </w:r>
        <w:r>
          <w:t xml:space="preserve">Qi D, Yan X, Tang X, Peng J, </w:t>
        </w:r>
        <w:proofErr w:type="spellStart"/>
        <w:r>
          <w:t>Yu</w:t>
        </w:r>
        <w:proofErr w:type="spellEnd"/>
        <w:r>
          <w:t xml:space="preserve"> Q, Feng L, et al. </w:t>
        </w:r>
        <w:proofErr w:type="spellStart"/>
        <w:r>
          <w:t>Epidemiological</w:t>
        </w:r>
        <w:proofErr w:type="spellEnd"/>
        <w:r>
          <w:t xml:space="preserve"> and </w:t>
        </w:r>
        <w:proofErr w:type="spellStart"/>
        <w:r>
          <w:t>clinical</w:t>
        </w:r>
        <w:proofErr w:type="spellEnd"/>
        <w:r>
          <w:t xml:space="preserve"> </w:t>
        </w:r>
        <w:proofErr w:type="spellStart"/>
        <w:r>
          <w:t>features</w:t>
        </w:r>
        <w:proofErr w:type="spellEnd"/>
        <w:r>
          <w:t xml:space="preserve"> of 2019-nCoV acute </w:t>
        </w:r>
        <w:proofErr w:type="spellStart"/>
        <w:r>
          <w:t>respiratory</w:t>
        </w:r>
        <w:proofErr w:type="spellEnd"/>
        <w:r>
          <w:t xml:space="preserve"> </w:t>
        </w:r>
        <w:proofErr w:type="spellStart"/>
        <w:r>
          <w:t>disease</w:t>
        </w:r>
        <w:proofErr w:type="spellEnd"/>
        <w:r>
          <w:t xml:space="preserve"> cases in Chongqing </w:t>
        </w:r>
        <w:proofErr w:type="spellStart"/>
        <w:r>
          <w:t>municipality</w:t>
        </w:r>
        <w:proofErr w:type="spellEnd"/>
        <w:r>
          <w:t xml:space="preserve">, </w:t>
        </w:r>
        <w:proofErr w:type="gramStart"/>
        <w:r>
          <w:t>China:</w:t>
        </w:r>
        <w:proofErr w:type="gramEnd"/>
        <w:r>
          <w:t xml:space="preserve"> </w:t>
        </w:r>
        <w:proofErr w:type="spellStart"/>
        <w:r>
          <w:t>a</w:t>
        </w:r>
        <w:proofErr w:type="spellEnd"/>
        <w:r>
          <w:t xml:space="preserve"> </w:t>
        </w:r>
        <w:proofErr w:type="spellStart"/>
        <w:r>
          <w:t>retrospective</w:t>
        </w:r>
        <w:proofErr w:type="spellEnd"/>
        <w:r>
          <w:t xml:space="preserve">, descriptive, multiple-center </w:t>
        </w:r>
        <w:proofErr w:type="spellStart"/>
        <w:r>
          <w:t>study</w:t>
        </w:r>
        <w:proofErr w:type="spellEnd"/>
        <w:r>
          <w:t xml:space="preserve">. </w:t>
        </w:r>
        <w:proofErr w:type="spellStart"/>
        <w:proofErr w:type="gramStart"/>
        <w:r>
          <w:t>medRxiv</w:t>
        </w:r>
        <w:proofErr w:type="spellEnd"/>
        <w:proofErr w:type="gramEnd"/>
        <w:r>
          <w:t>. 2020 Jan 1;2020.03.01.20029</w:t>
        </w:r>
        <w:r>
          <w:t>397.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41">
        <w:r>
          <w:t xml:space="preserve">15. </w:t>
        </w:r>
        <w:r>
          <w:tab/>
          <w:t xml:space="preserve">Zhang G, Hu C, </w:t>
        </w:r>
        <w:proofErr w:type="spellStart"/>
        <w:r>
          <w:t>Luo</w:t>
        </w:r>
        <w:proofErr w:type="spellEnd"/>
        <w:r>
          <w:t xml:space="preserve"> L, Fang F, Chen Y, Li J, et al. </w:t>
        </w:r>
        <w:proofErr w:type="spellStart"/>
        <w:r>
          <w:t>Clinical</w:t>
        </w:r>
        <w:proofErr w:type="spellEnd"/>
        <w:r>
          <w:t xml:space="preserve"> </w:t>
        </w:r>
        <w:proofErr w:type="spellStart"/>
        <w:r>
          <w:t>features</w:t>
        </w:r>
        <w:proofErr w:type="spellEnd"/>
        <w:r>
          <w:t xml:space="preserve"> and </w:t>
        </w:r>
        <w:proofErr w:type="spellStart"/>
        <w:r>
          <w:t>outcomes</w:t>
        </w:r>
        <w:proofErr w:type="spellEnd"/>
        <w:r>
          <w:t xml:space="preserve"> of 221 patients </w:t>
        </w:r>
        <w:proofErr w:type="spellStart"/>
        <w:r>
          <w:t>with</w:t>
        </w:r>
        <w:proofErr w:type="spellEnd"/>
        <w:r>
          <w:t xml:space="preserve"> COVID-19 in Wuhan, China. </w:t>
        </w:r>
        <w:proofErr w:type="spellStart"/>
        <w:proofErr w:type="gramStart"/>
        <w:r>
          <w:t>medRxiv</w:t>
        </w:r>
        <w:proofErr w:type="spellEnd"/>
        <w:proofErr w:type="gramEnd"/>
        <w:r>
          <w:t>. 2020 Jan 1;2020.03.02.20030452.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42">
        <w:r>
          <w:t xml:space="preserve">16. </w:t>
        </w:r>
        <w:r>
          <w:tab/>
          <w:t xml:space="preserve">Rodriguez-Morales AJ, </w:t>
        </w:r>
        <w:proofErr w:type="spellStart"/>
        <w:r>
          <w:t>Cardona-Ospina</w:t>
        </w:r>
        <w:proofErr w:type="spellEnd"/>
        <w:r>
          <w:t xml:space="preserve"> JA, </w:t>
        </w:r>
        <w:proofErr w:type="spellStart"/>
        <w:r>
          <w:t>Gutiérrez-Ocampo</w:t>
        </w:r>
        <w:proofErr w:type="spellEnd"/>
        <w:r>
          <w:t xml:space="preserve"> E, </w:t>
        </w:r>
        <w:proofErr w:type="spellStart"/>
        <w:r>
          <w:t>Villamizar-Peña</w:t>
        </w:r>
        <w:proofErr w:type="spellEnd"/>
        <w:r>
          <w:t xml:space="preserve"> R, </w:t>
        </w:r>
        <w:proofErr w:type="spellStart"/>
        <w:r>
          <w:t>Holguin</w:t>
        </w:r>
        <w:proofErr w:type="spellEnd"/>
        <w:r>
          <w:t>-Rivera Y, Escalera-</w:t>
        </w:r>
        <w:proofErr w:type="spellStart"/>
        <w:r>
          <w:t>Antezana</w:t>
        </w:r>
        <w:proofErr w:type="spellEnd"/>
        <w:r>
          <w:t xml:space="preserve"> JP, et al. </w:t>
        </w:r>
        <w:proofErr w:type="spellStart"/>
        <w:r>
          <w:t>Clinical</w:t>
        </w:r>
        <w:proofErr w:type="spellEnd"/>
        <w:r>
          <w:t xml:space="preserve">, </w:t>
        </w:r>
        <w:proofErr w:type="spellStart"/>
        <w:r>
          <w:t>laboratory</w:t>
        </w:r>
        <w:proofErr w:type="spellEnd"/>
        <w:r>
          <w:t xml:space="preserve"> and </w:t>
        </w:r>
        <w:proofErr w:type="spellStart"/>
        <w:r>
          <w:t>imaging</w:t>
        </w:r>
        <w:proofErr w:type="spellEnd"/>
        <w:r>
          <w:t xml:space="preserve"> </w:t>
        </w:r>
        <w:proofErr w:type="spellStart"/>
        <w:r>
          <w:t>features</w:t>
        </w:r>
        <w:proofErr w:type="spellEnd"/>
        <w:r>
          <w:t xml:space="preserve"> of COVID-</w:t>
        </w:r>
        <w:proofErr w:type="gramStart"/>
        <w:r>
          <w:t>19:</w:t>
        </w:r>
        <w:proofErr w:type="gramEnd"/>
        <w:r>
          <w:t xml:space="preserve"> A </w:t>
        </w:r>
        <w:proofErr w:type="spellStart"/>
        <w:r>
          <w:t>systematic</w:t>
        </w:r>
        <w:proofErr w:type="spellEnd"/>
        <w:r>
          <w:t xml:space="preserve"> </w:t>
        </w:r>
        <w:proofErr w:type="spellStart"/>
        <w:r>
          <w:t>review</w:t>
        </w:r>
        <w:proofErr w:type="spellEnd"/>
        <w:r>
          <w:t xml:space="preserve"> a</w:t>
        </w:r>
        <w:r>
          <w:t xml:space="preserve">nd </w:t>
        </w:r>
        <w:proofErr w:type="spellStart"/>
        <w:r>
          <w:t>meta-analysis</w:t>
        </w:r>
        <w:proofErr w:type="spellEnd"/>
        <w:r>
          <w:t xml:space="preserve">. </w:t>
        </w:r>
        <w:proofErr w:type="spellStart"/>
        <w:r>
          <w:t>Travel</w:t>
        </w:r>
        <w:proofErr w:type="spellEnd"/>
        <w:r>
          <w:t xml:space="preserve"> Med Infect Dis. 2020 Mar 13;101623.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43">
        <w:r>
          <w:t xml:space="preserve">17. </w:t>
        </w:r>
        <w:r>
          <w:tab/>
        </w:r>
        <w:proofErr w:type="spellStart"/>
        <w:r>
          <w:t>Lewnard</w:t>
        </w:r>
        <w:proofErr w:type="spellEnd"/>
        <w:r>
          <w:t xml:space="preserve"> JA, Liu VX, Jackson ML, Schmidt MA, Jewell BL, Flores JP, et al. Incidence, </w:t>
        </w:r>
        <w:proofErr w:type="spellStart"/>
        <w:r>
          <w:t>clinical</w:t>
        </w:r>
        <w:proofErr w:type="spellEnd"/>
        <w:r>
          <w:t xml:space="preserve"> </w:t>
        </w:r>
        <w:proofErr w:type="spellStart"/>
        <w:r>
          <w:t>outcomes</w:t>
        </w:r>
        <w:proofErr w:type="spellEnd"/>
        <w:r>
          <w:t xml:space="preserve">, and transmission </w:t>
        </w:r>
        <w:proofErr w:type="spellStart"/>
        <w:r>
          <w:t>dynamics</w:t>
        </w:r>
        <w:proofErr w:type="spellEnd"/>
        <w:r>
          <w:t xml:space="preserve"> of </w:t>
        </w:r>
        <w:proofErr w:type="spellStart"/>
        <w:r>
          <w:t>severe</w:t>
        </w:r>
        <w:proofErr w:type="spellEnd"/>
        <w:r>
          <w:t xml:space="preserve"> coronavirus </w:t>
        </w:r>
        <w:proofErr w:type="spellStart"/>
        <w:r>
          <w:t>disease</w:t>
        </w:r>
        <w:proofErr w:type="spellEnd"/>
        <w:r>
          <w:t xml:space="preserve"> 2019 in </w:t>
        </w:r>
        <w:proofErr w:type="spellStart"/>
        <w:r>
          <w:t>California</w:t>
        </w:r>
        <w:proofErr w:type="spellEnd"/>
        <w:r>
          <w:t xml:space="preserve"> and </w:t>
        </w:r>
        <w:proofErr w:type="gramStart"/>
        <w:r>
          <w:t>Washington:</w:t>
        </w:r>
        <w:proofErr w:type="gramEnd"/>
        <w:r>
          <w:t xml:space="preserve"> prospective </w:t>
        </w:r>
        <w:proofErr w:type="spellStart"/>
        <w:r>
          <w:t>cohort</w:t>
        </w:r>
        <w:proofErr w:type="spellEnd"/>
        <w:r>
          <w:t xml:space="preserve"> </w:t>
        </w:r>
        <w:proofErr w:type="spellStart"/>
        <w:r>
          <w:t>study</w:t>
        </w:r>
        <w:proofErr w:type="spellEnd"/>
        <w:r>
          <w:t>. BMJ. 2020 May 22;m1923.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44">
        <w:r>
          <w:t xml:space="preserve">18. </w:t>
        </w:r>
        <w:r>
          <w:tab/>
          <w:t xml:space="preserve">Zhou F, </w:t>
        </w:r>
        <w:proofErr w:type="spellStart"/>
        <w:r>
          <w:t>Yu</w:t>
        </w:r>
        <w:proofErr w:type="spellEnd"/>
        <w:r>
          <w:t xml:space="preserve"> T, Du R, Fan G, Liu Y, Liu Z, et al. </w:t>
        </w:r>
        <w:proofErr w:type="spellStart"/>
        <w:r>
          <w:t>Clinical</w:t>
        </w:r>
        <w:proofErr w:type="spellEnd"/>
        <w:r>
          <w:t xml:space="preserve"> course and </w:t>
        </w:r>
        <w:proofErr w:type="spellStart"/>
        <w:r>
          <w:t>risk</w:t>
        </w:r>
        <w:proofErr w:type="spellEnd"/>
        <w:r>
          <w:t xml:space="preserve"> </w:t>
        </w:r>
        <w:proofErr w:type="spellStart"/>
        <w:r>
          <w:t>factors</w:t>
        </w:r>
        <w:proofErr w:type="spellEnd"/>
        <w:r>
          <w:t xml:space="preserve"> for </w:t>
        </w:r>
        <w:proofErr w:type="spellStart"/>
        <w:r>
          <w:lastRenderedPageBreak/>
          <w:t>mortality</w:t>
        </w:r>
        <w:proofErr w:type="spellEnd"/>
        <w:r>
          <w:t xml:space="preserve"> of </w:t>
        </w:r>
        <w:proofErr w:type="spellStart"/>
        <w:r>
          <w:t>adult</w:t>
        </w:r>
        <w:proofErr w:type="spellEnd"/>
        <w:r>
          <w:t xml:space="preserve"> </w:t>
        </w:r>
        <w:proofErr w:type="spellStart"/>
        <w:r>
          <w:t>inpatients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COVID-19 in Wuhan, </w:t>
        </w:r>
        <w:proofErr w:type="gramStart"/>
        <w:r>
          <w:t>China:</w:t>
        </w:r>
        <w:proofErr w:type="gramEnd"/>
        <w:r>
          <w:t xml:space="preserve"> </w:t>
        </w:r>
        <w:proofErr w:type="spellStart"/>
        <w:r>
          <w:t>a</w:t>
        </w:r>
        <w:proofErr w:type="spellEnd"/>
        <w:r>
          <w:t xml:space="preserve"> </w:t>
        </w:r>
        <w:proofErr w:type="spellStart"/>
        <w:r>
          <w:t>retrospective</w:t>
        </w:r>
        <w:proofErr w:type="spellEnd"/>
        <w:r>
          <w:t xml:space="preserve"> </w:t>
        </w:r>
        <w:proofErr w:type="spellStart"/>
        <w:r>
          <w:t>cohort</w:t>
        </w:r>
        <w:proofErr w:type="spellEnd"/>
        <w:r>
          <w:t xml:space="preserve"> </w:t>
        </w:r>
        <w:proofErr w:type="spellStart"/>
        <w:r>
          <w:t>study</w:t>
        </w:r>
        <w:proofErr w:type="spellEnd"/>
        <w:r>
          <w:t>. The Lancet. 2020 Mar 28;395(10229):1054–62.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45">
        <w:r>
          <w:t xml:space="preserve">19. </w:t>
        </w:r>
        <w:r>
          <w:tab/>
          <w:t xml:space="preserve">Wu C, Chen X, Cai Y, Xia J, Zhou X, Xu S, </w:t>
        </w:r>
        <w:r>
          <w:t>et al. Risk Factors Associated With Acute Respiratory Distress Syndrome and Death in Patients With Coronavirus Disease 2019 Pneumonia in Wuhan, China. JAMA Intern Med [Internet]. 2020 Mar 13 [cited 2020 Apr 27]; Available from: https://jamanetwork.com/jour</w:t>
        </w:r>
        <w:r>
          <w:t>nals/jamainternalmedicine/fullarticle/2763184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46">
        <w:r>
          <w:t xml:space="preserve">20. </w:t>
        </w:r>
        <w:r>
          <w:tab/>
          <w:t xml:space="preserve">Wu C, Hu X, Song J, Du C, Xu J, Yang D, et al. </w:t>
        </w:r>
        <w:proofErr w:type="spellStart"/>
        <w:r>
          <w:t>Heart</w:t>
        </w:r>
        <w:proofErr w:type="spellEnd"/>
        <w:r>
          <w:t xml:space="preserve"> </w:t>
        </w:r>
        <w:proofErr w:type="spellStart"/>
        <w:r>
          <w:t>injury</w:t>
        </w:r>
        <w:proofErr w:type="spellEnd"/>
        <w:r>
          <w:t xml:space="preserve"> </w:t>
        </w:r>
        <w:proofErr w:type="spellStart"/>
        <w:r>
          <w:t>signs</w:t>
        </w:r>
        <w:proofErr w:type="spellEnd"/>
        <w:r>
          <w:t xml:space="preserve"> are </w:t>
        </w:r>
        <w:proofErr w:type="spellStart"/>
        <w:r>
          <w:t>associated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</w:t>
        </w:r>
        <w:proofErr w:type="spellStart"/>
        <w:r>
          <w:t>higher</w:t>
        </w:r>
        <w:proofErr w:type="spellEnd"/>
        <w:r>
          <w:t xml:space="preserve"> and </w:t>
        </w:r>
        <w:proofErr w:type="spellStart"/>
        <w:r>
          <w:t>earlier</w:t>
        </w:r>
        <w:proofErr w:type="spellEnd"/>
        <w:r>
          <w:t xml:space="preserve"> </w:t>
        </w:r>
        <w:proofErr w:type="spellStart"/>
        <w:r>
          <w:t>mortality</w:t>
        </w:r>
        <w:proofErr w:type="spellEnd"/>
        <w:r>
          <w:t xml:space="preserve"> in coronavirus </w:t>
        </w:r>
        <w:proofErr w:type="spellStart"/>
        <w:r>
          <w:t>disease</w:t>
        </w:r>
        <w:proofErr w:type="spellEnd"/>
        <w:r>
          <w:t xml:space="preserve"> 2019 </w:t>
        </w:r>
        <w:r>
          <w:t xml:space="preserve">(COVID-19). </w:t>
        </w:r>
        <w:proofErr w:type="spellStart"/>
        <w:proofErr w:type="gramStart"/>
        <w:r>
          <w:t>medRxiv</w:t>
        </w:r>
        <w:proofErr w:type="spellEnd"/>
        <w:proofErr w:type="gramEnd"/>
        <w:r>
          <w:t>. 2020 Jan 1;2020.02.26.20028589.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47">
        <w:r>
          <w:t xml:space="preserve">21. </w:t>
        </w:r>
        <w:r>
          <w:tab/>
        </w:r>
        <w:proofErr w:type="spellStart"/>
        <w:r>
          <w:t>Zaninotto</w:t>
        </w:r>
        <w:proofErr w:type="spellEnd"/>
        <w:r>
          <w:t xml:space="preserve"> M, </w:t>
        </w:r>
        <w:proofErr w:type="spellStart"/>
        <w:r>
          <w:t>Mion</w:t>
        </w:r>
        <w:proofErr w:type="spellEnd"/>
        <w:r>
          <w:t xml:space="preserve"> MM, </w:t>
        </w:r>
        <w:proofErr w:type="spellStart"/>
        <w:r>
          <w:t>Cosma</w:t>
        </w:r>
        <w:proofErr w:type="spellEnd"/>
        <w:r>
          <w:t xml:space="preserve"> C, Rinaldi D, </w:t>
        </w:r>
        <w:proofErr w:type="spellStart"/>
        <w:r>
          <w:t>Plebani</w:t>
        </w:r>
        <w:proofErr w:type="spellEnd"/>
        <w:r>
          <w:t xml:space="preserve"> M. </w:t>
        </w:r>
        <w:proofErr w:type="spellStart"/>
        <w:r>
          <w:t>Presepsin</w:t>
        </w:r>
        <w:proofErr w:type="spellEnd"/>
        <w:r>
          <w:t xml:space="preserve"> in </w:t>
        </w:r>
        <w:proofErr w:type="spellStart"/>
        <w:r>
          <w:t>risk</w:t>
        </w:r>
        <w:proofErr w:type="spellEnd"/>
        <w:r>
          <w:t xml:space="preserve"> stratification of SARS-CoV-2 patients. Clin </w:t>
        </w:r>
        <w:proofErr w:type="spellStart"/>
        <w:r>
          <w:t>Chim</w:t>
        </w:r>
        <w:proofErr w:type="spellEnd"/>
        <w:r>
          <w:t xml:space="preserve"> Acta. 2020 </w:t>
        </w:r>
        <w:proofErr w:type="spellStart"/>
        <w:r>
          <w:t>Aug</w:t>
        </w:r>
        <w:proofErr w:type="spellEnd"/>
        <w:r>
          <w:t xml:space="preserve"> 1</w:t>
        </w:r>
        <w:r>
          <w:t>;507:161–3.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48">
        <w:r>
          <w:t xml:space="preserve">22. </w:t>
        </w:r>
        <w:r>
          <w:tab/>
          <w:t>Chao JY, Derespina KR, Herold BC, Goldman DL, Aldrich M, Weingarten J, et al. Clinical Characteristics and Outcomes of Hospitalized and Critically Ill Children and Adolescents w</w:t>
        </w:r>
        <w:r>
          <w:t>ith Coronavirus Disease 2019 (COVID-19) at a Tertiary Care Medical Center in New York City. J Pediatr [Internet]. 2020 May 11 [cited 2020 Jun 15]; Available from: http://www.sciencedirect.com/science/article/pii/S0022347620305801</w:t>
        </w:r>
      </w:hyperlink>
    </w:p>
    <w:p w:rsidR="001D3E8F" w:rsidRDefault="00E67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 w:hanging="384"/>
        <w:rPr>
          <w:b/>
        </w:rPr>
      </w:pPr>
      <w:hyperlink r:id="rId49">
        <w:r>
          <w:t xml:space="preserve">23. </w:t>
        </w:r>
        <w:r>
          <w:tab/>
          <w:t xml:space="preserve">Huang C, Wang </w:t>
        </w:r>
        <w:proofErr w:type="spellStart"/>
        <w:r>
          <w:t>Y</w:t>
        </w:r>
        <w:proofErr w:type="spellEnd"/>
        <w:r>
          <w:t xml:space="preserve">, Li X, </w:t>
        </w:r>
        <w:proofErr w:type="spellStart"/>
        <w:r>
          <w:t>Ren</w:t>
        </w:r>
        <w:proofErr w:type="spellEnd"/>
        <w:r>
          <w:t xml:space="preserve"> L, Zhao J, Hu Y, et al. </w:t>
        </w:r>
        <w:proofErr w:type="spellStart"/>
        <w:r>
          <w:t>Clinical</w:t>
        </w:r>
        <w:proofErr w:type="spellEnd"/>
        <w:r>
          <w:t xml:space="preserve"> </w:t>
        </w:r>
        <w:proofErr w:type="spellStart"/>
        <w:r>
          <w:t>features</w:t>
        </w:r>
        <w:proofErr w:type="spellEnd"/>
        <w:r>
          <w:t xml:space="preserve"> of patients </w:t>
        </w:r>
        <w:proofErr w:type="spellStart"/>
        <w:r>
          <w:t>infected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2019 </w:t>
        </w:r>
        <w:proofErr w:type="spellStart"/>
        <w:r>
          <w:t>novel</w:t>
        </w:r>
        <w:proofErr w:type="spellEnd"/>
        <w:r>
          <w:t xml:space="preserve"> coronavirus in Wuhan, China. The Lancet. 2020 </w:t>
        </w:r>
        <w:proofErr w:type="spellStart"/>
        <w:r>
          <w:t>Feb</w:t>
        </w:r>
        <w:proofErr w:type="spellEnd"/>
        <w:r>
          <w:t xml:space="preserve"> 15;395(10223):497–506.</w:t>
        </w:r>
      </w:hyperlink>
    </w:p>
    <w:p w:rsidR="001D3E8F" w:rsidRDefault="00E67E95">
      <w:pPr>
        <w:pStyle w:val="Heading2"/>
        <w:jc w:val="both"/>
      </w:pPr>
      <w:bookmarkStart w:id="2" w:name="_p9np5ns55ca" w:colFirst="0" w:colLast="0"/>
      <w:bookmarkEnd w:id="2"/>
      <w:r>
        <w:br w:type="page"/>
      </w:r>
    </w:p>
    <w:p w:rsidR="001D3E8F" w:rsidRDefault="00E67E95">
      <w:pPr>
        <w:pStyle w:val="Heading2"/>
        <w:jc w:val="both"/>
      </w:pPr>
      <w:bookmarkStart w:id="3" w:name="_j2gf246wow5p" w:colFirst="0" w:colLast="0"/>
      <w:bookmarkEnd w:id="3"/>
      <w:proofErr w:type="spellStart"/>
      <w:r>
        <w:lastRenderedPageBreak/>
        <w:t>Sensitivity</w:t>
      </w:r>
      <w:proofErr w:type="spellEnd"/>
      <w:r>
        <w:t xml:space="preserve"> </w:t>
      </w:r>
      <w:proofErr w:type="spellStart"/>
      <w:r>
        <w:t>analysis</w:t>
      </w:r>
      <w:proofErr w:type="spellEnd"/>
    </w:p>
    <w:p w:rsidR="001D3E8F" w:rsidRDefault="001D3E8F"/>
    <w:p w:rsidR="001D3E8F" w:rsidRDefault="00E67E95">
      <w:pPr>
        <w:jc w:val="both"/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Table </w:t>
      </w:r>
      <w:proofErr w:type="gramStart"/>
      <w:r>
        <w:rPr>
          <w:b/>
        </w:rPr>
        <w:t>2:</w:t>
      </w:r>
      <w:proofErr w:type="gramEnd"/>
      <w:r>
        <w:rPr>
          <w:b/>
        </w:rPr>
        <w:t xml:space="preserve"> Patient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pathways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length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stay</w:t>
      </w:r>
      <w:proofErr w:type="spellEnd"/>
      <w:r>
        <w:rPr>
          <w:b/>
        </w:rPr>
        <w:t xml:space="preserve"> for patients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COVID-19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College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Hospital</w:t>
      </w:r>
      <w:proofErr w:type="spellEnd"/>
      <w:r>
        <w:rPr>
          <w:b/>
        </w:rPr>
        <w:t xml:space="preserve"> (UCH) and the COVID-19 </w:t>
      </w:r>
      <w:proofErr w:type="spellStart"/>
      <w:r>
        <w:rPr>
          <w:b/>
        </w:rPr>
        <w:t>Clinical</w:t>
      </w:r>
      <w:proofErr w:type="spellEnd"/>
      <w:r>
        <w:rPr>
          <w:b/>
        </w:rPr>
        <w:t xml:space="preserve"> Information Network (CO-CIN). </w:t>
      </w:r>
      <w:proofErr w:type="gramStart"/>
      <w:r>
        <w:t>CC:</w:t>
      </w:r>
      <w:proofErr w:type="gramEnd"/>
      <w:r>
        <w:t xml:space="preserve"> </w:t>
      </w:r>
      <w:proofErr w:type="spellStart"/>
      <w:r>
        <w:t>critical</w:t>
      </w:r>
      <w:proofErr w:type="spellEnd"/>
      <w:r>
        <w:t xml:space="preserve"> care. </w:t>
      </w:r>
      <w:proofErr w:type="gramStart"/>
      <w:r>
        <w:t>n:</w:t>
      </w:r>
      <w:proofErr w:type="gramEnd"/>
      <w:r>
        <w:t xml:space="preserve"> </w:t>
      </w:r>
      <w:proofErr w:type="spellStart"/>
      <w:r>
        <w:t>number</w:t>
      </w:r>
      <w:proofErr w:type="spellEnd"/>
      <w:r>
        <w:t xml:space="preserve"> of occurrences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pathway</w:t>
      </w:r>
      <w:proofErr w:type="spellEnd"/>
      <w:r>
        <w:t xml:space="preserve"> (for </w:t>
      </w:r>
      <w:proofErr w:type="spellStart"/>
      <w:r>
        <w:t>Bed</w:t>
      </w:r>
      <w:proofErr w:type="spellEnd"/>
      <w:r>
        <w:t xml:space="preserve"> </w:t>
      </w:r>
      <w:proofErr w:type="spellStart"/>
      <w:r>
        <w:t>pa</w:t>
      </w:r>
      <w:r>
        <w:t>thways</w:t>
      </w:r>
      <w:proofErr w:type="spellEnd"/>
      <w:r>
        <w:t xml:space="preserve">), or </w:t>
      </w:r>
      <w:proofErr w:type="spellStart"/>
      <w:r>
        <w:t>bed</w:t>
      </w:r>
      <w:proofErr w:type="spellEnd"/>
      <w:r>
        <w:t xml:space="preserve"> type (for </w:t>
      </w:r>
      <w:proofErr w:type="spellStart"/>
      <w:r>
        <w:t>Averages</w:t>
      </w:r>
      <w:proofErr w:type="spellEnd"/>
      <w:r>
        <w:t xml:space="preserve">). Note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sum</w:t>
      </w:r>
      <w:proofErr w:type="spellEnd"/>
      <w:r>
        <w:t xml:space="preserve"> of n for the </w:t>
      </w:r>
      <w:proofErr w:type="spellStart"/>
      <w:r>
        <w:t>bed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sum</w:t>
      </w:r>
      <w:proofErr w:type="spellEnd"/>
      <w:r>
        <w:t xml:space="preserve"> for the </w:t>
      </w:r>
      <w:proofErr w:type="spellStart"/>
      <w:r>
        <w:t>averages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stages of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type in one </w:t>
      </w:r>
      <w:proofErr w:type="spellStart"/>
      <w:r>
        <w:t>pathway</w:t>
      </w:r>
      <w:proofErr w:type="spellEnd"/>
      <w:r>
        <w:t xml:space="preserve"> correspond to </w:t>
      </w:r>
      <w:proofErr w:type="spellStart"/>
      <w:r>
        <w:t>two</w:t>
      </w:r>
      <w:proofErr w:type="spellEnd"/>
      <w:r>
        <w:t xml:space="preserve"> occurrences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type in the </w:t>
      </w:r>
      <w:proofErr w:type="spellStart"/>
      <w:r>
        <w:t>averages</w:t>
      </w:r>
      <w:proofErr w:type="spellEnd"/>
      <w:r>
        <w:t>. IQR</w:t>
      </w:r>
      <w:proofErr w:type="gramStart"/>
      <w:r>
        <w:t>.:</w:t>
      </w:r>
      <w:proofErr w:type="gramEnd"/>
      <w:r>
        <w:t xml:space="preserve"> interquartile</w:t>
      </w:r>
      <w:r>
        <w:t xml:space="preserve"> range. </w:t>
      </w:r>
    </w:p>
    <w:p w:rsidR="001D3E8F" w:rsidRDefault="001D3E8F">
      <w:pPr>
        <w:jc w:val="both"/>
      </w:pPr>
    </w:p>
    <w:tbl>
      <w:tblPr>
        <w:tblStyle w:val="a0"/>
        <w:tblW w:w="11370" w:type="dxa"/>
        <w:tblInd w:w="-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170"/>
        <w:gridCol w:w="765"/>
        <w:gridCol w:w="825"/>
        <w:gridCol w:w="1245"/>
        <w:gridCol w:w="930"/>
        <w:gridCol w:w="735"/>
        <w:gridCol w:w="915"/>
        <w:gridCol w:w="750"/>
        <w:gridCol w:w="900"/>
        <w:gridCol w:w="750"/>
        <w:gridCol w:w="795"/>
        <w:gridCol w:w="645"/>
      </w:tblGrid>
      <w:tr w:rsidR="001D3E8F">
        <w:trPr>
          <w:trHeight w:val="420"/>
        </w:trPr>
        <w:tc>
          <w:tcPr>
            <w:tcW w:w="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Dataset</w:t>
            </w:r>
            <w:proofErr w:type="spellEnd"/>
          </w:p>
        </w:tc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Beds</w:t>
            </w:r>
            <w:proofErr w:type="spellEnd"/>
          </w:p>
        </w:tc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Proportion</w:t>
            </w:r>
          </w:p>
        </w:tc>
        <w:tc>
          <w:tcPr>
            <w:tcW w:w="1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1</w:t>
            </w:r>
          </w:p>
        </w:tc>
        <w:tc>
          <w:tcPr>
            <w:tcW w:w="1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2</w:t>
            </w:r>
          </w:p>
        </w:tc>
        <w:tc>
          <w:tcPr>
            <w:tcW w:w="1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3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Median</w:t>
            </w:r>
            <w:proofErr w:type="spellEnd"/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IQR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Median</w:t>
            </w:r>
            <w:proofErr w:type="spellEnd"/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IQR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Median</w:t>
            </w:r>
            <w:proofErr w:type="spellEnd"/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IQR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Median</w:t>
            </w:r>
            <w:proofErr w:type="spellEnd"/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IQR</w:t>
            </w:r>
          </w:p>
        </w:tc>
      </w:tr>
      <w:tr w:rsidR="001D3E8F">
        <w:trPr>
          <w:trHeight w:val="420"/>
        </w:trPr>
        <w:tc>
          <w:tcPr>
            <w:tcW w:w="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UCH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pathways</w:t>
            </w:r>
            <w:proofErr w:type="spellEnd"/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4.88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3.36 - 6.12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3.36 - 6.12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CC, Ward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3.71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2.27 - 5.78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1.74 - 3.79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6.78 - 9.18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0.815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1.93- 5.53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1.93- 5.53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Ward, CC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1.10 - 1.49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3.08 - 5.77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5.52 - 8.18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Ward, CC, Ward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0.060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0.82 - 3.24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3.04 - 4.40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2.01 - 2.78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6.85 - 8.44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Averages</w:t>
            </w:r>
            <w:proofErr w:type="spellEnd"/>
            <w:r>
              <w:rPr>
                <w:b/>
                <w:sz w:val="20"/>
                <w:szCs w:val="20"/>
              </w:rPr>
              <w:t xml:space="preserve"> by </w:t>
            </w:r>
            <w:proofErr w:type="spellStart"/>
            <w:r>
              <w:rPr>
                <w:b/>
                <w:sz w:val="20"/>
                <w:szCs w:val="20"/>
              </w:rPr>
              <w:t>bed</w:t>
            </w:r>
            <w:proofErr w:type="spellEnd"/>
            <w:r>
              <w:rPr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0.154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2.83 - 5.61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2.83 - 5.61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0.846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2.91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1.64 - 5.23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1.64 - 5.23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2.10 - 6.85</w:t>
            </w:r>
          </w:p>
        </w:tc>
      </w:tr>
      <w:tr w:rsidR="001D3E8F">
        <w:trPr>
          <w:trHeight w:val="420"/>
        </w:trPr>
        <w:tc>
          <w:tcPr>
            <w:tcW w:w="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CO-CIN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pathways</w:t>
            </w:r>
            <w:proofErr w:type="spellEnd"/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4 - 14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4 - 14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CC, Ward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0.069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4 - 19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0.25 - 9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8.25 - 28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29,975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3 - 12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3 - 12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Ward, CC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2 - 10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4 - 14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Ward, CC, Ward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0.099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4 - 17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0.25 - 8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18.25</w:t>
            </w: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10.25 - 31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Averages</w:t>
            </w:r>
            <w:proofErr w:type="spellEnd"/>
            <w:r>
              <w:rPr>
                <w:b/>
                <w:sz w:val="20"/>
                <w:szCs w:val="20"/>
              </w:rPr>
              <w:t xml:space="preserve"> by </w:t>
            </w:r>
            <w:proofErr w:type="spellStart"/>
            <w:r>
              <w:rPr>
                <w:b/>
                <w:sz w:val="20"/>
                <w:szCs w:val="20"/>
              </w:rPr>
              <w:t>bed</w:t>
            </w:r>
            <w:proofErr w:type="spellEnd"/>
            <w:r>
              <w:rPr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6,539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0.141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4 - 17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4 - 17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39,885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0.859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2 - 11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2 - 11</w:t>
            </w:r>
          </w:p>
        </w:tc>
      </w:tr>
      <w:tr w:rsidR="001D3E8F">
        <w:trPr>
          <w:trHeight w:val="42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36,514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3 - 15</w:t>
            </w:r>
          </w:p>
        </w:tc>
      </w:tr>
    </w:tbl>
    <w:p w:rsidR="001D3E8F" w:rsidRDefault="001D3E8F"/>
    <w:p w:rsidR="001D3E8F" w:rsidRDefault="001D3E8F"/>
    <w:p w:rsidR="001D3E8F" w:rsidRDefault="001D3E8F"/>
    <w:p w:rsidR="001D3E8F" w:rsidRDefault="001D3E8F"/>
    <w:p w:rsidR="001D3E8F" w:rsidRDefault="00E67E95">
      <w:r>
        <w:rPr>
          <w:noProof/>
          <w:lang w:val="en-GB"/>
        </w:rPr>
        <w:drawing>
          <wp:inline distT="114300" distB="114300" distL="114300" distR="114300">
            <wp:extent cx="5731200" cy="4013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1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3E8F" w:rsidRDefault="00E67E95">
      <w:pPr>
        <w:jc w:val="both"/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Figure </w:t>
      </w:r>
      <w:proofErr w:type="gramStart"/>
      <w:r>
        <w:rPr>
          <w:b/>
        </w:rPr>
        <w:t>1: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Empirical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estimated</w:t>
      </w:r>
      <w:proofErr w:type="spellEnd"/>
      <w:r>
        <w:rPr>
          <w:b/>
        </w:rPr>
        <w:t xml:space="preserve"> distributions for the </w:t>
      </w:r>
      <w:proofErr w:type="spellStart"/>
      <w:r>
        <w:rPr>
          <w:b/>
        </w:rPr>
        <w:t>length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stay</w:t>
      </w:r>
      <w:proofErr w:type="spellEnd"/>
      <w:r>
        <w:rPr>
          <w:b/>
        </w:rPr>
        <w:t xml:space="preserve"> values in CO-CIN patient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pathways</w:t>
      </w:r>
      <w:proofErr w:type="spellEnd"/>
      <w:r>
        <w:rPr>
          <w:b/>
        </w:rPr>
        <w:t xml:space="preserve">. </w:t>
      </w:r>
      <w:proofErr w:type="spellStart"/>
      <w:r>
        <w:t>Estimated</w:t>
      </w:r>
      <w:proofErr w:type="spellEnd"/>
      <w:r>
        <w:t xml:space="preserve"> distributions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by multi-state </w:t>
      </w:r>
      <w:proofErr w:type="spellStart"/>
      <w:r>
        <w:t>modelling</w:t>
      </w:r>
      <w:proofErr w:type="spellEnd"/>
      <w:r>
        <w:t xml:space="preserve">, to correct for patients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-up. Distributions are </w:t>
      </w:r>
      <w:proofErr w:type="spellStart"/>
      <w:r>
        <w:t>presented</w:t>
      </w:r>
      <w:proofErr w:type="spellEnd"/>
      <w:r>
        <w:t xml:space="preserve"> by </w:t>
      </w:r>
      <w:proofErr w:type="spellStart"/>
      <w:r>
        <w:t>bed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 (</w:t>
      </w:r>
      <w:proofErr w:type="spellStart"/>
      <w:r>
        <w:t>rows</w:t>
      </w:r>
      <w:proofErr w:type="spellEnd"/>
      <w:r>
        <w:t xml:space="preserve">) and stages in the </w:t>
      </w:r>
      <w:proofErr w:type="spellStart"/>
      <w:r>
        <w:t>pathway</w:t>
      </w:r>
      <w:proofErr w:type="spellEnd"/>
      <w:r>
        <w:t xml:space="preserve"> (</w:t>
      </w:r>
      <w:proofErr w:type="spellStart"/>
      <w:r>
        <w:t>columns</w:t>
      </w:r>
      <w:proofErr w:type="spellEnd"/>
      <w:r>
        <w:t>).</w:t>
      </w: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E67E95">
      <w:pPr>
        <w:jc w:val="both"/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Table </w:t>
      </w:r>
      <w:proofErr w:type="gramStart"/>
      <w:r>
        <w:rPr>
          <w:b/>
        </w:rPr>
        <w:t>3:</w:t>
      </w:r>
      <w:proofErr w:type="gramEnd"/>
      <w:r>
        <w:t xml:space="preserve"> </w:t>
      </w:r>
      <w:proofErr w:type="spellStart"/>
      <w:r>
        <w:rPr>
          <w:b/>
        </w:rPr>
        <w:t>Squared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difference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between</w:t>
      </w:r>
      <w:proofErr w:type="spellEnd"/>
      <w:r>
        <w:rPr>
          <w:b/>
        </w:rPr>
        <w:t xml:space="preserve"> model-</w:t>
      </w:r>
      <w:proofErr w:type="spellStart"/>
      <w:r>
        <w:rPr>
          <w:b/>
        </w:rPr>
        <w:t>predicted</w:t>
      </w:r>
      <w:proofErr w:type="spellEnd"/>
      <w:r>
        <w:rPr>
          <w:b/>
        </w:rPr>
        <w:t xml:space="preserve"> UCH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occupancy</w:t>
      </w:r>
      <w:proofErr w:type="spellEnd"/>
      <w:r>
        <w:rPr>
          <w:b/>
        </w:rPr>
        <w:t xml:space="preserve"> and UCH data, </w:t>
      </w:r>
      <w:proofErr w:type="spellStart"/>
      <w:r>
        <w:rPr>
          <w:b/>
        </w:rPr>
        <w:t>under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different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assumptions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rounding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distribution, and </w:t>
      </w:r>
      <w:proofErr w:type="spellStart"/>
      <w:r>
        <w:rPr>
          <w:b/>
        </w:rPr>
        <w:t>using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pathways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instead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averages</w:t>
      </w:r>
      <w:proofErr w:type="spellEnd"/>
      <w:r>
        <w:rPr>
          <w:b/>
        </w:rPr>
        <w:t xml:space="preserve"> by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type.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from</w:t>
      </w:r>
      <w:proofErr w:type="spellEnd"/>
      <w:r>
        <w:t xml:space="preserve"> 100 model </w:t>
      </w:r>
      <w:proofErr w:type="spellStart"/>
      <w:r>
        <w:t>runs</w:t>
      </w:r>
      <w:proofErr w:type="spellEnd"/>
      <w:r>
        <w:t xml:space="preserve">. 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1D3E8F">
        <w:trPr>
          <w:trHeight w:val="33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rounding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Distribution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Lo</w:t>
            </w:r>
            <w:r>
              <w:rPr>
                <w:b/>
              </w:rPr>
              <w:t>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Squared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difference</w:t>
            </w:r>
            <w:proofErr w:type="spellEnd"/>
          </w:p>
        </w:tc>
      </w:tr>
      <w:tr w:rsidR="001D3E8F">
        <w:trPr>
          <w:trHeight w:val="420"/>
        </w:trPr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Round</w:t>
            </w:r>
          </w:p>
        </w:tc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Weibull</w:t>
            </w:r>
            <w:proofErr w:type="spellEnd"/>
            <w:r>
              <w:t xml:space="preserve">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Average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2667.14</w:t>
            </w:r>
          </w:p>
        </w:tc>
      </w:tr>
      <w:tr w:rsidR="001D3E8F">
        <w:trPr>
          <w:trHeight w:val="42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Bed</w:t>
            </w:r>
            <w:proofErr w:type="spellEnd"/>
            <w:r>
              <w:t xml:space="preserve"> </w:t>
            </w:r>
            <w:proofErr w:type="spellStart"/>
            <w:r>
              <w:t>pathways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916.03</w:t>
            </w:r>
          </w:p>
        </w:tc>
      </w:tr>
      <w:tr w:rsidR="001D3E8F">
        <w:trPr>
          <w:trHeight w:val="42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Lognormal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Average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3665.66</w:t>
            </w:r>
          </w:p>
        </w:tc>
      </w:tr>
      <w:tr w:rsidR="001D3E8F">
        <w:trPr>
          <w:trHeight w:val="42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Bed</w:t>
            </w:r>
            <w:proofErr w:type="spellEnd"/>
            <w:r>
              <w:t xml:space="preserve"> </w:t>
            </w:r>
            <w:proofErr w:type="spellStart"/>
            <w:r>
              <w:t>pathways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5698.71</w:t>
            </w:r>
          </w:p>
        </w:tc>
      </w:tr>
      <w:tr w:rsidR="001D3E8F">
        <w:trPr>
          <w:trHeight w:val="420"/>
        </w:trPr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Ceiling</w:t>
            </w:r>
            <w:proofErr w:type="spellEnd"/>
          </w:p>
        </w:tc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Weibull</w:t>
            </w:r>
            <w:proofErr w:type="spellEnd"/>
            <w:r>
              <w:t xml:space="preserve">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Average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1431.08</w:t>
            </w:r>
          </w:p>
        </w:tc>
      </w:tr>
      <w:tr w:rsidR="001D3E8F">
        <w:trPr>
          <w:trHeight w:val="42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Bed</w:t>
            </w:r>
            <w:proofErr w:type="spellEnd"/>
            <w:r>
              <w:t xml:space="preserve"> </w:t>
            </w:r>
            <w:proofErr w:type="spellStart"/>
            <w:r>
              <w:t>pathways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586.77</w:t>
            </w:r>
          </w:p>
        </w:tc>
      </w:tr>
      <w:tr w:rsidR="001D3E8F">
        <w:trPr>
          <w:trHeight w:val="42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Lognormal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Average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3888.02</w:t>
            </w:r>
          </w:p>
        </w:tc>
      </w:tr>
      <w:tr w:rsidR="001D3E8F">
        <w:trPr>
          <w:trHeight w:val="42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widowControl w:val="0"/>
              <w:spacing w:line="240" w:lineRule="auto"/>
              <w:jc w:val="both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proofErr w:type="spellStart"/>
            <w:r>
              <w:t>Bed</w:t>
            </w:r>
            <w:proofErr w:type="spellEnd"/>
            <w:r>
              <w:t xml:space="preserve"> </w:t>
            </w:r>
            <w:proofErr w:type="spellStart"/>
            <w:r>
              <w:t>pathways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7311.79</w:t>
            </w:r>
          </w:p>
        </w:tc>
      </w:tr>
    </w:tbl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E67E95">
      <w:pPr>
        <w:jc w:val="both"/>
      </w:pPr>
      <w:r>
        <w:rPr>
          <w:noProof/>
          <w:lang w:val="en-GB"/>
        </w:rPr>
        <w:lastRenderedPageBreak/>
        <w:drawing>
          <wp:inline distT="114300" distB="114300" distL="114300" distR="114300">
            <wp:extent cx="5731200" cy="38227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3E8F" w:rsidRDefault="00E67E95">
      <w:pPr>
        <w:jc w:val="both"/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Figure </w:t>
      </w:r>
      <w:proofErr w:type="gramStart"/>
      <w:r>
        <w:rPr>
          <w:b/>
        </w:rPr>
        <w:t>2:</w:t>
      </w:r>
      <w:proofErr w:type="gramEnd"/>
      <w:r>
        <w:rPr>
          <w:b/>
        </w:rPr>
        <w:t xml:space="preserve"> Model-</w:t>
      </w:r>
      <w:proofErr w:type="spellStart"/>
      <w:r>
        <w:rPr>
          <w:b/>
        </w:rPr>
        <w:t>predicted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occupancy</w:t>
      </w:r>
      <w:proofErr w:type="spellEnd"/>
      <w:r>
        <w:rPr>
          <w:b/>
        </w:rPr>
        <w:t xml:space="preserve"> at the NHS </w:t>
      </w:r>
      <w:proofErr w:type="spellStart"/>
      <w:r>
        <w:rPr>
          <w:b/>
        </w:rPr>
        <w:t>Region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pathways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values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CO-CIN. </w:t>
      </w:r>
      <w:proofErr w:type="spellStart"/>
      <w:r>
        <w:t>Dotted</w:t>
      </w:r>
      <w:proofErr w:type="spellEnd"/>
      <w:r>
        <w:t xml:space="preserve"> line shows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occupancy</w:t>
      </w:r>
      <w:proofErr w:type="spellEnd"/>
      <w:r>
        <w:t xml:space="preserve"> for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hospitalisation data. </w:t>
      </w:r>
      <w:proofErr w:type="gramStart"/>
      <w:r>
        <w:t>CC:</w:t>
      </w:r>
      <w:proofErr w:type="gramEnd"/>
      <w:r>
        <w:t xml:space="preserve"> </w:t>
      </w:r>
      <w:proofErr w:type="spellStart"/>
      <w:r>
        <w:t>critical</w:t>
      </w:r>
      <w:proofErr w:type="spellEnd"/>
      <w:r>
        <w:t xml:space="preserve"> care. </w:t>
      </w:r>
      <w:proofErr w:type="spellStart"/>
      <w:r>
        <w:t>Re</w:t>
      </w:r>
      <w:r>
        <w:t>sults</w:t>
      </w:r>
      <w:proofErr w:type="spellEnd"/>
      <w:r>
        <w:t xml:space="preserve"> are </w:t>
      </w:r>
      <w:proofErr w:type="spellStart"/>
      <w:r>
        <w:t>from</w:t>
      </w:r>
      <w:proofErr w:type="spellEnd"/>
      <w:r>
        <w:t xml:space="preserve"> 100 model </w:t>
      </w:r>
      <w:proofErr w:type="spellStart"/>
      <w:r>
        <w:t>runs</w:t>
      </w:r>
      <w:proofErr w:type="spellEnd"/>
      <w:r>
        <w:t>.</w:t>
      </w:r>
    </w:p>
    <w:p w:rsidR="001D3E8F" w:rsidRDefault="001D3E8F">
      <w:pPr>
        <w:jc w:val="both"/>
      </w:pPr>
    </w:p>
    <w:p w:rsidR="001D3E8F" w:rsidRDefault="00E67E95">
      <w:pPr>
        <w:jc w:val="both"/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Table </w:t>
      </w:r>
      <w:proofErr w:type="gramStart"/>
      <w:r>
        <w:rPr>
          <w:b/>
        </w:rPr>
        <w:t>4:</w:t>
      </w:r>
      <w:proofErr w:type="gramEnd"/>
      <w:r>
        <w:t xml:space="preserve"> </w:t>
      </w:r>
      <w:proofErr w:type="spellStart"/>
      <w:r>
        <w:rPr>
          <w:b/>
        </w:rPr>
        <w:t>Squared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difference</w:t>
      </w:r>
      <w:proofErr w:type="spellEnd"/>
      <w:r>
        <w:rPr>
          <w:b/>
        </w:rPr>
        <w:t xml:space="preserve"> (x10^5) </w:t>
      </w:r>
      <w:proofErr w:type="spellStart"/>
      <w:r>
        <w:rPr>
          <w:b/>
        </w:rPr>
        <w:t>between</w:t>
      </w:r>
      <w:proofErr w:type="spellEnd"/>
      <w:r>
        <w:rPr>
          <w:b/>
        </w:rPr>
        <w:t xml:space="preserve"> model-</w:t>
      </w:r>
      <w:proofErr w:type="spellStart"/>
      <w:r>
        <w:rPr>
          <w:b/>
        </w:rPr>
        <w:t>predicted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occupancy</w:t>
      </w:r>
      <w:proofErr w:type="spellEnd"/>
      <w:r>
        <w:rPr>
          <w:b/>
        </w:rPr>
        <w:t xml:space="preserve"> and NHS </w:t>
      </w:r>
      <w:proofErr w:type="spellStart"/>
      <w:r>
        <w:rPr>
          <w:b/>
        </w:rPr>
        <w:t>Regions</w:t>
      </w:r>
      <w:proofErr w:type="spellEnd"/>
      <w:r>
        <w:rPr>
          <w:b/>
        </w:rPr>
        <w:t xml:space="preserve"> data, </w:t>
      </w:r>
      <w:proofErr w:type="spellStart"/>
      <w:r>
        <w:rPr>
          <w:b/>
        </w:rPr>
        <w:t>using</w:t>
      </w:r>
      <w:proofErr w:type="spellEnd"/>
      <w:r>
        <w:rPr>
          <w:b/>
        </w:rPr>
        <w:t xml:space="preserve"> CO-CIN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values, best-fit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values, and best-fit </w:t>
      </w:r>
      <w:proofErr w:type="spellStart"/>
      <w:r>
        <w:rPr>
          <w:b/>
        </w:rPr>
        <w:t>average</w:t>
      </w:r>
      <w:proofErr w:type="spellEnd"/>
      <w:r>
        <w:rPr>
          <w:b/>
        </w:rPr>
        <w:t xml:space="preserve"> proportion of patients </w:t>
      </w:r>
      <w:proofErr w:type="spellStart"/>
      <w:r>
        <w:rPr>
          <w:b/>
        </w:rPr>
        <w:t>staying</w:t>
      </w:r>
      <w:proofErr w:type="spellEnd"/>
      <w:r>
        <w:rPr>
          <w:b/>
        </w:rPr>
        <w:t xml:space="preserve"> in a CC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. </w:t>
      </w:r>
      <w:proofErr w:type="spellStart"/>
      <w:r>
        <w:t>Res</w:t>
      </w:r>
      <w:r>
        <w:t>ults</w:t>
      </w:r>
      <w:proofErr w:type="spellEnd"/>
      <w:r>
        <w:t xml:space="preserve"> are </w:t>
      </w:r>
      <w:proofErr w:type="spellStart"/>
      <w:r>
        <w:t>from</w:t>
      </w:r>
      <w:proofErr w:type="spellEnd"/>
      <w:r>
        <w:t xml:space="preserve"> 100 model </w:t>
      </w:r>
      <w:proofErr w:type="spellStart"/>
      <w:r>
        <w:t>runs</w:t>
      </w:r>
      <w:proofErr w:type="spellEnd"/>
      <w:r>
        <w:t xml:space="preserve">. </w:t>
      </w:r>
    </w:p>
    <w:p w:rsidR="001D3E8F" w:rsidRDefault="001D3E8F">
      <w:pPr>
        <w:jc w:val="both"/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803"/>
        <w:gridCol w:w="1804"/>
        <w:gridCol w:w="1804"/>
        <w:gridCol w:w="1804"/>
      </w:tblGrid>
      <w:tr w:rsidR="001D3E8F">
        <w:trPr>
          <w:trHeight w:val="33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NHS </w:t>
            </w:r>
            <w:proofErr w:type="spellStart"/>
            <w:r>
              <w:rPr>
                <w:b/>
              </w:rPr>
              <w:t>Region</w:t>
            </w:r>
            <w:proofErr w:type="spellEnd"/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CO-CIN </w:t>
            </w:r>
            <w:proofErr w:type="spellStart"/>
            <w:r>
              <w:rPr>
                <w:b/>
              </w:rPr>
              <w:t>average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LoS</w:t>
            </w:r>
            <w:proofErr w:type="spellEnd"/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CO-CIN </w:t>
            </w:r>
            <w:proofErr w:type="spellStart"/>
            <w:r>
              <w:rPr>
                <w:b/>
              </w:rPr>
              <w:t>bed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pathways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LoS</w:t>
            </w:r>
            <w:proofErr w:type="spellEnd"/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Best-fit </w:t>
            </w:r>
            <w:proofErr w:type="spellStart"/>
            <w:r>
              <w:rPr>
                <w:b/>
              </w:rPr>
              <w:t>average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LoS</w:t>
            </w:r>
            <w:proofErr w:type="spellEnd"/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Best-fit </w:t>
            </w:r>
            <w:proofErr w:type="spellStart"/>
            <w:r>
              <w:rPr>
                <w:b/>
              </w:rPr>
              <w:t>average</w:t>
            </w:r>
            <w:proofErr w:type="spellEnd"/>
            <w:r>
              <w:rPr>
                <w:b/>
              </w:rPr>
              <w:t xml:space="preserve"> proportion to CC</w:t>
            </w:r>
          </w:p>
        </w:tc>
      </w:tr>
      <w:tr w:rsidR="001D3E8F">
        <w:trPr>
          <w:trHeight w:val="42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 xml:space="preserve">East of </w:t>
            </w:r>
            <w:proofErr w:type="spellStart"/>
            <w:r>
              <w:t>England</w:t>
            </w:r>
            <w:proofErr w:type="spellEnd"/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22.00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62.50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6.42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6.99</w:t>
            </w:r>
          </w:p>
        </w:tc>
      </w:tr>
      <w:tr w:rsidR="001D3E8F">
        <w:trPr>
          <w:trHeight w:val="42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London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262.51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553.09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48.90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67.23</w:t>
            </w:r>
          </w:p>
        </w:tc>
      </w:tr>
      <w:tr w:rsidR="001D3E8F">
        <w:trPr>
          <w:trHeight w:val="42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Midlands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173.03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356.06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69.98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81.66</w:t>
            </w:r>
          </w:p>
        </w:tc>
      </w:tr>
      <w:tr w:rsidR="001D3E8F">
        <w:trPr>
          <w:trHeight w:val="42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proofErr w:type="spellStart"/>
            <w:r>
              <w:t>North</w:t>
            </w:r>
            <w:proofErr w:type="spellEnd"/>
            <w:r>
              <w:t xml:space="preserve"> East and Yorkshire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85.29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207.31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17.86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23.25</w:t>
            </w:r>
          </w:p>
        </w:tc>
      </w:tr>
      <w:tr w:rsidR="001D3E8F">
        <w:trPr>
          <w:trHeight w:val="42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proofErr w:type="spellStart"/>
            <w:r>
              <w:t>North</w:t>
            </w:r>
            <w:proofErr w:type="spellEnd"/>
            <w:r>
              <w:t xml:space="preserve"> West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56.58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142.66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21.32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17.60</w:t>
            </w:r>
          </w:p>
        </w:tc>
      </w:tr>
      <w:tr w:rsidR="001D3E8F">
        <w:trPr>
          <w:trHeight w:val="42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lastRenderedPageBreak/>
              <w:t>South East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47.08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125.04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12.76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13.95</w:t>
            </w:r>
          </w:p>
        </w:tc>
      </w:tr>
      <w:tr w:rsidR="001D3E8F">
        <w:trPr>
          <w:trHeight w:val="42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South West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11.16</w:t>
            </w:r>
            <w:bookmarkStart w:id="4" w:name="_GoBack"/>
            <w:bookmarkEnd w:id="4"/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28.10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4.46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widowControl w:val="0"/>
              <w:spacing w:line="240" w:lineRule="auto"/>
              <w:jc w:val="both"/>
            </w:pPr>
            <w:r>
              <w:t>4.16</w:t>
            </w:r>
          </w:p>
        </w:tc>
      </w:tr>
    </w:tbl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E67E95">
      <w:pPr>
        <w:jc w:val="both"/>
      </w:pPr>
      <w:r>
        <w:rPr>
          <w:noProof/>
          <w:lang w:val="en-GB"/>
        </w:rPr>
        <w:drawing>
          <wp:inline distT="114300" distB="114300" distL="114300" distR="114300">
            <wp:extent cx="5731200" cy="28702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3E8F" w:rsidRDefault="00E67E95">
      <w:pPr>
        <w:jc w:val="both"/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Figure </w:t>
      </w:r>
      <w:proofErr w:type="gramStart"/>
      <w:r>
        <w:rPr>
          <w:b/>
        </w:rPr>
        <w:t>3:</w:t>
      </w:r>
      <w:proofErr w:type="gramEnd"/>
      <w:r>
        <w:rPr>
          <w:b/>
        </w:rPr>
        <w:t xml:space="preserve"> UCH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occupancy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predictions</w:t>
      </w:r>
      <w:proofErr w:type="spellEnd"/>
      <w:r>
        <w:rPr>
          <w:b/>
        </w:rPr>
        <w:t xml:space="preserve"> are more </w:t>
      </w:r>
      <w:proofErr w:type="spellStart"/>
      <w:r>
        <w:rPr>
          <w:b/>
        </w:rPr>
        <w:t>accurate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using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Weibull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instead</w:t>
      </w:r>
      <w:proofErr w:type="spellEnd"/>
      <w:r>
        <w:rPr>
          <w:b/>
        </w:rPr>
        <w:t xml:space="preserve"> of a </w:t>
      </w:r>
      <w:proofErr w:type="spellStart"/>
      <w:r>
        <w:rPr>
          <w:b/>
        </w:rPr>
        <w:t>Lognormal</w:t>
      </w:r>
      <w:proofErr w:type="spellEnd"/>
      <w:r>
        <w:rPr>
          <w:b/>
        </w:rPr>
        <w:t xml:space="preserve"> distribution for </w:t>
      </w:r>
      <w:proofErr w:type="spellStart"/>
      <w:r>
        <w:rPr>
          <w:b/>
        </w:rPr>
        <w:t>length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stay</w:t>
      </w:r>
      <w:proofErr w:type="spellEnd"/>
      <w:r>
        <w:rPr>
          <w:b/>
        </w:rPr>
        <w:t>.</w:t>
      </w:r>
      <w:r>
        <w:t xml:space="preserve"> </w:t>
      </w:r>
      <w:r>
        <w:rPr>
          <w:b/>
        </w:rPr>
        <w:t>A)</w:t>
      </w:r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occupancy</w:t>
      </w:r>
      <w:proofErr w:type="spellEnd"/>
      <w:r>
        <w:t xml:space="preserve"> at UCH and model-</w:t>
      </w:r>
      <w:proofErr w:type="spellStart"/>
      <w:r>
        <w:t>predicted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occupancy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UCH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and a </w:t>
      </w:r>
      <w:proofErr w:type="spellStart"/>
      <w:r>
        <w:t>Weibull</w:t>
      </w:r>
      <w:proofErr w:type="spellEnd"/>
      <w:r>
        <w:t xml:space="preserve"> distribution. </w:t>
      </w:r>
      <w:r>
        <w:rPr>
          <w:b/>
        </w:rPr>
        <w:t>B)</w:t>
      </w:r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occupancy</w:t>
      </w:r>
      <w:proofErr w:type="spellEnd"/>
      <w:r>
        <w:t xml:space="preserve"> at UCH and model-</w:t>
      </w:r>
      <w:proofErr w:type="spellStart"/>
      <w:r>
        <w:t>predicted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occupancy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UCH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and a </w:t>
      </w:r>
      <w:proofErr w:type="spellStart"/>
      <w:r>
        <w:t>Lognormal</w:t>
      </w:r>
      <w:proofErr w:type="spellEnd"/>
      <w:r>
        <w:t xml:space="preserve"> distribution. </w:t>
      </w:r>
      <w:r>
        <w:rPr>
          <w:b/>
        </w:rPr>
        <w:t>C)</w:t>
      </w:r>
      <w:r>
        <w:t xml:space="preserve"> </w:t>
      </w:r>
      <w:proofErr w:type="spellStart"/>
      <w:r>
        <w:t>Weibull</w:t>
      </w:r>
      <w:proofErr w:type="spellEnd"/>
      <w:r>
        <w:t xml:space="preserve"> and </w:t>
      </w:r>
      <w:proofErr w:type="spellStart"/>
      <w:r>
        <w:t>Lognormal</w:t>
      </w:r>
      <w:proofErr w:type="spellEnd"/>
      <w:r>
        <w:t xml:space="preserve"> distributions for </w:t>
      </w:r>
      <w:proofErr w:type="spellStart"/>
      <w:r>
        <w:t>ward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UCH </w:t>
      </w:r>
      <w:proofErr w:type="spellStart"/>
      <w:r>
        <w:t>parameters</w:t>
      </w:r>
      <w:proofErr w:type="spellEnd"/>
      <w:r>
        <w:t xml:space="preserve"> (</w:t>
      </w:r>
      <w:proofErr w:type="spellStart"/>
      <w:proofErr w:type="gramStart"/>
      <w:r>
        <w:t>mean</w:t>
      </w:r>
      <w:proofErr w:type="spellEnd"/>
      <w:r>
        <w:t>:</w:t>
      </w:r>
      <w:proofErr w:type="gramEnd"/>
      <w:r>
        <w:t xml:space="preserve"> 3.90, standard </w:t>
      </w:r>
      <w:proofErr w:type="spellStart"/>
      <w:r>
        <w:t>dev</w:t>
      </w:r>
      <w:r>
        <w:t>iation</w:t>
      </w:r>
      <w:proofErr w:type="spellEnd"/>
      <w:r>
        <w:t xml:space="preserve">: 3.68).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from</w:t>
      </w:r>
      <w:proofErr w:type="spellEnd"/>
      <w:r>
        <w:t xml:space="preserve"> 100 model </w:t>
      </w:r>
      <w:proofErr w:type="spellStart"/>
      <w:r>
        <w:t>runs</w:t>
      </w:r>
      <w:proofErr w:type="spellEnd"/>
      <w:r>
        <w:t xml:space="preserve">. </w:t>
      </w: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E67E95">
      <w:pPr>
        <w:jc w:val="both"/>
      </w:pPr>
      <w:r>
        <w:rPr>
          <w:noProof/>
          <w:lang w:val="en-GB"/>
        </w:rPr>
        <w:lastRenderedPageBreak/>
        <w:drawing>
          <wp:inline distT="114300" distB="114300" distL="114300" distR="114300">
            <wp:extent cx="5731200" cy="33401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3E8F" w:rsidRDefault="00E67E95">
      <w:pPr>
        <w:jc w:val="both"/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Figure </w:t>
      </w:r>
      <w:proofErr w:type="gramStart"/>
      <w:r>
        <w:rPr>
          <w:b/>
        </w:rPr>
        <w:t>4: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Using</w:t>
      </w:r>
      <w:proofErr w:type="spellEnd"/>
      <w:r>
        <w:rPr>
          <w:b/>
        </w:rPr>
        <w:t xml:space="preserve"> UCH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estimates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predict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England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occupancy</w:t>
      </w:r>
      <w:proofErr w:type="spellEnd"/>
      <w:r>
        <w:rPr>
          <w:b/>
        </w:rPr>
        <w:t xml:space="preserve">, or CO-CIN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estimates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predict</w:t>
      </w:r>
      <w:proofErr w:type="spellEnd"/>
      <w:r>
        <w:rPr>
          <w:b/>
        </w:rPr>
        <w:t xml:space="preserve"> UCH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occupancy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respectively</w:t>
      </w:r>
      <w:proofErr w:type="spellEnd"/>
      <w:r>
        <w:rPr>
          <w:b/>
        </w:rPr>
        <w:t xml:space="preserve"> lead to an </w:t>
      </w:r>
      <w:proofErr w:type="spellStart"/>
      <w:r>
        <w:rPr>
          <w:b/>
        </w:rPr>
        <w:t>underestimate</w:t>
      </w:r>
      <w:proofErr w:type="spellEnd"/>
      <w:r>
        <w:rPr>
          <w:b/>
        </w:rPr>
        <w:t xml:space="preserve"> and an </w:t>
      </w:r>
      <w:proofErr w:type="spellStart"/>
      <w:r>
        <w:rPr>
          <w:b/>
        </w:rPr>
        <w:t>overestimate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true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</w:t>
      </w:r>
      <w:r>
        <w:rPr>
          <w:b/>
        </w:rPr>
        <w:t>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occupancy</w:t>
      </w:r>
      <w:proofErr w:type="spellEnd"/>
      <w:r>
        <w:rPr>
          <w:b/>
        </w:rPr>
        <w:t xml:space="preserve">. </w:t>
      </w:r>
      <w:proofErr w:type="spellStart"/>
      <w:r>
        <w:t>Bed</w:t>
      </w:r>
      <w:proofErr w:type="spellEnd"/>
      <w:r>
        <w:t xml:space="preserve"> </w:t>
      </w:r>
      <w:proofErr w:type="spellStart"/>
      <w:r>
        <w:t>occupancy</w:t>
      </w:r>
      <w:proofErr w:type="spellEnd"/>
      <w:r>
        <w:t xml:space="preserve"> at UCH and model-</w:t>
      </w:r>
      <w:proofErr w:type="spellStart"/>
      <w:r>
        <w:t>predicted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occupancy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CO-CIN </w:t>
      </w:r>
      <w:r>
        <w:rPr>
          <w:b/>
        </w:rPr>
        <w:t>A)</w:t>
      </w:r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r>
        <w:rPr>
          <w:b/>
        </w:rPr>
        <w:t>B)</w:t>
      </w:r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. </w:t>
      </w:r>
      <w:proofErr w:type="spellStart"/>
      <w:r>
        <w:t>Bed</w:t>
      </w:r>
      <w:proofErr w:type="spellEnd"/>
      <w:r>
        <w:t xml:space="preserve"> </w:t>
      </w:r>
      <w:proofErr w:type="spellStart"/>
      <w:r>
        <w:t>occupancy</w:t>
      </w:r>
      <w:proofErr w:type="spellEnd"/>
      <w:r>
        <w:t xml:space="preserve"> in </w:t>
      </w:r>
      <w:proofErr w:type="spellStart"/>
      <w:r>
        <w:t>England</w:t>
      </w:r>
      <w:proofErr w:type="spellEnd"/>
      <w:r>
        <w:t xml:space="preserve"> and model-</w:t>
      </w:r>
      <w:proofErr w:type="spellStart"/>
      <w:r>
        <w:t>predicted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occupancy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UCH </w:t>
      </w:r>
      <w:r>
        <w:rPr>
          <w:b/>
        </w:rPr>
        <w:t xml:space="preserve">C)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or </w:t>
      </w:r>
      <w:r>
        <w:rPr>
          <w:b/>
        </w:rPr>
        <w:t xml:space="preserve">D) </w:t>
      </w:r>
      <w:proofErr w:type="spellStart"/>
      <w:r>
        <w:t>bed</w:t>
      </w:r>
      <w:proofErr w:type="spellEnd"/>
      <w:r>
        <w:t xml:space="preserve"> </w:t>
      </w:r>
      <w:proofErr w:type="spellStart"/>
      <w:r>
        <w:t>pat</w:t>
      </w:r>
      <w:r>
        <w:t>hways</w:t>
      </w:r>
      <w:proofErr w:type="spellEnd"/>
      <w:r>
        <w:t xml:space="preserve">. </w:t>
      </w:r>
      <w:proofErr w:type="spellStart"/>
      <w:r>
        <w:t>Shaded</w:t>
      </w:r>
      <w:proofErr w:type="spellEnd"/>
      <w:r>
        <w:t xml:space="preserve"> area </w:t>
      </w:r>
      <w:proofErr w:type="spellStart"/>
      <w:r>
        <w:t>is</w:t>
      </w:r>
      <w:proofErr w:type="spellEnd"/>
      <w:r>
        <w:t xml:space="preserve"> the 95% confidence </w:t>
      </w:r>
      <w:proofErr w:type="spellStart"/>
      <w:r>
        <w:t>interval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100 model </w:t>
      </w:r>
      <w:proofErr w:type="spellStart"/>
      <w:r>
        <w:t>runs</w:t>
      </w:r>
      <w:proofErr w:type="spellEnd"/>
      <w:r>
        <w:t xml:space="preserve">. Note </w:t>
      </w:r>
      <w:proofErr w:type="spellStart"/>
      <w:r>
        <w:t>that</w:t>
      </w:r>
      <w:proofErr w:type="spellEnd"/>
      <w:r>
        <w:t xml:space="preserve"> the time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UCH and </w:t>
      </w:r>
      <w:proofErr w:type="spellStart"/>
      <w:r>
        <w:t>England</w:t>
      </w:r>
      <w:proofErr w:type="spellEnd"/>
      <w:r>
        <w:t>.</w:t>
      </w: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E67E95">
      <w:pPr>
        <w:jc w:val="both"/>
      </w:pPr>
      <w:r>
        <w:rPr>
          <w:noProof/>
          <w:lang w:val="en-GB"/>
        </w:rPr>
        <w:lastRenderedPageBreak/>
        <w:drawing>
          <wp:inline distT="114300" distB="114300" distL="114300" distR="114300">
            <wp:extent cx="5731200" cy="38227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3E8F" w:rsidRDefault="00E67E95">
      <w:pPr>
        <w:jc w:val="both"/>
      </w:pPr>
      <w:proofErr w:type="spellStart"/>
      <w:r>
        <w:rPr>
          <w:b/>
        </w:rPr>
        <w:t>Supplementary</w:t>
      </w:r>
      <w:proofErr w:type="spellEnd"/>
      <w:r>
        <w:rPr>
          <w:b/>
        </w:rPr>
        <w:t xml:space="preserve"> Figure </w:t>
      </w:r>
      <w:proofErr w:type="gramStart"/>
      <w:r>
        <w:rPr>
          <w:b/>
        </w:rPr>
        <w:t>5:</w:t>
      </w:r>
      <w:proofErr w:type="gramEnd"/>
      <w:r>
        <w:rPr>
          <w:b/>
        </w:rPr>
        <w:t xml:space="preserve"> Model-</w:t>
      </w:r>
      <w:proofErr w:type="spellStart"/>
      <w:r>
        <w:rPr>
          <w:b/>
        </w:rPr>
        <w:t>predicted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occupancy</w:t>
      </w:r>
      <w:proofErr w:type="spellEnd"/>
      <w:r>
        <w:rPr>
          <w:b/>
        </w:rPr>
        <w:t xml:space="preserve"> at the NHS </w:t>
      </w:r>
      <w:proofErr w:type="spellStart"/>
      <w:r>
        <w:rPr>
          <w:b/>
        </w:rPr>
        <w:t>Region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using</w:t>
      </w:r>
      <w:proofErr w:type="spellEnd"/>
      <w:r>
        <w:rPr>
          <w:b/>
        </w:rPr>
        <w:t xml:space="preserve"> best-fit proportion of patients </w:t>
      </w:r>
      <w:proofErr w:type="spellStart"/>
      <w:r>
        <w:rPr>
          <w:b/>
        </w:rPr>
        <w:t>requiring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critical</w:t>
      </w:r>
      <w:proofErr w:type="spellEnd"/>
      <w:r>
        <w:rPr>
          <w:b/>
        </w:rPr>
        <w:t xml:space="preserve"> care (CC) </w:t>
      </w:r>
      <w:proofErr w:type="spellStart"/>
      <w:r>
        <w:rPr>
          <w:b/>
        </w:rPr>
        <w:t>bed</w:t>
      </w:r>
      <w:proofErr w:type="spellEnd"/>
      <w:r>
        <w:rPr>
          <w:b/>
        </w:rPr>
        <w:t>.</w:t>
      </w:r>
      <w:r>
        <w:t xml:space="preserve"> Best-fit proportion to CC values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by </w:t>
      </w:r>
      <w:proofErr w:type="spellStart"/>
      <w:r>
        <w:t>minimising</w:t>
      </w:r>
      <w:proofErr w:type="spellEnd"/>
      <w:r>
        <w:t xml:space="preserve"> the </w:t>
      </w:r>
      <w:proofErr w:type="spellStart"/>
      <w:r>
        <w:t>sum</w:t>
      </w:r>
      <w:proofErr w:type="spellEnd"/>
      <w:r>
        <w:t xml:space="preserve"> of </w:t>
      </w:r>
      <w:proofErr w:type="spellStart"/>
      <w:r>
        <w:t>squared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model values and data, fo</w:t>
      </w:r>
      <w:r>
        <w:t xml:space="preserve">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.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from</w:t>
      </w:r>
      <w:proofErr w:type="spellEnd"/>
      <w:r>
        <w:t xml:space="preserve"> 100 model </w:t>
      </w:r>
      <w:proofErr w:type="spellStart"/>
      <w:r>
        <w:t>runs</w:t>
      </w:r>
      <w:proofErr w:type="spellEnd"/>
      <w:r>
        <w:t xml:space="preserve">. Best-fit proportions are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Supplementary</w:t>
      </w:r>
      <w:proofErr w:type="spellEnd"/>
      <w:r>
        <w:t xml:space="preserve"> Table 3. </w:t>
      </w: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E67E95">
      <w:pPr>
        <w:jc w:val="both"/>
      </w:pPr>
      <w:r>
        <w:br w:type="page"/>
      </w:r>
    </w:p>
    <w:p w:rsidR="001D3E8F" w:rsidRDefault="00E67E95">
      <w:pPr>
        <w:jc w:val="both"/>
      </w:pPr>
      <w:proofErr w:type="spellStart"/>
      <w:r>
        <w:rPr>
          <w:b/>
        </w:rPr>
        <w:lastRenderedPageBreak/>
        <w:t>Supplementary</w:t>
      </w:r>
      <w:proofErr w:type="spellEnd"/>
      <w:r>
        <w:rPr>
          <w:b/>
        </w:rPr>
        <w:t xml:space="preserve"> Table </w:t>
      </w:r>
      <w:proofErr w:type="gramStart"/>
      <w:r>
        <w:rPr>
          <w:b/>
        </w:rPr>
        <w:t>5:</w:t>
      </w:r>
      <w:proofErr w:type="gramEnd"/>
      <w:r>
        <w:rPr>
          <w:b/>
        </w:rPr>
        <w:t xml:space="preserve"> Best </w:t>
      </w:r>
      <w:proofErr w:type="spellStart"/>
      <w:r>
        <w:rPr>
          <w:b/>
        </w:rPr>
        <w:t>fitting</w:t>
      </w:r>
      <w:proofErr w:type="spellEnd"/>
      <w:r>
        <w:rPr>
          <w:b/>
        </w:rPr>
        <w:t xml:space="preserve"> proportion of patients </w:t>
      </w:r>
      <w:proofErr w:type="spellStart"/>
      <w:r>
        <w:rPr>
          <w:b/>
        </w:rPr>
        <w:t>requiring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either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ward</w:t>
      </w:r>
      <w:proofErr w:type="spellEnd"/>
      <w:r>
        <w:rPr>
          <w:b/>
        </w:rPr>
        <w:t xml:space="preserve"> or </w:t>
      </w:r>
      <w:proofErr w:type="spellStart"/>
      <w:r>
        <w:rPr>
          <w:b/>
        </w:rPr>
        <w:t>critical</w:t>
      </w:r>
      <w:proofErr w:type="spellEnd"/>
      <w:r>
        <w:rPr>
          <w:b/>
        </w:rPr>
        <w:t xml:space="preserve"> care (CC) </w:t>
      </w:r>
      <w:proofErr w:type="spellStart"/>
      <w:r>
        <w:rPr>
          <w:b/>
        </w:rPr>
        <w:t>bed</w:t>
      </w:r>
      <w:proofErr w:type="spellEnd"/>
      <w:r>
        <w:rPr>
          <w:b/>
        </w:rPr>
        <w:t xml:space="preserve"> by NHS </w:t>
      </w:r>
      <w:proofErr w:type="spellStart"/>
      <w:r>
        <w:rPr>
          <w:b/>
        </w:rPr>
        <w:t>Regions</w:t>
      </w:r>
      <w:proofErr w:type="spellEnd"/>
      <w:r>
        <w:rPr>
          <w:b/>
        </w:rPr>
        <w:t>.</w:t>
      </w:r>
      <w:r>
        <w:t xml:space="preserve"> Th</w:t>
      </w:r>
      <w:r>
        <w:t xml:space="preserve">e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weighted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fitted</w:t>
      </w:r>
      <w:proofErr w:type="spellEnd"/>
      <w:r>
        <w:t xml:space="preserve"> proportions to </w:t>
      </w:r>
      <w:proofErr w:type="spellStart"/>
      <w:r>
        <w:t>ward</w:t>
      </w:r>
      <w:proofErr w:type="spellEnd"/>
      <w:r>
        <w:t xml:space="preserve"> or CC in NHS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weighted</w:t>
      </w:r>
      <w:proofErr w:type="spellEnd"/>
      <w:r>
        <w:t xml:space="preserve"> by the proportion of cumulative </w:t>
      </w:r>
      <w:proofErr w:type="spellStart"/>
      <w:r>
        <w:t>England</w:t>
      </w:r>
      <w:proofErr w:type="spellEnd"/>
      <w:r>
        <w:t xml:space="preserve"> hospitalisations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occured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. The </w:t>
      </w:r>
      <w:proofErr w:type="spellStart"/>
      <w:r>
        <w:t>length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values are </w:t>
      </w:r>
      <w:proofErr w:type="spellStart"/>
      <w:r>
        <w:t>fixed</w:t>
      </w:r>
      <w:proofErr w:type="spellEnd"/>
      <w:r>
        <w:t xml:space="preserve"> to the CO-CIN </w:t>
      </w:r>
      <w:proofErr w:type="spellStart"/>
      <w:r>
        <w:t>averages</w:t>
      </w:r>
      <w:proofErr w:type="spellEnd"/>
      <w:r>
        <w:t xml:space="preserve"> by </w:t>
      </w:r>
      <w:proofErr w:type="spellStart"/>
      <w:r>
        <w:t>bed</w:t>
      </w:r>
      <w:proofErr w:type="spellEnd"/>
      <w:r>
        <w:t xml:space="preserve"> t</w:t>
      </w:r>
      <w:r>
        <w:t>ype.</w:t>
      </w:r>
    </w:p>
    <w:p w:rsidR="001D3E8F" w:rsidRDefault="001D3E8F">
      <w:pPr>
        <w:jc w:val="both"/>
      </w:pPr>
    </w:p>
    <w:tbl>
      <w:tblPr>
        <w:tblStyle w:val="a3"/>
        <w:tblW w:w="7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2250"/>
        <w:gridCol w:w="1935"/>
        <w:gridCol w:w="1935"/>
      </w:tblGrid>
      <w:tr w:rsidR="001D3E8F">
        <w:trPr>
          <w:trHeight w:val="21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before="2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Fitting</w:t>
            </w:r>
            <w:proofErr w:type="spellEnd"/>
            <w:r>
              <w:rPr>
                <w:b/>
              </w:rPr>
              <w:t xml:space="preserve"> type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before="2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Geography</w:t>
            </w:r>
            <w:proofErr w:type="spell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 xml:space="preserve">Proportion to </w:t>
            </w:r>
            <w:proofErr w:type="spellStart"/>
            <w:r>
              <w:rPr>
                <w:b/>
              </w:rPr>
              <w:t>ward</w:t>
            </w:r>
            <w:proofErr w:type="spell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Proportion to CC</w:t>
            </w:r>
          </w:p>
        </w:tc>
      </w:tr>
      <w:tr w:rsidR="001D3E8F">
        <w:trPr>
          <w:trHeight w:val="16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  <w:rPr>
                <w:b/>
              </w:rPr>
            </w:pPr>
            <w:r>
              <w:rPr>
                <w:b/>
              </w:rPr>
              <w:t>CO-CIN values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England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average</w:t>
            </w:r>
            <w:proofErr w:type="spell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after="240" w:line="240" w:lineRule="auto"/>
              <w:jc w:val="both"/>
              <w:rPr>
                <w:i/>
              </w:rPr>
            </w:pPr>
            <w:r>
              <w:rPr>
                <w:i/>
              </w:rPr>
              <w:t>0.856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after="240" w:line="240" w:lineRule="auto"/>
              <w:jc w:val="both"/>
              <w:rPr>
                <w:i/>
              </w:rPr>
            </w:pPr>
            <w:r>
              <w:rPr>
                <w:i/>
              </w:rPr>
              <w:t>0.144</w:t>
            </w:r>
          </w:p>
        </w:tc>
      </w:tr>
      <w:tr w:rsidR="001D3E8F">
        <w:trPr>
          <w:trHeight w:val="195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jc w:val="both"/>
              <w:rPr>
                <w:b/>
              </w:rPr>
            </w:pPr>
            <w:r>
              <w:rPr>
                <w:b/>
              </w:rPr>
              <w:t xml:space="preserve">Best fit by </w:t>
            </w:r>
            <w:proofErr w:type="spellStart"/>
            <w:r>
              <w:rPr>
                <w:b/>
              </w:rPr>
              <w:t>Region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 xml:space="preserve">East of </w:t>
            </w:r>
            <w:proofErr w:type="spellStart"/>
            <w:r>
              <w:t>England</w:t>
            </w:r>
            <w:proofErr w:type="spellEnd"/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0.841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0.159</w:t>
            </w:r>
          </w:p>
        </w:tc>
      </w:tr>
      <w:tr w:rsidR="001D3E8F">
        <w:tc>
          <w:tcPr>
            <w:tcW w:w="16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London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0.790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0.210</w:t>
            </w:r>
          </w:p>
        </w:tc>
      </w:tr>
      <w:tr w:rsidR="001D3E8F">
        <w:tc>
          <w:tcPr>
            <w:tcW w:w="16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Midlands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0.858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0.142</w:t>
            </w:r>
          </w:p>
        </w:tc>
      </w:tr>
      <w:tr w:rsidR="001D3E8F">
        <w:tc>
          <w:tcPr>
            <w:tcW w:w="16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proofErr w:type="spellStart"/>
            <w:r>
              <w:t>North</w:t>
            </w:r>
            <w:proofErr w:type="spellEnd"/>
            <w:r>
              <w:t xml:space="preserve"> East and Yorkshire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0.864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0.136</w:t>
            </w:r>
          </w:p>
        </w:tc>
      </w:tr>
      <w:tr w:rsidR="001D3E8F">
        <w:tc>
          <w:tcPr>
            <w:tcW w:w="16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proofErr w:type="spellStart"/>
            <w:r>
              <w:t>North</w:t>
            </w:r>
            <w:proofErr w:type="spellEnd"/>
            <w:r>
              <w:t xml:space="preserve"> West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0.911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0.089</w:t>
            </w:r>
          </w:p>
        </w:tc>
      </w:tr>
      <w:tr w:rsidR="001D3E8F">
        <w:tc>
          <w:tcPr>
            <w:tcW w:w="16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South East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0.858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0.142</w:t>
            </w:r>
          </w:p>
        </w:tc>
      </w:tr>
      <w:tr w:rsidR="001D3E8F">
        <w:tc>
          <w:tcPr>
            <w:tcW w:w="16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South West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0.887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</w:pPr>
            <w:r>
              <w:t>0.113</w:t>
            </w:r>
          </w:p>
        </w:tc>
      </w:tr>
      <w:tr w:rsidR="001D3E8F">
        <w:tc>
          <w:tcPr>
            <w:tcW w:w="16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1D3E8F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England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weighted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average</w:t>
            </w:r>
            <w:proofErr w:type="spellEnd"/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0.853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E8F" w:rsidRDefault="00E67E95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0.147</w:t>
            </w:r>
          </w:p>
        </w:tc>
      </w:tr>
    </w:tbl>
    <w:p w:rsidR="001D3E8F" w:rsidRDefault="001D3E8F">
      <w:pPr>
        <w:jc w:val="both"/>
      </w:pPr>
    </w:p>
    <w:p w:rsidR="001D3E8F" w:rsidRDefault="001D3E8F">
      <w:pPr>
        <w:jc w:val="both"/>
      </w:pPr>
    </w:p>
    <w:p w:rsidR="001D3E8F" w:rsidRDefault="001D3E8F">
      <w:pPr>
        <w:jc w:val="both"/>
      </w:pPr>
    </w:p>
    <w:sectPr w:rsidR="001D3E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8F"/>
    <w:rsid w:val="001D3E8F"/>
    <w:rsid w:val="00E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D797"/>
  <w15:docId w15:val="{3F182683-48D0-4E97-8B10-9E255619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i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6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otero.org/google-docs/?i2hDqs" TargetMode="External"/><Relationship Id="rId18" Type="http://schemas.openxmlformats.org/officeDocument/2006/relationships/hyperlink" Target="https://www.zotero.org/google-docs/?RRqQCX" TargetMode="External"/><Relationship Id="rId26" Type="http://schemas.openxmlformats.org/officeDocument/2006/relationships/hyperlink" Target="https://www.zotero.org/google-docs/?NPULAX" TargetMode="External"/><Relationship Id="rId39" Type="http://schemas.openxmlformats.org/officeDocument/2006/relationships/hyperlink" Target="https://www.zotero.org/google-docs/?Of8YBh" TargetMode="External"/><Relationship Id="rId21" Type="http://schemas.openxmlformats.org/officeDocument/2006/relationships/hyperlink" Target="https://www.zotero.org/google-docs/?oSr8Hd" TargetMode="External"/><Relationship Id="rId34" Type="http://schemas.openxmlformats.org/officeDocument/2006/relationships/hyperlink" Target="https://www.zotero.org/google-docs/?Of8YBh" TargetMode="External"/><Relationship Id="rId42" Type="http://schemas.openxmlformats.org/officeDocument/2006/relationships/hyperlink" Target="https://www.zotero.org/google-docs/?Of8YBh" TargetMode="External"/><Relationship Id="rId47" Type="http://schemas.openxmlformats.org/officeDocument/2006/relationships/hyperlink" Target="https://www.zotero.org/google-docs/?Of8YBh" TargetMode="External"/><Relationship Id="rId50" Type="http://schemas.openxmlformats.org/officeDocument/2006/relationships/image" Target="media/image1.png"/><Relationship Id="rId55" Type="http://schemas.openxmlformats.org/officeDocument/2006/relationships/fontTable" Target="fontTable.xml"/><Relationship Id="rId7" Type="http://schemas.openxmlformats.org/officeDocument/2006/relationships/hyperlink" Target="https://www.zotero.org/google-docs/?IrYnfU" TargetMode="External"/><Relationship Id="rId12" Type="http://schemas.openxmlformats.org/officeDocument/2006/relationships/hyperlink" Target="https://www.zotero.org/google-docs/?4WM8Sx" TargetMode="External"/><Relationship Id="rId17" Type="http://schemas.openxmlformats.org/officeDocument/2006/relationships/hyperlink" Target="https://www.zotero.org/google-docs/?hq1Usz" TargetMode="External"/><Relationship Id="rId25" Type="http://schemas.openxmlformats.org/officeDocument/2006/relationships/hyperlink" Target="https://www.zotero.org/google-docs/?zbY7UC" TargetMode="External"/><Relationship Id="rId33" Type="http://schemas.openxmlformats.org/officeDocument/2006/relationships/hyperlink" Target="https://www.zotero.org/google-docs/?Of8YBh" TargetMode="External"/><Relationship Id="rId38" Type="http://schemas.openxmlformats.org/officeDocument/2006/relationships/hyperlink" Target="https://www.zotero.org/google-docs/?Of8YBh" TargetMode="External"/><Relationship Id="rId46" Type="http://schemas.openxmlformats.org/officeDocument/2006/relationships/hyperlink" Target="https://www.zotero.org/google-docs/?Of8YB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otero.org/google-docs/?q91vw2" TargetMode="External"/><Relationship Id="rId20" Type="http://schemas.openxmlformats.org/officeDocument/2006/relationships/hyperlink" Target="https://www.zotero.org/google-docs/?c3McCC" TargetMode="External"/><Relationship Id="rId29" Type="http://schemas.openxmlformats.org/officeDocument/2006/relationships/hyperlink" Target="https://www.zotero.org/google-docs/?Of8YBh" TargetMode="External"/><Relationship Id="rId41" Type="http://schemas.openxmlformats.org/officeDocument/2006/relationships/hyperlink" Target="https://www.zotero.org/google-docs/?Of8YBh" TargetMode="External"/><Relationship Id="rId54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www.zotero.org/google-docs/?2QgAlc" TargetMode="External"/><Relationship Id="rId11" Type="http://schemas.openxmlformats.org/officeDocument/2006/relationships/hyperlink" Target="https://www.zotero.org/google-docs/?XWtovt" TargetMode="External"/><Relationship Id="rId24" Type="http://schemas.openxmlformats.org/officeDocument/2006/relationships/hyperlink" Target="https://www.zotero.org/google-docs/?h7X9cs" TargetMode="External"/><Relationship Id="rId32" Type="http://schemas.openxmlformats.org/officeDocument/2006/relationships/hyperlink" Target="https://www.zotero.org/google-docs/?Of8YBh" TargetMode="External"/><Relationship Id="rId37" Type="http://schemas.openxmlformats.org/officeDocument/2006/relationships/hyperlink" Target="https://www.zotero.org/google-docs/?Of8YBh" TargetMode="External"/><Relationship Id="rId40" Type="http://schemas.openxmlformats.org/officeDocument/2006/relationships/hyperlink" Target="https://www.zotero.org/google-docs/?Of8YBh" TargetMode="External"/><Relationship Id="rId45" Type="http://schemas.openxmlformats.org/officeDocument/2006/relationships/hyperlink" Target="https://www.zotero.org/google-docs/?Of8YBh" TargetMode="External"/><Relationship Id="rId53" Type="http://schemas.openxmlformats.org/officeDocument/2006/relationships/image" Target="media/image4.png"/><Relationship Id="rId5" Type="http://schemas.openxmlformats.org/officeDocument/2006/relationships/hyperlink" Target="https://www.zotero.org/google-docs/?7Q4NRS" TargetMode="External"/><Relationship Id="rId15" Type="http://schemas.openxmlformats.org/officeDocument/2006/relationships/hyperlink" Target="https://www.zotero.org/google-docs/?Lc6hQf" TargetMode="External"/><Relationship Id="rId23" Type="http://schemas.openxmlformats.org/officeDocument/2006/relationships/hyperlink" Target="https://www.zotero.org/google-docs/?G0V9UM" TargetMode="External"/><Relationship Id="rId28" Type="http://schemas.openxmlformats.org/officeDocument/2006/relationships/hyperlink" Target="https://www.zotero.org/google-docs/?Of8YBh" TargetMode="External"/><Relationship Id="rId36" Type="http://schemas.openxmlformats.org/officeDocument/2006/relationships/hyperlink" Target="https://www.zotero.org/google-docs/?Of8YBh" TargetMode="External"/><Relationship Id="rId49" Type="http://schemas.openxmlformats.org/officeDocument/2006/relationships/hyperlink" Target="https://www.zotero.org/google-docs/?Of8YBh" TargetMode="External"/><Relationship Id="rId10" Type="http://schemas.openxmlformats.org/officeDocument/2006/relationships/hyperlink" Target="https://www.zotero.org/google-docs/?H2LS2O" TargetMode="External"/><Relationship Id="rId19" Type="http://schemas.openxmlformats.org/officeDocument/2006/relationships/hyperlink" Target="https://www.zotero.org/google-docs/?geOdPA" TargetMode="External"/><Relationship Id="rId31" Type="http://schemas.openxmlformats.org/officeDocument/2006/relationships/hyperlink" Target="https://www.zotero.org/google-docs/?Of8YBh" TargetMode="External"/><Relationship Id="rId44" Type="http://schemas.openxmlformats.org/officeDocument/2006/relationships/hyperlink" Target="https://www.zotero.org/google-docs/?Of8YBh" TargetMode="External"/><Relationship Id="rId52" Type="http://schemas.openxmlformats.org/officeDocument/2006/relationships/image" Target="media/image3.png"/><Relationship Id="rId4" Type="http://schemas.openxmlformats.org/officeDocument/2006/relationships/hyperlink" Target="https://www.zotero.org/google-docs/?gr9mUU" TargetMode="External"/><Relationship Id="rId9" Type="http://schemas.openxmlformats.org/officeDocument/2006/relationships/hyperlink" Target="https://www.zotero.org/google-docs/?TRKOIJ" TargetMode="External"/><Relationship Id="rId14" Type="http://schemas.openxmlformats.org/officeDocument/2006/relationships/hyperlink" Target="https://www.zotero.org/google-docs/?YoBlT6" TargetMode="External"/><Relationship Id="rId22" Type="http://schemas.openxmlformats.org/officeDocument/2006/relationships/hyperlink" Target="https://www.zotero.org/google-docs/?vZFGGa" TargetMode="External"/><Relationship Id="rId27" Type="http://schemas.openxmlformats.org/officeDocument/2006/relationships/hyperlink" Target="https://www.zotero.org/google-docs/?Of8YBh" TargetMode="External"/><Relationship Id="rId30" Type="http://schemas.openxmlformats.org/officeDocument/2006/relationships/hyperlink" Target="https://www.zotero.org/google-docs/?Of8YBh" TargetMode="External"/><Relationship Id="rId35" Type="http://schemas.openxmlformats.org/officeDocument/2006/relationships/hyperlink" Target="https://www.zotero.org/google-docs/?Of8YBh" TargetMode="External"/><Relationship Id="rId43" Type="http://schemas.openxmlformats.org/officeDocument/2006/relationships/hyperlink" Target="https://www.zotero.org/google-docs/?Of8YBh" TargetMode="External"/><Relationship Id="rId48" Type="http://schemas.openxmlformats.org/officeDocument/2006/relationships/hyperlink" Target="https://www.zotero.org/google-docs/?Of8YBh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zotero.org/google-docs/?GQN6Sb" TargetMode="External"/><Relationship Id="rId51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2460</Words>
  <Characters>14027</Characters>
  <Application>Microsoft Office Word</Application>
  <DocSecurity>0</DocSecurity>
  <Lines>116</Lines>
  <Paragraphs>32</Paragraphs>
  <ScaleCrop>false</ScaleCrop>
  <Company>London School of Hygiene &amp; Tropical Medicine</Company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Quentin Leclerc</cp:lastModifiedBy>
  <cp:revision>2</cp:revision>
  <dcterms:created xsi:type="dcterms:W3CDTF">2021-01-14T12:39:00Z</dcterms:created>
  <dcterms:modified xsi:type="dcterms:W3CDTF">2021-01-14T12:40:00Z</dcterms:modified>
</cp:coreProperties>
</file>