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CA8E" w14:textId="77777777" w:rsidR="00593E1B" w:rsidRDefault="00593E1B" w:rsidP="00593E1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Data</w:t>
      </w:r>
    </w:p>
    <w:p w14:paraId="736B958E" w14:textId="77777777" w:rsidR="00593E1B" w:rsidRDefault="00593E1B" w:rsidP="00593E1B">
      <w:pPr>
        <w:spacing w:line="480" w:lineRule="auto"/>
        <w:rPr>
          <w:rFonts w:ascii="Arial" w:hAnsi="Arial" w:cs="Arial"/>
          <w:b/>
        </w:rPr>
      </w:pPr>
    </w:p>
    <w:p w14:paraId="6034A05B" w14:textId="77777777" w:rsidR="008420C2" w:rsidRPr="00D1779D" w:rsidRDefault="008420C2" w:rsidP="008420C2">
      <w:pPr>
        <w:spacing w:line="480" w:lineRule="auto"/>
        <w:rPr>
          <w:rFonts w:ascii="Arial" w:hAnsi="Arial" w:cs="Arial"/>
          <w:b/>
        </w:rPr>
      </w:pPr>
      <w:r w:rsidRPr="00D1779D">
        <w:rPr>
          <w:rFonts w:ascii="Arial" w:hAnsi="Arial" w:cs="Arial"/>
          <w:b/>
        </w:rPr>
        <w:t>I</w:t>
      </w:r>
      <w:r>
        <w:rPr>
          <w:rFonts w:ascii="Arial" w:hAnsi="Arial" w:cs="Arial"/>
          <w:b/>
          <w:lang w:val="en-US"/>
        </w:rPr>
        <w:t>L</w:t>
      </w:r>
      <w:r w:rsidRPr="00D1779D">
        <w:rPr>
          <w:rFonts w:ascii="Arial" w:hAnsi="Arial" w:cs="Arial"/>
          <w:b/>
        </w:rPr>
        <w:t xml:space="preserve">-1 Mediates Tissue Specific Inflammation and Severe Respiratory Failure </w:t>
      </w:r>
      <w:proofErr w:type="gramStart"/>
      <w:r w:rsidRPr="00D1779D">
        <w:rPr>
          <w:rFonts w:ascii="Arial" w:hAnsi="Arial" w:cs="Arial"/>
          <w:b/>
        </w:rPr>
        <w:t>In</w:t>
      </w:r>
      <w:proofErr w:type="gramEnd"/>
      <w:r w:rsidRPr="00D1779D">
        <w:rPr>
          <w:rFonts w:ascii="Arial" w:hAnsi="Arial" w:cs="Arial"/>
          <w:b/>
        </w:rPr>
        <w:t xml:space="preserve"> Covid-19: Clinical And Experimental Evidence</w:t>
      </w:r>
    </w:p>
    <w:p w14:paraId="5DF89BFF" w14:textId="77777777" w:rsidR="008420C2" w:rsidRPr="001E5D99" w:rsidRDefault="008420C2" w:rsidP="008420C2">
      <w:pPr>
        <w:spacing w:line="480" w:lineRule="auto"/>
        <w:rPr>
          <w:rFonts w:ascii="Arial" w:hAnsi="Arial" w:cs="Arial"/>
          <w:b/>
        </w:rPr>
      </w:pPr>
    </w:p>
    <w:p w14:paraId="258576C8" w14:textId="77777777" w:rsidR="008420C2" w:rsidRPr="001E5D99" w:rsidRDefault="008420C2" w:rsidP="008420C2">
      <w:pPr>
        <w:spacing w:line="480" w:lineRule="auto"/>
        <w:rPr>
          <w:rFonts w:ascii="Arial" w:hAnsi="Arial" w:cs="Arial"/>
          <w:b/>
        </w:rPr>
      </w:pPr>
      <w:r w:rsidRPr="001E5D99">
        <w:rPr>
          <w:rFonts w:ascii="Arial" w:hAnsi="Arial" w:cs="Arial"/>
          <w:b/>
        </w:rPr>
        <w:t xml:space="preserve">Running heading: </w:t>
      </w:r>
      <w:r>
        <w:rPr>
          <w:rFonts w:ascii="Arial" w:hAnsi="Arial" w:cs="Arial"/>
          <w:b/>
        </w:rPr>
        <w:t>IL-1</w:t>
      </w:r>
      <w:r>
        <w:rPr>
          <w:rFonts w:ascii="Arial" w:hAnsi="Arial" w:cs="Arial"/>
          <w:b/>
          <w:lang w:val="en-US"/>
        </w:rPr>
        <w:t xml:space="preserve"> bioactivity </w:t>
      </w:r>
      <w:r w:rsidRPr="001E5D99">
        <w:rPr>
          <w:rFonts w:ascii="Arial" w:hAnsi="Arial" w:cs="Arial"/>
          <w:b/>
        </w:rPr>
        <w:t>in COVID-19</w:t>
      </w:r>
    </w:p>
    <w:p w14:paraId="0C2A94C6" w14:textId="77777777" w:rsidR="008420C2" w:rsidRPr="001E5D99" w:rsidRDefault="008420C2" w:rsidP="008420C2">
      <w:pPr>
        <w:spacing w:line="480" w:lineRule="auto"/>
        <w:rPr>
          <w:rFonts w:ascii="Arial" w:hAnsi="Arial" w:cs="Arial"/>
          <w:b/>
        </w:rPr>
      </w:pPr>
    </w:p>
    <w:p w14:paraId="589A39A8" w14:textId="77777777" w:rsidR="008420C2" w:rsidRPr="007D2412" w:rsidRDefault="008420C2" w:rsidP="008420C2">
      <w:pPr>
        <w:spacing w:line="480" w:lineRule="auto"/>
        <w:rPr>
          <w:rFonts w:ascii="Arial" w:eastAsia="Times New Roman" w:hAnsi="Arial" w:cs="Arial"/>
          <w:b/>
          <w:lang w:eastAsia="en-GB"/>
        </w:rPr>
      </w:pPr>
      <w:r w:rsidRPr="001E5D99">
        <w:rPr>
          <w:rFonts w:ascii="Arial" w:hAnsi="Arial" w:cs="Arial"/>
          <w:b/>
        </w:rPr>
        <w:t>Georgios Renieris</w:t>
      </w:r>
      <w:r w:rsidRPr="001E5D99">
        <w:rPr>
          <w:rFonts w:ascii="Arial" w:hAnsi="Arial" w:cs="Arial"/>
          <w:b/>
          <w:vertAlign w:val="superscript"/>
        </w:rPr>
        <w:t>1</w:t>
      </w:r>
      <w:r w:rsidRPr="001E5D9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Eleni Karakike</w:t>
      </w:r>
      <w:r w:rsidRPr="001E5D99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 xml:space="preserve">, </w:t>
      </w:r>
      <w:proofErr w:type="spellStart"/>
      <w:r w:rsidRPr="001E5D99">
        <w:rPr>
          <w:rFonts w:ascii="Arial" w:hAnsi="Arial" w:cs="Arial"/>
          <w:b/>
        </w:rPr>
        <w:t>Theologia</w:t>
      </w:r>
      <w:proofErr w:type="spellEnd"/>
      <w:r w:rsidRPr="001E5D99">
        <w:rPr>
          <w:rFonts w:ascii="Arial" w:hAnsi="Arial" w:cs="Arial"/>
          <w:b/>
        </w:rPr>
        <w:t xml:space="preserve"> Gkavogianni</w:t>
      </w:r>
      <w:r w:rsidRPr="001E5D99">
        <w:rPr>
          <w:rFonts w:ascii="Arial" w:hAnsi="Arial" w:cs="Arial"/>
          <w:b/>
          <w:vertAlign w:val="superscript"/>
        </w:rPr>
        <w:t>1</w:t>
      </w:r>
      <w:r w:rsidRPr="001E5D99">
        <w:rPr>
          <w:rFonts w:ascii="Arial" w:hAnsi="Arial" w:cs="Arial"/>
          <w:b/>
        </w:rPr>
        <w:t>, Dionysia- Eirini Droggiti</w:t>
      </w:r>
      <w:r w:rsidRPr="001E5D99">
        <w:rPr>
          <w:rFonts w:ascii="Arial" w:hAnsi="Arial" w:cs="Arial"/>
          <w:b/>
          <w:vertAlign w:val="superscript"/>
        </w:rPr>
        <w:t>1</w:t>
      </w:r>
      <w:r w:rsidRPr="001E5D9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 w:rsidRPr="001E5D99">
        <w:rPr>
          <w:rFonts w:ascii="Arial" w:hAnsi="Arial" w:cs="Arial"/>
          <w:b/>
        </w:rPr>
        <w:t>Dionysios</w:t>
      </w:r>
      <w:proofErr w:type="spellEnd"/>
      <w:r w:rsidRPr="001E5D99">
        <w:rPr>
          <w:rFonts w:ascii="Arial" w:hAnsi="Arial" w:cs="Arial"/>
          <w:b/>
        </w:rPr>
        <w:t xml:space="preserve"> Kafousopoulos</w:t>
      </w:r>
      <w:r w:rsidRPr="001E5D99">
        <w:rPr>
          <w:rFonts w:ascii="Arial" w:hAnsi="Arial" w:cs="Arial"/>
          <w:b/>
          <w:vertAlign w:val="superscript"/>
        </w:rPr>
        <w:t>1</w:t>
      </w:r>
      <w:r w:rsidRPr="001E5D9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Mihai G. Netea</w:t>
      </w:r>
      <w:r>
        <w:rPr>
          <w:rFonts w:ascii="Arial" w:hAnsi="Arial" w:cs="Arial"/>
          <w:b/>
          <w:vertAlign w:val="superscript"/>
        </w:rPr>
        <w:t>2</w:t>
      </w:r>
      <w:r w:rsidRPr="00263CC2">
        <w:rPr>
          <w:rFonts w:ascii="Arial" w:hAnsi="Arial" w:cs="Arial"/>
          <w:b/>
          <w:vertAlign w:val="superscript"/>
        </w:rPr>
        <w:t>,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>, Jesper Eugen-Olsen</w:t>
      </w:r>
      <w:r>
        <w:rPr>
          <w:rFonts w:ascii="Arial" w:hAnsi="Arial" w:cs="Arial"/>
          <w:b/>
          <w:vertAlign w:val="superscript"/>
        </w:rPr>
        <w:t>4</w:t>
      </w:r>
      <w:r>
        <w:rPr>
          <w:rFonts w:ascii="Arial" w:hAnsi="Arial" w:cs="Arial"/>
          <w:b/>
        </w:rPr>
        <w:t xml:space="preserve">, </w:t>
      </w:r>
      <w:r w:rsidRPr="00895DF8">
        <w:rPr>
          <w:rFonts w:ascii="Arial" w:hAnsi="Arial" w:cs="Arial"/>
          <w:b/>
          <w:bCs/>
        </w:rPr>
        <w:t>John Simard</w:t>
      </w:r>
      <w:r>
        <w:rPr>
          <w:rFonts w:ascii="Arial" w:hAnsi="Arial" w:cs="Arial"/>
          <w:b/>
          <w:bCs/>
          <w:vertAlign w:val="superscript"/>
        </w:rPr>
        <w:t>5</w:t>
      </w:r>
      <w:r w:rsidRPr="00895DF8">
        <w:rPr>
          <w:rFonts w:ascii="Arial" w:hAnsi="Arial" w:cs="Arial"/>
          <w:b/>
          <w:bCs/>
        </w:rPr>
        <w:t xml:space="preserve">, </w:t>
      </w:r>
      <w:proofErr w:type="spellStart"/>
      <w:r w:rsidRPr="00895DF8">
        <w:rPr>
          <w:rFonts w:ascii="Arial" w:hAnsi="Arial" w:cs="Arial"/>
          <w:b/>
          <w:bCs/>
        </w:rPr>
        <w:t>Evangelos</w:t>
      </w:r>
      <w:proofErr w:type="spellEnd"/>
      <w:r w:rsidRPr="00895DF8">
        <w:rPr>
          <w:rFonts w:ascii="Arial" w:hAnsi="Arial" w:cs="Arial"/>
          <w:b/>
          <w:bCs/>
        </w:rPr>
        <w:t xml:space="preserve"> J. Giamarellos-Bourboulis</w:t>
      </w:r>
      <w:r w:rsidRPr="00895DF8">
        <w:rPr>
          <w:rFonts w:ascii="Arial" w:hAnsi="Arial" w:cs="Arial"/>
          <w:b/>
          <w:bCs/>
          <w:vertAlign w:val="superscript"/>
        </w:rPr>
        <w:t>1</w:t>
      </w:r>
    </w:p>
    <w:p w14:paraId="2FA2D80B" w14:textId="77777777" w:rsidR="008420C2" w:rsidRPr="00674341" w:rsidRDefault="008420C2" w:rsidP="008420C2">
      <w:pPr>
        <w:spacing w:line="480" w:lineRule="auto"/>
        <w:rPr>
          <w:rFonts w:ascii="Arial" w:hAnsi="Arial" w:cs="Arial"/>
          <w:b/>
          <w:bCs/>
          <w:lang w:val="en-US"/>
        </w:rPr>
      </w:pPr>
    </w:p>
    <w:p w14:paraId="1546FB0F" w14:textId="77777777" w:rsidR="008420C2" w:rsidRDefault="008420C2" w:rsidP="008420C2">
      <w:pPr>
        <w:spacing w:line="480" w:lineRule="auto"/>
        <w:rPr>
          <w:rFonts w:ascii="Arial" w:hAnsi="Arial" w:cs="Arial"/>
          <w:b/>
          <w:bCs/>
        </w:rPr>
      </w:pPr>
      <w:r w:rsidRPr="00895DF8"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hAnsi="Arial" w:cs="Arial"/>
          <w:b/>
          <w:bCs/>
          <w:vertAlign w:val="superscript"/>
        </w:rPr>
        <w:t xml:space="preserve"> </w:t>
      </w:r>
      <w:r w:rsidRPr="00895DF8">
        <w:rPr>
          <w:rFonts w:ascii="Arial" w:hAnsi="Arial" w:cs="Arial"/>
          <w:b/>
          <w:bCs/>
        </w:rPr>
        <w:t>4</w:t>
      </w:r>
      <w:r w:rsidRPr="00895DF8">
        <w:rPr>
          <w:rFonts w:ascii="Arial" w:hAnsi="Arial" w:cs="Arial"/>
          <w:b/>
          <w:bCs/>
          <w:vertAlign w:val="superscript"/>
        </w:rPr>
        <w:t>th</w:t>
      </w:r>
      <w:r w:rsidRPr="00895DF8">
        <w:rPr>
          <w:rFonts w:ascii="Arial" w:hAnsi="Arial" w:cs="Arial"/>
          <w:b/>
          <w:bCs/>
        </w:rPr>
        <w:t xml:space="preserve"> Department of Internal Medicine, National and </w:t>
      </w:r>
      <w:proofErr w:type="spellStart"/>
      <w:r w:rsidRPr="00895DF8">
        <w:rPr>
          <w:rFonts w:ascii="Arial" w:hAnsi="Arial" w:cs="Arial"/>
          <w:b/>
          <w:bCs/>
        </w:rPr>
        <w:t>Kapodistrian</w:t>
      </w:r>
      <w:proofErr w:type="spellEnd"/>
      <w:r w:rsidRPr="00895DF8">
        <w:rPr>
          <w:rFonts w:ascii="Arial" w:hAnsi="Arial" w:cs="Arial"/>
          <w:b/>
          <w:bCs/>
        </w:rPr>
        <w:t xml:space="preserve"> University of Athens, </w:t>
      </w:r>
      <w:r w:rsidRPr="00895DF8">
        <w:rPr>
          <w:rFonts w:ascii="Arial" w:hAnsi="Arial" w:cs="Arial"/>
          <w:b/>
          <w:bCs/>
          <w:lang w:val="en-US"/>
        </w:rPr>
        <w:t xml:space="preserve">Medical School, </w:t>
      </w:r>
      <w:r w:rsidRPr="00895DF8">
        <w:rPr>
          <w:rFonts w:ascii="Arial" w:hAnsi="Arial" w:cs="Arial"/>
          <w:b/>
          <w:bCs/>
        </w:rPr>
        <w:t>124 62 Athens, Greece</w:t>
      </w:r>
    </w:p>
    <w:p w14:paraId="5F1A38DA" w14:textId="77777777" w:rsidR="008420C2" w:rsidRPr="00263CC2" w:rsidRDefault="008420C2" w:rsidP="008420C2">
      <w:pPr>
        <w:autoSpaceDE w:val="0"/>
        <w:autoSpaceDN w:val="0"/>
        <w:adjustRightInd w:val="0"/>
        <w:spacing w:line="480" w:lineRule="auto"/>
        <w:rPr>
          <w:rFonts w:ascii="Arial" w:eastAsia="SimSun" w:hAnsi="Arial" w:cs="Arial"/>
          <w:b/>
          <w:bCs/>
        </w:rPr>
      </w:pPr>
      <w:r>
        <w:rPr>
          <w:rFonts w:ascii="Arial" w:eastAsia="SimSun" w:hAnsi="Arial" w:cs="Arial"/>
          <w:b/>
          <w:bCs/>
          <w:vertAlign w:val="superscript"/>
        </w:rPr>
        <w:t>2</w:t>
      </w:r>
      <w:r w:rsidRPr="00263CC2">
        <w:rPr>
          <w:rFonts w:ascii="Arial" w:eastAsia="SimSun" w:hAnsi="Arial" w:cs="Arial"/>
          <w:b/>
          <w:bCs/>
        </w:rPr>
        <w:t>Immunology and Metabolism, Life &amp; Medical Sciences Institute, University of Bonn, 53115 Bonn, Germany</w:t>
      </w:r>
    </w:p>
    <w:p w14:paraId="0C03EB33" w14:textId="77777777" w:rsidR="008420C2" w:rsidRPr="00263CC2" w:rsidRDefault="008420C2" w:rsidP="008420C2">
      <w:pPr>
        <w:spacing w:line="480" w:lineRule="auto"/>
        <w:rPr>
          <w:rFonts w:ascii="Arial" w:hAnsi="Arial" w:cs="Arial"/>
          <w:b/>
          <w:bCs/>
          <w:lang w:val="en-US" w:eastAsia="el-GR"/>
        </w:rPr>
      </w:pPr>
      <w:r>
        <w:rPr>
          <w:rFonts w:ascii="Arial" w:eastAsia="SimSun" w:hAnsi="Arial" w:cs="Arial"/>
          <w:b/>
          <w:bCs/>
          <w:vertAlign w:val="superscript"/>
        </w:rPr>
        <w:t>3</w:t>
      </w:r>
      <w:r w:rsidRPr="00263CC2">
        <w:rPr>
          <w:rFonts w:ascii="Arial" w:eastAsia="SimSun" w:hAnsi="Arial" w:cs="Arial"/>
          <w:b/>
          <w:bCs/>
        </w:rPr>
        <w:t xml:space="preserve">Department of Internal Medicine and </w:t>
      </w:r>
      <w:proofErr w:type="spellStart"/>
      <w:r w:rsidRPr="00263CC2">
        <w:rPr>
          <w:rFonts w:ascii="Arial" w:eastAsia="SimSun" w:hAnsi="Arial" w:cs="Arial"/>
          <w:b/>
          <w:bCs/>
        </w:rPr>
        <w:t>Center</w:t>
      </w:r>
      <w:proofErr w:type="spellEnd"/>
      <w:r w:rsidRPr="00263CC2">
        <w:rPr>
          <w:rFonts w:ascii="Arial" w:eastAsia="SimSun" w:hAnsi="Arial" w:cs="Arial"/>
          <w:b/>
          <w:bCs/>
        </w:rPr>
        <w:t xml:space="preserve"> for Infectious Diseases, Radboud University, 6500 Nijmegen, the Netherlands</w:t>
      </w:r>
    </w:p>
    <w:p w14:paraId="0D62BB81" w14:textId="77777777" w:rsidR="008420C2" w:rsidRPr="000954D2" w:rsidRDefault="008420C2" w:rsidP="008420C2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vertAlign w:val="superscript"/>
        </w:rPr>
        <w:t>4</w:t>
      </w:r>
      <w:r>
        <w:rPr>
          <w:rFonts w:ascii="Arial" w:hAnsi="Arial" w:cs="Arial"/>
          <w:b/>
        </w:rPr>
        <w:t>Department of C</w:t>
      </w:r>
      <w:r w:rsidRPr="000954D2">
        <w:rPr>
          <w:rFonts w:ascii="Arial" w:hAnsi="Arial" w:cs="Arial"/>
          <w:b/>
        </w:rPr>
        <w:t xml:space="preserve">linical Research, Copenhagen University Hospital Hvidovre, </w:t>
      </w:r>
      <w:r>
        <w:rPr>
          <w:rFonts w:ascii="Arial" w:hAnsi="Arial" w:cs="Arial"/>
          <w:b/>
        </w:rPr>
        <w:t xml:space="preserve">2650 Hvidovre, </w:t>
      </w:r>
      <w:r w:rsidRPr="000954D2">
        <w:rPr>
          <w:rFonts w:ascii="Arial" w:hAnsi="Arial" w:cs="Arial"/>
          <w:b/>
        </w:rPr>
        <w:t>Denmark</w:t>
      </w:r>
    </w:p>
    <w:p w14:paraId="1FBFEB47" w14:textId="77777777" w:rsidR="008420C2" w:rsidRPr="000954D2" w:rsidRDefault="008420C2" w:rsidP="008420C2">
      <w:pPr>
        <w:spacing w:line="480" w:lineRule="auto"/>
        <w:rPr>
          <w:b/>
        </w:rPr>
      </w:pPr>
      <w:r>
        <w:rPr>
          <w:rFonts w:ascii="Arial" w:hAnsi="Arial" w:cs="Arial"/>
          <w:b/>
          <w:bCs/>
          <w:vertAlign w:val="superscript"/>
        </w:rPr>
        <w:t>5</w:t>
      </w:r>
      <w:r w:rsidRPr="000954D2">
        <w:rPr>
          <w:rFonts w:ascii="Arial" w:hAnsi="Arial" w:cs="Arial"/>
          <w:b/>
          <w:bCs/>
        </w:rPr>
        <w:t xml:space="preserve">XBiotech, </w:t>
      </w:r>
      <w:r w:rsidRPr="000954D2">
        <w:rPr>
          <w:rFonts w:ascii="Arial" w:hAnsi="Arial" w:cs="Arial"/>
          <w:b/>
          <w:bCs/>
          <w:color w:val="202124"/>
          <w:shd w:val="clear" w:color="auto" w:fill="FFFFFF"/>
        </w:rPr>
        <w:t>78744</w:t>
      </w:r>
      <w:r w:rsidRPr="000954D2">
        <w:rPr>
          <w:b/>
          <w:bCs/>
        </w:rPr>
        <w:t xml:space="preserve"> </w:t>
      </w:r>
      <w:r w:rsidRPr="000954D2">
        <w:rPr>
          <w:rFonts w:ascii="Arial" w:hAnsi="Arial" w:cs="Arial"/>
          <w:b/>
          <w:bCs/>
        </w:rPr>
        <w:t>Austin, Texas, USA</w:t>
      </w:r>
    </w:p>
    <w:p w14:paraId="20B1CB1A" w14:textId="77777777" w:rsidR="008420C2" w:rsidRDefault="008420C2" w:rsidP="008420C2">
      <w:pPr>
        <w:spacing w:line="480" w:lineRule="auto"/>
        <w:rPr>
          <w:rFonts w:ascii="Arial" w:hAnsi="Arial" w:cs="Arial"/>
          <w:b/>
        </w:rPr>
      </w:pPr>
    </w:p>
    <w:p w14:paraId="1E4836F6" w14:textId="7B2F49F1" w:rsidR="000F2D70" w:rsidRPr="008420C2" w:rsidRDefault="000F2D70" w:rsidP="000F2D70">
      <w:pPr>
        <w:spacing w:line="480" w:lineRule="auto"/>
        <w:rPr>
          <w:b/>
          <w:lang w:val="de-DE"/>
        </w:rPr>
      </w:pPr>
    </w:p>
    <w:p w14:paraId="11162327" w14:textId="77777777" w:rsidR="00593E1B" w:rsidRPr="00135AAF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</w:p>
    <w:p w14:paraId="3B316378" w14:textId="77777777" w:rsidR="00593E1B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</w:p>
    <w:p w14:paraId="60A75014" w14:textId="77777777" w:rsidR="00593E1B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</w:p>
    <w:p w14:paraId="0C87471D" w14:textId="77777777" w:rsidR="00456E13" w:rsidRDefault="00456E13" w:rsidP="00456E13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  <w:r>
        <w:rPr>
          <w:rFonts w:ascii="Arial" w:hAnsi="Arial" w:cs="Arial"/>
          <w:noProof/>
          <w:color w:val="000000"/>
          <w:spacing w:val="-4"/>
          <w:kern w:val="1"/>
          <w:lang w:eastAsia="en-GB"/>
        </w:rPr>
        <w:lastRenderedPageBreak/>
        <w:drawing>
          <wp:inline distT="0" distB="0" distL="0" distR="0" wp14:anchorId="10A37C4E" wp14:editId="6AE488FC">
            <wp:extent cx="5727700" cy="4006215"/>
            <wp:effectExtent l="0" t="0" r="0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FDF67" w14:textId="77777777" w:rsidR="00456E13" w:rsidRDefault="00456E13" w:rsidP="00456E13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</w:p>
    <w:p w14:paraId="27EA5147" w14:textId="2257E29A" w:rsidR="00456E13" w:rsidRDefault="00456E13" w:rsidP="00456E13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  <w:r w:rsidRPr="001E5D99">
        <w:rPr>
          <w:rFonts w:ascii="Arial" w:hAnsi="Arial" w:cs="Arial"/>
          <w:b/>
          <w:bCs/>
          <w:color w:val="000000"/>
          <w:spacing w:val="-4"/>
          <w:kern w:val="1"/>
        </w:rPr>
        <w:t xml:space="preserve">Figure 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>S1</w:t>
      </w:r>
      <w:r w:rsidRPr="001E5D99">
        <w:rPr>
          <w:rFonts w:ascii="Arial" w:hAnsi="Arial" w:cs="Arial"/>
          <w:b/>
          <w:bCs/>
          <w:color w:val="000000"/>
          <w:spacing w:val="-4"/>
          <w:kern w:val="1"/>
        </w:rPr>
        <w:t xml:space="preserve"> I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>L</w:t>
      </w:r>
      <w:r w:rsidRPr="001E5D99">
        <w:rPr>
          <w:rFonts w:ascii="Arial" w:hAnsi="Arial" w:cs="Arial"/>
          <w:b/>
          <w:bCs/>
          <w:color w:val="000000"/>
          <w:spacing w:val="-4"/>
          <w:kern w:val="1"/>
        </w:rPr>
        <w:t xml:space="preserve">-1 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>inhibition does not affect Th17 responses in COVID-19</w:t>
      </w:r>
    </w:p>
    <w:p w14:paraId="633CE8FB" w14:textId="77777777" w:rsidR="00456E13" w:rsidRDefault="00456E13" w:rsidP="00456E13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  <w:r>
        <w:rPr>
          <w:rFonts w:ascii="Arial" w:hAnsi="Arial" w:cs="Arial"/>
          <w:color w:val="111111"/>
          <w:spacing w:val="-4"/>
          <w:kern w:val="1"/>
          <w:lang w:val="en-US"/>
        </w:rPr>
        <w:t>A-B) In a</w:t>
      </w:r>
      <w:r w:rsidRPr="00AE20BF">
        <w:rPr>
          <w:rFonts w:ascii="Arial" w:hAnsi="Arial" w:cs="Arial"/>
          <w:color w:val="111111"/>
          <w:spacing w:val="-4"/>
          <w:kern w:val="1"/>
          <w:lang w:val="en-US"/>
        </w:rPr>
        <w:t xml:space="preserve"> COVID- like infection model</w:t>
      </w:r>
      <w:r>
        <w:rPr>
          <w:rFonts w:ascii="Arial" w:hAnsi="Arial" w:cs="Arial"/>
          <w:color w:val="111111"/>
          <w:spacing w:val="-4"/>
          <w:kern w:val="1"/>
          <w:lang w:val="en-US"/>
        </w:rPr>
        <w:t xml:space="preserve">, </w:t>
      </w:r>
      <w:r w:rsidRPr="00AE20BF">
        <w:rPr>
          <w:rFonts w:ascii="Arial" w:hAnsi="Arial" w:cs="Arial"/>
          <w:color w:val="111111"/>
          <w:spacing w:val="-4"/>
          <w:kern w:val="1"/>
        </w:rPr>
        <w:t>C57</w:t>
      </w:r>
      <w:r>
        <w:rPr>
          <w:rFonts w:ascii="Arial" w:hAnsi="Arial" w:cs="Arial"/>
          <w:color w:val="111111"/>
          <w:spacing w:val="-4"/>
          <w:kern w:val="1"/>
        </w:rPr>
        <w:t>B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l6 mice were </w:t>
      </w:r>
      <w:r>
        <w:rPr>
          <w:rFonts w:ascii="Arial" w:hAnsi="Arial" w:cs="Arial"/>
          <w:color w:val="111111"/>
          <w:spacing w:val="-4"/>
          <w:kern w:val="1"/>
        </w:rPr>
        <w:t>treat</w:t>
      </w:r>
      <w:r w:rsidRPr="00AE20BF">
        <w:rPr>
          <w:rFonts w:ascii="Arial" w:hAnsi="Arial" w:cs="Arial"/>
          <w:color w:val="111111"/>
          <w:spacing w:val="-4"/>
          <w:kern w:val="1"/>
        </w:rPr>
        <w:t>ed intravenously (</w:t>
      </w:r>
      <w:proofErr w:type="spellStart"/>
      <w:r w:rsidRPr="00AE20BF">
        <w:rPr>
          <w:rFonts w:ascii="Arial" w:hAnsi="Arial" w:cs="Arial"/>
          <w:color w:val="111111"/>
          <w:spacing w:val="-4"/>
          <w:kern w:val="1"/>
        </w:rPr>
        <w:t>i.v.</w:t>
      </w:r>
      <w:proofErr w:type="spellEnd"/>
      <w:r w:rsidRPr="00AE20BF">
        <w:rPr>
          <w:rFonts w:ascii="Arial" w:hAnsi="Arial" w:cs="Arial"/>
          <w:color w:val="111111"/>
          <w:spacing w:val="-4"/>
          <w:kern w:val="1"/>
        </w:rPr>
        <w:t>) with plasma of healthy volunteer</w:t>
      </w:r>
      <w:r>
        <w:rPr>
          <w:rFonts w:ascii="Arial" w:hAnsi="Arial" w:cs="Arial"/>
          <w:color w:val="111111"/>
          <w:spacing w:val="-4"/>
          <w:kern w:val="1"/>
        </w:rPr>
        <w:t>s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 or patient</w:t>
      </w:r>
      <w:r>
        <w:rPr>
          <w:rFonts w:ascii="Arial" w:hAnsi="Arial" w:cs="Arial"/>
          <w:color w:val="111111"/>
          <w:spacing w:val="-4"/>
          <w:kern w:val="1"/>
        </w:rPr>
        <w:t>s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 with ARDS due to COVID-19 for three consecutive days. </w:t>
      </w:r>
    </w:p>
    <w:p w14:paraId="32C2DD5F" w14:textId="77777777" w:rsidR="00456E13" w:rsidRDefault="00456E13" w:rsidP="00456E13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  <w:r>
        <w:rPr>
          <w:rFonts w:ascii="Arial" w:hAnsi="Arial" w:cs="Arial"/>
          <w:color w:val="111111"/>
          <w:spacing w:val="-4"/>
          <w:kern w:val="1"/>
          <w:lang w:val="en-US"/>
        </w:rPr>
        <w:t>C-D) In a</w:t>
      </w:r>
      <w:r w:rsidRPr="00AE20BF">
        <w:rPr>
          <w:rFonts w:ascii="Arial" w:hAnsi="Arial" w:cs="Arial"/>
          <w:color w:val="111111"/>
          <w:spacing w:val="-4"/>
          <w:kern w:val="1"/>
          <w:lang w:val="en-US"/>
        </w:rPr>
        <w:t xml:space="preserve"> COVID- like infection model</w:t>
      </w:r>
      <w:r>
        <w:rPr>
          <w:rFonts w:ascii="Arial" w:hAnsi="Arial" w:cs="Arial"/>
          <w:color w:val="111111"/>
          <w:spacing w:val="-4"/>
          <w:kern w:val="1"/>
          <w:lang w:val="en-US"/>
        </w:rPr>
        <w:t xml:space="preserve">, </w:t>
      </w:r>
      <w:r w:rsidRPr="00AE20BF">
        <w:rPr>
          <w:rFonts w:ascii="Arial" w:hAnsi="Arial" w:cs="Arial"/>
          <w:color w:val="111111"/>
          <w:spacing w:val="-4"/>
          <w:kern w:val="1"/>
        </w:rPr>
        <w:t>C57</w:t>
      </w:r>
      <w:r>
        <w:rPr>
          <w:rFonts w:ascii="Arial" w:hAnsi="Arial" w:cs="Arial"/>
          <w:color w:val="111111"/>
          <w:spacing w:val="-4"/>
          <w:kern w:val="1"/>
        </w:rPr>
        <w:t>B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l6 mice were </w:t>
      </w:r>
      <w:r>
        <w:rPr>
          <w:rFonts w:ascii="Arial" w:hAnsi="Arial" w:cs="Arial"/>
          <w:color w:val="111111"/>
          <w:spacing w:val="-4"/>
          <w:kern w:val="1"/>
        </w:rPr>
        <w:t>treated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 intravenously (</w:t>
      </w:r>
      <w:proofErr w:type="spellStart"/>
      <w:r w:rsidRPr="00AE20BF">
        <w:rPr>
          <w:rFonts w:ascii="Arial" w:hAnsi="Arial" w:cs="Arial"/>
          <w:color w:val="111111"/>
          <w:spacing w:val="-4"/>
          <w:kern w:val="1"/>
        </w:rPr>
        <w:t>i.v.</w:t>
      </w:r>
      <w:proofErr w:type="spellEnd"/>
      <w:r w:rsidRPr="00AE20BF">
        <w:rPr>
          <w:rFonts w:ascii="Arial" w:hAnsi="Arial" w:cs="Arial"/>
          <w:color w:val="111111"/>
          <w:spacing w:val="-4"/>
          <w:kern w:val="1"/>
        </w:rPr>
        <w:t>) with plasma of patient</w:t>
      </w:r>
      <w:r>
        <w:rPr>
          <w:rFonts w:ascii="Arial" w:hAnsi="Arial" w:cs="Arial"/>
          <w:color w:val="111111"/>
          <w:spacing w:val="-4"/>
          <w:kern w:val="1"/>
        </w:rPr>
        <w:t>s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 with ARDS due to COVID-19 </w:t>
      </w:r>
      <w:r>
        <w:rPr>
          <w:rFonts w:ascii="Arial" w:hAnsi="Arial" w:cs="Arial"/>
          <w:color w:val="111111"/>
          <w:spacing w:val="-4"/>
          <w:kern w:val="1"/>
        </w:rPr>
        <w:t xml:space="preserve">with or without treatment with the IL-1 receptor inhibitor anakinra </w:t>
      </w:r>
      <w:r w:rsidRPr="00AE20BF">
        <w:rPr>
          <w:rFonts w:ascii="Arial" w:hAnsi="Arial" w:cs="Arial"/>
          <w:color w:val="111111"/>
          <w:spacing w:val="-4"/>
          <w:kern w:val="1"/>
        </w:rPr>
        <w:t xml:space="preserve">for three consecutive days. </w:t>
      </w:r>
    </w:p>
    <w:p w14:paraId="6BF36DEE" w14:textId="78B34679" w:rsidR="00593E1B" w:rsidRDefault="00456E13" w:rsidP="00456E13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  <w:r w:rsidRPr="00AE20BF">
        <w:rPr>
          <w:rFonts w:ascii="Arial" w:hAnsi="Arial" w:cs="Arial"/>
          <w:color w:val="111111"/>
          <w:spacing w:val="-4"/>
          <w:kern w:val="1"/>
        </w:rPr>
        <w:t>Mice were sacrificed on day 4.</w:t>
      </w:r>
      <w:r>
        <w:rPr>
          <w:rFonts w:ascii="Arial" w:hAnsi="Arial" w:cs="Arial"/>
          <w:b/>
          <w:bCs/>
          <w:color w:val="111111"/>
          <w:spacing w:val="-4"/>
          <w:kern w:val="1"/>
          <w:lang w:val="en-US"/>
        </w:rPr>
        <w:t xml:space="preserve"> </w:t>
      </w:r>
      <w:r>
        <w:rPr>
          <w:rFonts w:ascii="Arial" w:hAnsi="Arial" w:cs="Arial"/>
          <w:color w:val="111111"/>
          <w:spacing w:val="-4"/>
          <w:kern w:val="1"/>
        </w:rPr>
        <w:t xml:space="preserve">Splenocytes were isolated and incubated with C. albicans. Th17 response is shown. </w:t>
      </w:r>
      <w:r w:rsidRPr="001E5D99">
        <w:rPr>
          <w:rFonts w:ascii="Arial" w:hAnsi="Arial" w:cs="Arial"/>
          <w:color w:val="111111"/>
          <w:spacing w:val="-4"/>
          <w:kern w:val="1"/>
        </w:rPr>
        <w:t>Comparison by the Mann Whitney U test; ns non-significant</w:t>
      </w:r>
      <w:r>
        <w:rPr>
          <w:rFonts w:ascii="Arial" w:hAnsi="Arial" w:cs="Arial"/>
          <w:color w:val="000000"/>
          <w:spacing w:val="-4"/>
          <w:kern w:val="1"/>
        </w:rPr>
        <w:t>.</w:t>
      </w:r>
      <w:r>
        <w:rPr>
          <w:rFonts w:ascii="Arial" w:hAnsi="Arial" w:cs="Arial"/>
          <w:color w:val="111111"/>
          <w:spacing w:val="-4"/>
          <w:kern w:val="1"/>
        </w:rPr>
        <w:t xml:space="preserve"> Treatment of mice with anakinra did not change the ex vivo production capacity of IL- 17A or IL- 22</w:t>
      </w:r>
      <w:r>
        <w:rPr>
          <w:rFonts w:ascii="Arial" w:hAnsi="Arial" w:cs="Arial"/>
          <w:color w:val="111111"/>
          <w:spacing w:val="-4"/>
          <w:kern w:val="1"/>
          <w:lang w:val="en-US"/>
        </w:rPr>
        <w:t xml:space="preserve"> indicating a lack of correlation with Th17 responses.</w:t>
      </w:r>
    </w:p>
    <w:p w14:paraId="22C38BAA" w14:textId="42D1AD48" w:rsidR="00A8542A" w:rsidRDefault="00A8542A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</w:p>
    <w:p w14:paraId="00F189AA" w14:textId="499E22D5" w:rsidR="00A8542A" w:rsidRDefault="005831C7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  <w:r w:rsidRPr="005831C7">
        <w:rPr>
          <w:rFonts w:ascii="Arial" w:hAnsi="Arial" w:cs="Arial"/>
          <w:noProof/>
          <w:color w:val="000000"/>
          <w:spacing w:val="-4"/>
          <w:kern w:val="1"/>
          <w:lang w:eastAsia="en-GB"/>
        </w:rPr>
        <w:lastRenderedPageBreak/>
        <w:drawing>
          <wp:inline distT="0" distB="0" distL="0" distR="0" wp14:anchorId="52AB20B7" wp14:editId="3F2926CC">
            <wp:extent cx="5727700" cy="319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C754" w14:textId="77777777" w:rsidR="00A8542A" w:rsidRDefault="00A8542A" w:rsidP="00A8542A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</w:p>
    <w:p w14:paraId="0037C40E" w14:textId="3F77C746" w:rsidR="00A8542A" w:rsidRPr="00A8542A" w:rsidRDefault="00A8542A" w:rsidP="00A8542A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  <w:r w:rsidRPr="001E5D99">
        <w:rPr>
          <w:rFonts w:ascii="Arial" w:hAnsi="Arial" w:cs="Arial"/>
          <w:b/>
          <w:bCs/>
          <w:color w:val="000000"/>
          <w:spacing w:val="-4"/>
          <w:kern w:val="1"/>
        </w:rPr>
        <w:t xml:space="preserve">Figure 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>S</w:t>
      </w:r>
      <w:r w:rsidR="00456E13">
        <w:rPr>
          <w:rFonts w:ascii="Arial" w:hAnsi="Arial" w:cs="Arial"/>
          <w:b/>
          <w:bCs/>
          <w:color w:val="000000"/>
          <w:spacing w:val="-4"/>
          <w:kern w:val="1"/>
        </w:rPr>
        <w:t>2</w:t>
      </w:r>
      <w:r w:rsidRPr="001E5D99"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kern w:val="1"/>
          <w:lang w:val="en-US"/>
        </w:rPr>
        <w:t>Lack of correlation between cytokine production in tissues and number of viral transcripts</w:t>
      </w:r>
      <w:r w:rsidRPr="00A8542A"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</w:p>
    <w:p w14:paraId="7F1A3616" w14:textId="7F59CB3A" w:rsidR="00A8542A" w:rsidRPr="00A8542A" w:rsidRDefault="00A8542A" w:rsidP="00A8542A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after="200" w:line="480" w:lineRule="auto"/>
        <w:rPr>
          <w:rFonts w:ascii="Arial" w:hAnsi="Arial" w:cs="Arial"/>
          <w:color w:val="000000"/>
          <w:spacing w:val="-4"/>
          <w:kern w:val="1"/>
        </w:rPr>
      </w:pPr>
      <w:r>
        <w:rPr>
          <w:rFonts w:ascii="Arial" w:hAnsi="Arial" w:cs="Arial"/>
          <w:color w:val="111111"/>
          <w:spacing w:val="-4"/>
          <w:kern w:val="1"/>
          <w:lang w:val="en-US"/>
        </w:rPr>
        <w:tab/>
      </w:r>
      <w:r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The number of transcripts of the </w:t>
      </w:r>
      <w:r w:rsidRPr="00710F68">
        <w:rPr>
          <w:rFonts w:ascii="Arial" w:hAnsi="Arial" w:cs="Arial"/>
          <w:i/>
          <w:iCs/>
          <w:color w:val="111111"/>
          <w:spacing w:val="-4"/>
          <w:kern w:val="1"/>
          <w:lang w:val="en-US"/>
        </w:rPr>
        <w:t>ORF1 ab</w:t>
      </w:r>
      <w:r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 gene and </w:t>
      </w:r>
      <w:r w:rsidR="00710F68" w:rsidRPr="00710F68">
        <w:rPr>
          <w:rFonts w:ascii="Arial" w:hAnsi="Arial" w:cs="Arial"/>
          <w:i/>
          <w:iCs/>
          <w:color w:val="111111"/>
          <w:spacing w:val="-4"/>
          <w:kern w:val="1"/>
          <w:lang w:val="en-US"/>
        </w:rPr>
        <w:t>N</w:t>
      </w:r>
      <w:r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 gene of S</w:t>
      </w:r>
      <w:r>
        <w:rPr>
          <w:rFonts w:ascii="Arial" w:hAnsi="Arial" w:cs="Arial"/>
          <w:color w:val="111111"/>
          <w:spacing w:val="-4"/>
          <w:kern w:val="1"/>
          <w:lang w:val="en-US"/>
        </w:rPr>
        <w:t>AR</w:t>
      </w:r>
      <w:r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S-COV-2 was determined in plasma of patients with ARDS due to COVID-19. In a COVID- like infection model, </w:t>
      </w:r>
      <w:r w:rsidRPr="00A8542A">
        <w:rPr>
          <w:rFonts w:ascii="Arial" w:hAnsi="Arial" w:cs="Arial"/>
          <w:color w:val="111111"/>
          <w:spacing w:val="-4"/>
          <w:kern w:val="1"/>
        </w:rPr>
        <w:t>C57Bl6 mice were treated intravenously (</w:t>
      </w:r>
      <w:proofErr w:type="spellStart"/>
      <w:r w:rsidRPr="00A8542A">
        <w:rPr>
          <w:rFonts w:ascii="Arial" w:hAnsi="Arial" w:cs="Arial"/>
          <w:color w:val="111111"/>
          <w:spacing w:val="-4"/>
          <w:kern w:val="1"/>
        </w:rPr>
        <w:t>i.v.</w:t>
      </w:r>
      <w:proofErr w:type="spellEnd"/>
      <w:r w:rsidRPr="00A8542A">
        <w:rPr>
          <w:rFonts w:ascii="Arial" w:hAnsi="Arial" w:cs="Arial"/>
          <w:color w:val="111111"/>
          <w:spacing w:val="-4"/>
          <w:kern w:val="1"/>
        </w:rPr>
        <w:t xml:space="preserve">) with the same plasma </w:t>
      </w:r>
      <w:r w:rsidR="00870CA8" w:rsidRPr="00A8542A">
        <w:rPr>
          <w:rFonts w:ascii="Arial" w:hAnsi="Arial" w:cs="Arial"/>
          <w:color w:val="111111"/>
          <w:spacing w:val="-4"/>
          <w:kern w:val="1"/>
        </w:rPr>
        <w:t>from</w:t>
      </w:r>
      <w:r w:rsidRPr="00A8542A">
        <w:rPr>
          <w:rFonts w:ascii="Arial" w:hAnsi="Arial" w:cs="Arial"/>
          <w:color w:val="111111"/>
          <w:spacing w:val="-4"/>
          <w:kern w:val="1"/>
        </w:rPr>
        <w:t xml:space="preserve"> patients with ARDS due to COVID-19 for three consecutive days. </w:t>
      </w:r>
      <w:r w:rsidR="00870CA8" w:rsidRPr="00A8542A">
        <w:rPr>
          <w:rFonts w:ascii="Arial" w:hAnsi="Arial" w:cs="Arial"/>
          <w:color w:val="000000"/>
          <w:spacing w:val="-4"/>
          <w:kern w:val="1"/>
        </w:rPr>
        <w:t xml:space="preserve">Correlation of </w:t>
      </w:r>
      <w:r w:rsidR="00870CA8"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number of transcripts of the ORF1 ab gene </w:t>
      </w:r>
      <w:r w:rsidR="00870CA8" w:rsidRPr="00870CA8">
        <w:rPr>
          <w:rFonts w:ascii="Arial" w:hAnsi="Arial" w:cs="Arial"/>
          <w:color w:val="111111"/>
          <w:spacing w:val="-4"/>
          <w:kern w:val="1"/>
        </w:rPr>
        <w:t>(</w:t>
      </w:r>
      <w:r w:rsidR="00870CA8">
        <w:rPr>
          <w:rFonts w:ascii="Arial" w:hAnsi="Arial" w:cs="Arial"/>
          <w:color w:val="111111"/>
          <w:spacing w:val="-4"/>
          <w:kern w:val="1"/>
          <w:lang w:val="el-GR"/>
        </w:rPr>
        <w:t>Α</w:t>
      </w:r>
      <w:r w:rsidR="00870CA8" w:rsidRPr="00870CA8">
        <w:rPr>
          <w:rFonts w:ascii="Arial" w:hAnsi="Arial" w:cs="Arial"/>
          <w:color w:val="111111"/>
          <w:spacing w:val="-4"/>
          <w:kern w:val="1"/>
        </w:rPr>
        <w:t xml:space="preserve"> </w:t>
      </w:r>
      <w:r w:rsidR="00870CA8">
        <w:rPr>
          <w:rFonts w:ascii="Arial" w:hAnsi="Arial" w:cs="Arial"/>
          <w:color w:val="111111"/>
          <w:spacing w:val="-4"/>
          <w:kern w:val="1"/>
        </w:rPr>
        <w:t>–</w:t>
      </w:r>
      <w:r w:rsidR="00870CA8" w:rsidRPr="00870CA8">
        <w:rPr>
          <w:rFonts w:ascii="Arial" w:hAnsi="Arial" w:cs="Arial"/>
          <w:color w:val="111111"/>
          <w:spacing w:val="-4"/>
          <w:kern w:val="1"/>
        </w:rPr>
        <w:t xml:space="preserve"> </w:t>
      </w:r>
      <w:r w:rsidR="00870CA8">
        <w:rPr>
          <w:rFonts w:ascii="Arial" w:hAnsi="Arial" w:cs="Arial"/>
          <w:color w:val="111111"/>
          <w:spacing w:val="-4"/>
          <w:kern w:val="1"/>
          <w:lang w:val="en-US"/>
        </w:rPr>
        <w:t>D</w:t>
      </w:r>
      <w:r w:rsidR="00870CA8" w:rsidRPr="00870CA8">
        <w:rPr>
          <w:rFonts w:ascii="Arial" w:hAnsi="Arial" w:cs="Arial"/>
          <w:color w:val="111111"/>
          <w:spacing w:val="-4"/>
          <w:kern w:val="1"/>
        </w:rPr>
        <w:t xml:space="preserve">) </w:t>
      </w:r>
      <w:r w:rsidR="00870CA8"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and n gene </w:t>
      </w:r>
      <w:r w:rsidR="00870CA8">
        <w:rPr>
          <w:rFonts w:ascii="Arial" w:hAnsi="Arial" w:cs="Arial"/>
          <w:color w:val="111111"/>
          <w:spacing w:val="-4"/>
          <w:kern w:val="1"/>
          <w:lang w:val="en-US"/>
        </w:rPr>
        <w:t xml:space="preserve">(E – H) with </w:t>
      </w:r>
      <w:r w:rsidRPr="00A8542A">
        <w:rPr>
          <w:rFonts w:ascii="Arial" w:hAnsi="Arial" w:cs="Arial"/>
          <w:color w:val="111111"/>
          <w:spacing w:val="-4"/>
          <w:kern w:val="1"/>
        </w:rPr>
        <w:t>TNF</w:t>
      </w:r>
      <w:r w:rsidR="00EB1965">
        <w:rPr>
          <w:rFonts w:ascii="Arial" w:hAnsi="Arial" w:cs="Arial"/>
          <w:color w:val="111111"/>
          <w:spacing w:val="-4"/>
          <w:kern w:val="1"/>
          <w:lang w:val="el-GR"/>
        </w:rPr>
        <w:t>α</w:t>
      </w:r>
      <w:r w:rsidRPr="00A8542A">
        <w:rPr>
          <w:rFonts w:ascii="Arial" w:hAnsi="Arial" w:cs="Arial"/>
          <w:color w:val="111111"/>
          <w:spacing w:val="-4"/>
          <w:kern w:val="1"/>
        </w:rPr>
        <w:t>, IL- 6, IFN</w:t>
      </w:r>
      <w:r w:rsidRPr="00A8542A">
        <w:rPr>
          <w:rFonts w:ascii="Arial" w:hAnsi="Arial" w:cs="Arial"/>
          <w:color w:val="111111"/>
          <w:spacing w:val="-4"/>
          <w:kern w:val="1"/>
          <w:lang w:val="el-GR"/>
        </w:rPr>
        <w:t>γ</w:t>
      </w:r>
      <w:r w:rsidRPr="00A8542A">
        <w:rPr>
          <w:rFonts w:ascii="Arial" w:hAnsi="Arial" w:cs="Arial"/>
          <w:color w:val="111111"/>
          <w:spacing w:val="-4"/>
          <w:kern w:val="1"/>
        </w:rPr>
        <w:t xml:space="preserve"> </w:t>
      </w:r>
      <w:r w:rsidRPr="00A8542A">
        <w:rPr>
          <w:rFonts w:ascii="Arial" w:hAnsi="Arial" w:cs="Arial"/>
          <w:color w:val="111111"/>
          <w:spacing w:val="-4"/>
          <w:kern w:val="1"/>
          <w:lang w:val="en-US"/>
        </w:rPr>
        <w:t xml:space="preserve">and MPO in the lung. </w:t>
      </w:r>
      <w:r w:rsidRPr="00A8542A">
        <w:rPr>
          <w:rFonts w:ascii="Arial" w:hAnsi="Arial" w:cs="Arial"/>
          <w:color w:val="000000"/>
          <w:spacing w:val="-4"/>
          <w:kern w:val="1"/>
        </w:rPr>
        <w:t>Spearman rank correlation coefficients (</w:t>
      </w:r>
      <w:proofErr w:type="spellStart"/>
      <w:r w:rsidRPr="00A8542A">
        <w:rPr>
          <w:rFonts w:ascii="Arial" w:hAnsi="Arial" w:cs="Arial"/>
          <w:color w:val="000000"/>
          <w:spacing w:val="-4"/>
          <w:kern w:val="1"/>
        </w:rPr>
        <w:t>r</w:t>
      </w:r>
      <w:r w:rsidRPr="00A8542A">
        <w:rPr>
          <w:rFonts w:ascii="Arial" w:hAnsi="Arial" w:cs="Arial"/>
          <w:color w:val="000000"/>
          <w:spacing w:val="-4"/>
          <w:kern w:val="1"/>
          <w:vertAlign w:val="subscript"/>
        </w:rPr>
        <w:t>s</w:t>
      </w:r>
      <w:proofErr w:type="spellEnd"/>
      <w:r w:rsidRPr="00A8542A">
        <w:rPr>
          <w:rFonts w:ascii="Arial" w:hAnsi="Arial" w:cs="Arial"/>
          <w:color w:val="000000"/>
          <w:spacing w:val="-4"/>
          <w:kern w:val="1"/>
        </w:rPr>
        <w:t>), interpolation lines and p- values are given.</w:t>
      </w:r>
    </w:p>
    <w:p w14:paraId="76690EF2" w14:textId="7D2861BF" w:rsidR="00A8542A" w:rsidRDefault="00A8542A" w:rsidP="00A8542A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</w:p>
    <w:p w14:paraId="113ACC55" w14:textId="17BD9ABE" w:rsidR="00855CBE" w:rsidRDefault="00855CBE" w:rsidP="00A8542A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</w:p>
    <w:p w14:paraId="5FE637E6" w14:textId="1DFB5A55" w:rsidR="00855CBE" w:rsidRDefault="00855CBE" w:rsidP="00A8542A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</w:p>
    <w:p w14:paraId="4EC5384F" w14:textId="7F0E08D6" w:rsidR="00855CBE" w:rsidRDefault="00855CBE" w:rsidP="00A8542A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</w:p>
    <w:p w14:paraId="5875E749" w14:textId="3E36CAF0" w:rsidR="00855CBE" w:rsidRDefault="00855CBE" w:rsidP="00A8542A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</w:p>
    <w:p w14:paraId="3D88FE9F" w14:textId="77777777" w:rsidR="00855CBE" w:rsidRDefault="00855CBE" w:rsidP="00855CBE">
      <w:pPr>
        <w:spacing w:line="480" w:lineRule="auto"/>
        <w:rPr>
          <w:rFonts w:ascii="Arial" w:hAnsi="Arial" w:cs="Arial"/>
          <w:noProof/>
          <w:color w:val="111111"/>
          <w:spacing w:val="-4"/>
          <w:kern w:val="1"/>
          <w:lang w:val="en-US"/>
        </w:rPr>
      </w:pPr>
      <w:r>
        <w:rPr>
          <w:rFonts w:ascii="Arial" w:hAnsi="Arial" w:cs="Arial"/>
          <w:noProof/>
          <w:color w:val="111111"/>
          <w:spacing w:val="-4"/>
          <w:kern w:val="1"/>
          <w:lang w:eastAsia="en-GB"/>
        </w:rPr>
        <w:lastRenderedPageBreak/>
        <w:drawing>
          <wp:inline distT="0" distB="0" distL="0" distR="0" wp14:anchorId="3206FBCF" wp14:editId="50F6F90F">
            <wp:extent cx="5664200" cy="2717800"/>
            <wp:effectExtent l="0" t="0" r="0" b="0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E0CB" w14:textId="77777777" w:rsidR="00855CBE" w:rsidRPr="00856CB8" w:rsidRDefault="00855CBE" w:rsidP="00855CBE">
      <w:pPr>
        <w:rPr>
          <w:rFonts w:ascii="Arial" w:hAnsi="Arial" w:cs="Arial"/>
          <w:lang w:val="en-US"/>
        </w:rPr>
      </w:pPr>
    </w:p>
    <w:p w14:paraId="5C68AD14" w14:textId="77777777" w:rsidR="00855CBE" w:rsidRDefault="00855CBE" w:rsidP="00855CBE">
      <w:pPr>
        <w:rPr>
          <w:rFonts w:ascii="Arial" w:hAnsi="Arial" w:cs="Arial"/>
          <w:noProof/>
          <w:color w:val="111111"/>
          <w:spacing w:val="-4"/>
          <w:kern w:val="1"/>
          <w:lang w:val="en-US"/>
        </w:rPr>
      </w:pPr>
    </w:p>
    <w:p w14:paraId="36C4B03B" w14:textId="2688D632" w:rsidR="00855CBE" w:rsidRDefault="00855CBE" w:rsidP="00855CBE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pacing w:val="-4"/>
          <w:kern w:val="1"/>
        </w:rPr>
      </w:pPr>
      <w:r w:rsidRPr="00B50D10">
        <w:rPr>
          <w:rFonts w:ascii="Arial" w:hAnsi="Arial" w:cs="Arial"/>
          <w:b/>
          <w:bCs/>
          <w:color w:val="000000"/>
          <w:spacing w:val="-4"/>
          <w:kern w:val="1"/>
        </w:rPr>
        <w:t>Figure S</w:t>
      </w:r>
      <w:r w:rsidR="00456E13">
        <w:rPr>
          <w:rFonts w:ascii="Arial" w:hAnsi="Arial" w:cs="Arial"/>
          <w:b/>
          <w:bCs/>
          <w:color w:val="000000"/>
          <w:spacing w:val="-4"/>
          <w:kern w:val="1"/>
        </w:rPr>
        <w:t>3</w:t>
      </w:r>
      <w:r w:rsidRPr="00B50D10"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COVID- 19 is associated with increased susceptibility to secondary infection due to </w:t>
      </w:r>
      <w:r w:rsidRPr="00856CB8">
        <w:rPr>
          <w:rFonts w:ascii="Arial" w:hAnsi="Arial" w:cs="Arial"/>
          <w:b/>
          <w:bCs/>
          <w:i/>
          <w:iCs/>
          <w:color w:val="000000"/>
          <w:spacing w:val="-4"/>
          <w:kern w:val="1"/>
        </w:rPr>
        <w:t xml:space="preserve">A. </w:t>
      </w:r>
      <w:proofErr w:type="spellStart"/>
      <w:r w:rsidRPr="00856CB8">
        <w:rPr>
          <w:rFonts w:ascii="Arial" w:hAnsi="Arial" w:cs="Arial"/>
          <w:b/>
          <w:bCs/>
          <w:i/>
          <w:iCs/>
          <w:color w:val="000000"/>
          <w:spacing w:val="-4"/>
          <w:kern w:val="1"/>
        </w:rPr>
        <w:t>baumannii</w:t>
      </w:r>
      <w:proofErr w:type="spellEnd"/>
      <w:r>
        <w:rPr>
          <w:rFonts w:ascii="Arial" w:hAnsi="Arial" w:cs="Arial"/>
          <w:b/>
          <w:bCs/>
          <w:color w:val="000000"/>
          <w:spacing w:val="-4"/>
          <w:kern w:val="1"/>
        </w:rPr>
        <w:t xml:space="preserve"> </w:t>
      </w:r>
    </w:p>
    <w:p w14:paraId="32A9AAB7" w14:textId="14260BCB" w:rsidR="00855CBE" w:rsidRDefault="00855CBE" w:rsidP="00855CBE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  <w:r>
        <w:rPr>
          <w:rFonts w:ascii="Arial" w:hAnsi="Arial" w:cs="Arial"/>
          <w:color w:val="000000"/>
          <w:spacing w:val="-4"/>
          <w:kern w:val="1"/>
        </w:rPr>
        <w:t xml:space="preserve">Percentage of critically ill COVID- 19 patients who developed secondary </w:t>
      </w:r>
      <w:proofErr w:type="spellStart"/>
      <w:r>
        <w:rPr>
          <w:rFonts w:ascii="Arial" w:hAnsi="Arial" w:cs="Arial"/>
          <w:color w:val="000000"/>
          <w:spacing w:val="-4"/>
          <w:kern w:val="1"/>
        </w:rPr>
        <w:t>bacteremia</w:t>
      </w:r>
      <w:proofErr w:type="spellEnd"/>
      <w:r>
        <w:rPr>
          <w:rFonts w:ascii="Arial" w:hAnsi="Arial" w:cs="Arial"/>
          <w:color w:val="000000"/>
          <w:spacing w:val="-4"/>
          <w:kern w:val="1"/>
        </w:rPr>
        <w:t xml:space="preserve"> by </w:t>
      </w:r>
      <w:r w:rsidR="00EB1965">
        <w:rPr>
          <w:rFonts w:ascii="Arial" w:hAnsi="Arial" w:cs="Arial"/>
          <w:color w:val="000000"/>
          <w:spacing w:val="-4"/>
          <w:kern w:val="1"/>
        </w:rPr>
        <w:t>G</w:t>
      </w:r>
      <w:r>
        <w:rPr>
          <w:rFonts w:ascii="Arial" w:hAnsi="Arial" w:cs="Arial"/>
          <w:color w:val="000000"/>
          <w:spacing w:val="-4"/>
          <w:kern w:val="1"/>
        </w:rPr>
        <w:t xml:space="preserve">ram- negative bacteria within 28 days after admission, sorted by type of bacteria. Comparisons by the Fisher exact test. </w:t>
      </w:r>
      <w:r w:rsidRPr="00AE20BF">
        <w:rPr>
          <w:rFonts w:ascii="Segoe UI Symbol" w:eastAsia="MS Gothic" w:hAnsi="Segoe UI Symbol" w:cs="Segoe UI Symbol"/>
          <w:color w:val="000000"/>
          <w:spacing w:val="-4"/>
          <w:kern w:val="1"/>
          <w:vertAlign w:val="superscript"/>
        </w:rPr>
        <w:t>✱</w:t>
      </w:r>
      <w:r w:rsidRPr="00AE20BF">
        <w:rPr>
          <w:rFonts w:ascii="Arial" w:hAnsi="Arial" w:cs="Arial"/>
          <w:color w:val="000000"/>
          <w:spacing w:val="-4"/>
          <w:kern w:val="1"/>
        </w:rPr>
        <w:t xml:space="preserve"> p&lt; 0.05; </w:t>
      </w:r>
      <w:r w:rsidRPr="00AE20BF">
        <w:rPr>
          <w:rFonts w:ascii="Segoe UI Symbol" w:hAnsi="Segoe UI Symbol" w:cs="Segoe UI Symbol"/>
          <w:color w:val="000000"/>
          <w:spacing w:val="-4"/>
          <w:kern w:val="1"/>
          <w:vertAlign w:val="superscript"/>
        </w:rPr>
        <w:t>✱✱</w:t>
      </w:r>
      <w:r w:rsidRPr="00AE20BF">
        <w:rPr>
          <w:rFonts w:ascii="Arial" w:hAnsi="Arial" w:cs="Arial"/>
          <w:color w:val="000000"/>
          <w:spacing w:val="-4"/>
          <w:kern w:val="1"/>
        </w:rPr>
        <w:t xml:space="preserve"> p&lt; 0.01; </w:t>
      </w:r>
      <w:r w:rsidRPr="00AE20BF">
        <w:rPr>
          <w:rFonts w:ascii="Segoe UI Symbol" w:hAnsi="Segoe UI Symbol" w:cs="Segoe UI Symbol"/>
          <w:color w:val="000000"/>
          <w:spacing w:val="-4"/>
          <w:kern w:val="1"/>
          <w:vertAlign w:val="superscript"/>
        </w:rPr>
        <w:t>✱✱✱✱</w:t>
      </w:r>
      <w:r w:rsidRPr="00AE20BF">
        <w:rPr>
          <w:rFonts w:ascii="Arial" w:hAnsi="Arial" w:cs="Arial"/>
          <w:color w:val="000000"/>
          <w:spacing w:val="-4"/>
          <w:kern w:val="1"/>
        </w:rPr>
        <w:t xml:space="preserve"> p&lt; 0.0001.</w:t>
      </w:r>
    </w:p>
    <w:p w14:paraId="571436D9" w14:textId="77777777" w:rsidR="00855CBE" w:rsidRPr="00A8542A" w:rsidRDefault="00855CBE" w:rsidP="00A8542A">
      <w:pPr>
        <w:spacing w:line="480" w:lineRule="auto"/>
        <w:rPr>
          <w:rFonts w:ascii="Arial" w:hAnsi="Arial" w:cs="Arial"/>
          <w:color w:val="111111"/>
          <w:spacing w:val="-4"/>
          <w:kern w:val="1"/>
        </w:rPr>
      </w:pPr>
    </w:p>
    <w:p w14:paraId="05E9A1FD" w14:textId="77777777" w:rsidR="00593E1B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</w:p>
    <w:p w14:paraId="6EF81E21" w14:textId="77777777" w:rsidR="00593E1B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</w:p>
    <w:p w14:paraId="3FA8D32C" w14:textId="77777777" w:rsidR="00593E1B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</w:p>
    <w:p w14:paraId="4ABA0A23" w14:textId="77777777" w:rsidR="00593E1B" w:rsidRDefault="00593E1B" w:rsidP="00593E1B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pacing w:val="-4"/>
          <w:kern w:val="1"/>
        </w:rPr>
      </w:pPr>
    </w:p>
    <w:p w14:paraId="4D6249E0" w14:textId="6B2F3168" w:rsidR="00593E1B" w:rsidRDefault="00593E1B" w:rsidP="00593E1B">
      <w:pPr>
        <w:spacing w:line="480" w:lineRule="auto"/>
        <w:rPr>
          <w:rFonts w:ascii="Arial" w:hAnsi="Arial" w:cs="Arial"/>
          <w:color w:val="111111"/>
          <w:spacing w:val="-4"/>
          <w:kern w:val="1"/>
          <w:lang w:val="en-US"/>
        </w:rPr>
        <w:sectPr w:rsidR="00593E1B" w:rsidSect="00026EEC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87"/>
        <w:tblW w:w="5000" w:type="pct"/>
        <w:tblLook w:val="04A0" w:firstRow="1" w:lastRow="0" w:firstColumn="1" w:lastColumn="0" w:noHBand="0" w:noVBand="1"/>
      </w:tblPr>
      <w:tblGrid>
        <w:gridCol w:w="4490"/>
        <w:gridCol w:w="2658"/>
        <w:gridCol w:w="2990"/>
        <w:gridCol w:w="2496"/>
        <w:gridCol w:w="1326"/>
      </w:tblGrid>
      <w:tr w:rsidR="00593E1B" w:rsidRPr="001E5D99" w14:paraId="67C76FFC" w14:textId="77777777" w:rsidTr="006846F1">
        <w:trPr>
          <w:trHeight w:val="403"/>
        </w:trPr>
        <w:tc>
          <w:tcPr>
            <w:tcW w:w="5000" w:type="pct"/>
            <w:gridSpan w:val="5"/>
            <w:tcBorders>
              <w:top w:val="single" w:sz="48" w:space="0" w:color="FFFFFF" w:themeColor="background1"/>
              <w:left w:val="nil"/>
              <w:bottom w:val="single" w:sz="12" w:space="0" w:color="000000"/>
            </w:tcBorders>
          </w:tcPr>
          <w:p w14:paraId="200480A1" w14:textId="77777777" w:rsidR="00593E1B" w:rsidRPr="001E5D99" w:rsidRDefault="00593E1B" w:rsidP="006846F1">
            <w:pPr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1E5D99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Table </w:t>
            </w:r>
            <w:r>
              <w:rPr>
                <w:rFonts w:ascii="Arial" w:hAnsi="Arial" w:cs="Arial"/>
                <w:b/>
                <w:bCs/>
                <w:color w:val="000000"/>
              </w:rPr>
              <w:t>S1</w:t>
            </w:r>
            <w:r w:rsidRPr="001E5D99">
              <w:rPr>
                <w:rFonts w:ascii="Arial" w:hAnsi="Arial" w:cs="Arial"/>
                <w:b/>
                <w:bCs/>
                <w:color w:val="000000"/>
              </w:rPr>
              <w:t xml:space="preserve">. Baseline clinical and laboratory characteristics of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critically ill </w:t>
            </w:r>
            <w:r w:rsidRPr="001E5D99">
              <w:rPr>
                <w:rFonts w:ascii="Arial" w:hAnsi="Arial" w:cs="Arial"/>
                <w:b/>
                <w:bCs/>
                <w:color w:val="000000"/>
              </w:rPr>
              <w:t>patients with pneumonia by SARS-CoV-2 coronavirus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according to development of secondary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bacteremia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or not</w:t>
            </w:r>
          </w:p>
        </w:tc>
      </w:tr>
      <w:tr w:rsidR="00593E1B" w:rsidRPr="001E5D99" w14:paraId="2B46B616" w14:textId="77777777" w:rsidTr="006846F1">
        <w:trPr>
          <w:trHeight w:val="397"/>
        </w:trPr>
        <w:tc>
          <w:tcPr>
            <w:tcW w:w="1608" w:type="pct"/>
            <w:tcBorders>
              <w:top w:val="single" w:sz="12" w:space="0" w:color="000000"/>
              <w:left w:val="nil"/>
              <w:right w:val="single" w:sz="8" w:space="0" w:color="FFFFFF"/>
            </w:tcBorders>
            <w:shd w:val="clear" w:color="auto" w:fill="auto"/>
            <w:noWrap/>
          </w:tcPr>
          <w:p w14:paraId="69200C08" w14:textId="77777777" w:rsidR="00593E1B" w:rsidRPr="001E5D99" w:rsidRDefault="00593E1B" w:rsidP="006846F1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52" w:type="pct"/>
            <w:tcBorders>
              <w:top w:val="single" w:sz="12" w:space="0" w:color="000000"/>
              <w:left w:val="nil"/>
              <w:right w:val="single" w:sz="8" w:space="0" w:color="FFFFFF"/>
            </w:tcBorders>
            <w:shd w:val="clear" w:color="auto" w:fill="auto"/>
          </w:tcPr>
          <w:p w14:paraId="0D7A87EB" w14:textId="77777777" w:rsidR="00593E1B" w:rsidRPr="00E4489D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i/>
                <w:iCs/>
                <w:color w:val="000000" w:themeColor="dark1"/>
                <w:kern w:val="24"/>
              </w:rPr>
            </w:pPr>
            <w:r w:rsidRPr="00E4489D">
              <w:rPr>
                <w:rFonts w:ascii="Arial" w:hAnsi="Arial" w:cs="Arial"/>
                <w:i/>
                <w:iCs/>
                <w:color w:val="000000" w:themeColor="dark1"/>
                <w:kern w:val="24"/>
              </w:rPr>
              <w:t>A.</w:t>
            </w:r>
            <w:r>
              <w:rPr>
                <w:rFonts w:ascii="Arial" w:hAnsi="Arial" w:cs="Arial"/>
                <w:i/>
                <w:iCs/>
                <w:color w:val="000000" w:themeColor="dark1"/>
                <w:kern w:val="24"/>
              </w:rPr>
              <w:t xml:space="preserve"> </w:t>
            </w:r>
            <w:proofErr w:type="spellStart"/>
            <w:r w:rsidRPr="00E4489D">
              <w:rPr>
                <w:rFonts w:ascii="Arial" w:hAnsi="Arial" w:cs="Arial"/>
                <w:i/>
                <w:iCs/>
                <w:color w:val="000000" w:themeColor="dark1"/>
                <w:kern w:val="24"/>
              </w:rPr>
              <w:t>baumannii</w:t>
            </w:r>
            <w:proofErr w:type="spellEnd"/>
            <w:r>
              <w:rPr>
                <w:rFonts w:ascii="Arial" w:hAnsi="Arial" w:cs="Arial"/>
                <w:i/>
                <w:iCs/>
                <w:color w:val="000000" w:themeColor="dark1"/>
                <w:kern w:val="24"/>
              </w:rPr>
              <w:t xml:space="preserve"> </w:t>
            </w:r>
            <w:proofErr w:type="spellStart"/>
            <w:r w:rsidRPr="00EB1965">
              <w:rPr>
                <w:rFonts w:ascii="Arial" w:hAnsi="Arial" w:cs="Arial"/>
                <w:color w:val="000000" w:themeColor="dark1"/>
                <w:kern w:val="24"/>
              </w:rPr>
              <w:t>bacteremia</w:t>
            </w:r>
            <w:proofErr w:type="spellEnd"/>
          </w:p>
          <w:p w14:paraId="30BD0343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(n=11)</w:t>
            </w:r>
          </w:p>
        </w:tc>
        <w:tc>
          <w:tcPr>
            <w:tcW w:w="1071" w:type="pct"/>
            <w:tcBorders>
              <w:top w:val="single" w:sz="12" w:space="0" w:color="000000"/>
              <w:left w:val="nil"/>
              <w:right w:val="single" w:sz="8" w:space="0" w:color="FFFFFF"/>
            </w:tcBorders>
            <w:shd w:val="clear" w:color="auto" w:fill="auto"/>
          </w:tcPr>
          <w:p w14:paraId="5E32E05A" w14:textId="211A925B" w:rsidR="00593E1B" w:rsidRDefault="00593E1B" w:rsidP="006846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gram-negative </w:t>
            </w:r>
          </w:p>
          <w:p w14:paraId="60D5D3AE" w14:textId="77777777" w:rsidR="00593E1B" w:rsidRPr="008760E5" w:rsidRDefault="00593E1B" w:rsidP="006846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bacteriemia</w:t>
            </w:r>
          </w:p>
          <w:p w14:paraId="0626A523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(n=3)</w:t>
            </w:r>
          </w:p>
        </w:tc>
        <w:tc>
          <w:tcPr>
            <w:tcW w:w="894" w:type="pct"/>
            <w:tcBorders>
              <w:top w:val="single" w:sz="12" w:space="0" w:color="000000"/>
              <w:left w:val="nil"/>
              <w:right w:val="nil"/>
            </w:tcBorders>
          </w:tcPr>
          <w:p w14:paraId="14627B22" w14:textId="77777777" w:rsidR="00EB1965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No secondary </w:t>
            </w:r>
            <w:proofErr w:type="spellStart"/>
            <w:r>
              <w:rPr>
                <w:rFonts w:ascii="Arial" w:hAnsi="Arial" w:cs="Arial"/>
                <w:color w:val="000000" w:themeColor="dark1"/>
                <w:kern w:val="24"/>
              </w:rPr>
              <w:t>bacteremia</w:t>
            </w:r>
            <w:proofErr w:type="spellEnd"/>
            <w:r>
              <w:rPr>
                <w:rFonts w:ascii="Arial" w:hAnsi="Arial" w:cs="Arial"/>
                <w:color w:val="000000" w:themeColor="dark1"/>
                <w:kern w:val="24"/>
              </w:rPr>
              <w:t xml:space="preserve"> </w:t>
            </w:r>
          </w:p>
          <w:p w14:paraId="1399EAE9" w14:textId="658758B1" w:rsidR="00593E1B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(n=120)</w:t>
            </w:r>
          </w:p>
        </w:tc>
        <w:tc>
          <w:tcPr>
            <w:tcW w:w="475" w:type="pct"/>
            <w:tcBorders>
              <w:top w:val="single" w:sz="12" w:space="0" w:color="000000"/>
              <w:left w:val="nil"/>
              <w:bottom w:val="single" w:sz="2" w:space="0" w:color="FFFFFF"/>
            </w:tcBorders>
          </w:tcPr>
          <w:p w14:paraId="12D5B328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p-value</w:t>
            </w:r>
          </w:p>
        </w:tc>
      </w:tr>
      <w:tr w:rsidR="00593E1B" w:rsidRPr="001E5D99" w14:paraId="51ED8A6B" w14:textId="77777777" w:rsidTr="006846F1">
        <w:trPr>
          <w:trHeight w:val="397"/>
        </w:trPr>
        <w:tc>
          <w:tcPr>
            <w:tcW w:w="1608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2C43871" w14:textId="77777777" w:rsidR="00593E1B" w:rsidRPr="006A476B" w:rsidRDefault="00593E1B" w:rsidP="006846F1">
            <w:r w:rsidRPr="001E5D99">
              <w:rPr>
                <w:rFonts w:ascii="Arial" w:hAnsi="Arial" w:cs="Arial"/>
                <w:color w:val="000000"/>
              </w:rPr>
              <w:t>Age (</w:t>
            </w:r>
            <w:r>
              <w:rPr>
                <w:rFonts w:ascii="Arial" w:hAnsi="Arial" w:cs="Arial"/>
                <w:color w:val="000000"/>
              </w:rPr>
              <w:t>years, mean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SD</w:t>
            </w:r>
            <w:r w:rsidRPr="001E5D99">
              <w:rPr>
                <w:rFonts w:ascii="Arial" w:hAnsi="Arial" w:cs="Arial"/>
                <w:color w:val="000000"/>
              </w:rPr>
              <w:t xml:space="preserve">) 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CB627B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66.11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9.75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31E30BC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63.00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1.73</w:t>
            </w:r>
          </w:p>
        </w:tc>
        <w:tc>
          <w:tcPr>
            <w:tcW w:w="894" w:type="pct"/>
            <w:tcBorders>
              <w:top w:val="single" w:sz="2" w:space="0" w:color="FFFFFF"/>
              <w:left w:val="nil"/>
              <w:bottom w:val="single" w:sz="8" w:space="0" w:color="FFFFFF"/>
              <w:right w:val="nil"/>
            </w:tcBorders>
            <w:vAlign w:val="center"/>
          </w:tcPr>
          <w:p w14:paraId="384057F1" w14:textId="77777777" w:rsidR="00593E1B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63.92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13.57</w:t>
            </w:r>
          </w:p>
        </w:tc>
        <w:tc>
          <w:tcPr>
            <w:tcW w:w="475" w:type="pct"/>
            <w:tcBorders>
              <w:top w:val="single" w:sz="2" w:space="0" w:color="FFFFFF"/>
              <w:left w:val="nil"/>
              <w:bottom w:val="single" w:sz="8" w:space="0" w:color="FFFFFF"/>
            </w:tcBorders>
            <w:vAlign w:val="center"/>
          </w:tcPr>
          <w:p w14:paraId="177A8283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>0.884</w:t>
            </w:r>
          </w:p>
        </w:tc>
      </w:tr>
      <w:tr w:rsidR="00593E1B" w:rsidRPr="001E5D99" w14:paraId="41152746" w14:textId="77777777" w:rsidTr="006846F1">
        <w:trPr>
          <w:trHeight w:val="397"/>
        </w:trPr>
        <w:tc>
          <w:tcPr>
            <w:tcW w:w="1608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0E418DE" w14:textId="77777777" w:rsidR="00593E1B" w:rsidRPr="001E5D99" w:rsidRDefault="00593E1B" w:rsidP="006846F1">
            <w:pPr>
              <w:rPr>
                <w:rFonts w:ascii="Arial" w:hAnsi="Arial" w:cs="Arial"/>
                <w:color w:val="000000"/>
                <w:lang w:val="en-US"/>
              </w:rPr>
            </w:pPr>
            <w:r w:rsidRPr="001E5D99">
              <w:rPr>
                <w:rFonts w:ascii="Arial" w:hAnsi="Arial" w:cs="Arial"/>
                <w:color w:val="000000"/>
              </w:rPr>
              <w:t>CCI (</w:t>
            </w:r>
            <w:r>
              <w:rPr>
                <w:rFonts w:ascii="Arial" w:hAnsi="Arial" w:cs="Arial"/>
                <w:color w:val="000000"/>
              </w:rPr>
              <w:t xml:space="preserve">mean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SD</w:t>
            </w:r>
            <w:r w:rsidRPr="001E5D99">
              <w:rPr>
                <w:rFonts w:ascii="Arial" w:hAnsi="Arial" w:cs="Arial"/>
                <w:color w:val="000000"/>
              </w:rPr>
              <w:t xml:space="preserve">) 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99AC900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10204"/>
                <w:kern w:val="24"/>
              </w:rPr>
              <w:t xml:space="preserve">3.00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1.80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1DE25C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10204"/>
                <w:kern w:val="24"/>
              </w:rPr>
              <w:t xml:space="preserve">2.33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0.58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7F81C9B2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2.79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1.81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FFFFFF"/>
            </w:tcBorders>
            <w:vAlign w:val="center"/>
          </w:tcPr>
          <w:p w14:paraId="3123AF9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 w:rsidRPr="001E5D99">
              <w:rPr>
                <w:rFonts w:ascii="Arial" w:hAnsi="Arial" w:cs="Arial"/>
                <w:color w:val="000000" w:themeColor="dark1"/>
                <w:kern w:val="24"/>
              </w:rPr>
              <w:t>0.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854</w:t>
            </w:r>
          </w:p>
        </w:tc>
      </w:tr>
      <w:tr w:rsidR="00593E1B" w:rsidRPr="001E5D99" w14:paraId="11FFC315" w14:textId="77777777" w:rsidTr="006846F1">
        <w:trPr>
          <w:trHeight w:val="397"/>
        </w:trPr>
        <w:tc>
          <w:tcPr>
            <w:tcW w:w="1608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3909154" w14:textId="77777777" w:rsidR="00593E1B" w:rsidRPr="001E5D99" w:rsidRDefault="00593E1B" w:rsidP="006846F1">
            <w:pPr>
              <w:rPr>
                <w:rFonts w:ascii="Arial" w:hAnsi="Arial" w:cs="Arial"/>
                <w:color w:val="000000"/>
              </w:rPr>
            </w:pPr>
            <w:r w:rsidRPr="001E5D99">
              <w:rPr>
                <w:rFonts w:ascii="Arial" w:hAnsi="Arial" w:cs="Arial"/>
                <w:color w:val="000000"/>
              </w:rPr>
              <w:t>APACHE II score (</w:t>
            </w:r>
            <w:r>
              <w:rPr>
                <w:rFonts w:ascii="Arial" w:hAnsi="Arial" w:cs="Arial"/>
                <w:color w:val="000000"/>
              </w:rPr>
              <w:t>mean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SD</w:t>
            </w:r>
            <w:r w:rsidRPr="001E5D99">
              <w:rPr>
                <w:rFonts w:ascii="Arial" w:hAnsi="Arial" w:cs="Arial"/>
                <w:color w:val="000000"/>
              </w:rPr>
              <w:t xml:space="preserve">) 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C2428B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10204"/>
                <w:kern w:val="24"/>
              </w:rPr>
              <w:t xml:space="preserve">11.89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5.01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23BEA12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10204"/>
                <w:kern w:val="24"/>
              </w:rPr>
              <w:t xml:space="preserve">9.33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5.25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14:paraId="5F8FA7B4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10.26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5.18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FFFFFF"/>
            </w:tcBorders>
            <w:vAlign w:val="center"/>
          </w:tcPr>
          <w:p w14:paraId="25218533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 w:rsidRPr="001E5D99">
              <w:rPr>
                <w:rFonts w:ascii="Arial" w:hAnsi="Arial" w:cs="Arial"/>
                <w:color w:val="000000" w:themeColor="dark1"/>
                <w:kern w:val="24"/>
              </w:rPr>
              <w:t>0.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663</w:t>
            </w:r>
          </w:p>
        </w:tc>
      </w:tr>
      <w:tr w:rsidR="00593E1B" w:rsidRPr="001E5D99" w14:paraId="10D58F19" w14:textId="77777777" w:rsidTr="006846F1">
        <w:trPr>
          <w:trHeight w:val="397"/>
        </w:trPr>
        <w:tc>
          <w:tcPr>
            <w:tcW w:w="1608" w:type="pc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BEBB008" w14:textId="77777777" w:rsidR="00593E1B" w:rsidRPr="001E5D99" w:rsidRDefault="00593E1B" w:rsidP="006846F1">
            <w:pPr>
              <w:rPr>
                <w:rFonts w:ascii="Arial" w:hAnsi="Arial" w:cs="Arial"/>
                <w:color w:val="000000"/>
                <w:lang w:val="en-US"/>
              </w:rPr>
            </w:pPr>
            <w:r w:rsidRPr="001E5D99">
              <w:rPr>
                <w:rFonts w:ascii="Arial" w:hAnsi="Arial" w:cs="Arial"/>
                <w:color w:val="000000"/>
              </w:rPr>
              <w:t>SOFA (</w:t>
            </w:r>
            <w:r>
              <w:rPr>
                <w:rFonts w:ascii="Arial" w:hAnsi="Arial" w:cs="Arial"/>
                <w:color w:val="000000"/>
              </w:rPr>
              <w:t>mean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SD</w:t>
            </w:r>
            <w:r w:rsidRPr="001E5D99">
              <w:rPr>
                <w:rFonts w:ascii="Arial" w:hAnsi="Arial" w:cs="Arial"/>
                <w:color w:val="000000"/>
              </w:rPr>
              <w:t xml:space="preserve">) 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  <w:tc>
          <w:tcPr>
            <w:tcW w:w="952" w:type="pc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BCCED9C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10204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5.67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1.87</w:t>
            </w:r>
          </w:p>
        </w:tc>
        <w:tc>
          <w:tcPr>
            <w:tcW w:w="1071" w:type="pct"/>
            <w:tcBorders>
              <w:top w:val="nil"/>
              <w:left w:val="nil"/>
              <w:right w:val="single" w:sz="8" w:space="0" w:color="FFFFFF"/>
            </w:tcBorders>
            <w:shd w:val="clear" w:color="auto" w:fill="auto"/>
            <w:vAlign w:val="center"/>
          </w:tcPr>
          <w:p w14:paraId="3FC4572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10204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6.00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2.65</w:t>
            </w:r>
          </w:p>
        </w:tc>
        <w:tc>
          <w:tcPr>
            <w:tcW w:w="894" w:type="pct"/>
            <w:tcBorders>
              <w:top w:val="nil"/>
              <w:left w:val="nil"/>
              <w:right w:val="nil"/>
            </w:tcBorders>
            <w:vAlign w:val="center"/>
          </w:tcPr>
          <w:p w14:paraId="6A5173EC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</w:rPr>
              <w:t xml:space="preserve">6.10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2.88 </w:t>
            </w:r>
          </w:p>
        </w:tc>
        <w:tc>
          <w:tcPr>
            <w:tcW w:w="475" w:type="pct"/>
            <w:tcBorders>
              <w:top w:val="nil"/>
              <w:left w:val="nil"/>
            </w:tcBorders>
            <w:vAlign w:val="center"/>
          </w:tcPr>
          <w:p w14:paraId="51D91A5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 w:themeColor="dark1"/>
                <w:kern w:val="24"/>
              </w:rPr>
            </w:pPr>
            <w:r w:rsidRPr="001E5D99">
              <w:rPr>
                <w:rFonts w:ascii="Arial" w:hAnsi="Arial" w:cs="Arial"/>
                <w:color w:val="000000" w:themeColor="dark1"/>
                <w:kern w:val="24"/>
              </w:rPr>
              <w:t>0.</w:t>
            </w:r>
            <w:r>
              <w:rPr>
                <w:rFonts w:ascii="Arial" w:hAnsi="Arial" w:cs="Arial"/>
                <w:color w:val="000000" w:themeColor="dark1"/>
                <w:kern w:val="24"/>
              </w:rPr>
              <w:t>907</w:t>
            </w:r>
          </w:p>
        </w:tc>
      </w:tr>
      <w:tr w:rsidR="00593E1B" w:rsidRPr="001E5D99" w14:paraId="750E47B2" w14:textId="77777777" w:rsidTr="006846F1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14:paraId="6BDF6ABA" w14:textId="77777777" w:rsidR="00593E1B" w:rsidRPr="001E5D99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Laboratory values </w:t>
            </w:r>
            <w:r w:rsidRPr="001E5D99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mean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SD</w:t>
            </w:r>
            <w:r w:rsidRPr="001E5D99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93E1B" w:rsidRPr="001E5D99" w14:paraId="5C5B591B" w14:textId="77777777" w:rsidTr="006846F1">
        <w:trPr>
          <w:trHeight w:val="397"/>
        </w:trPr>
        <w:tc>
          <w:tcPr>
            <w:tcW w:w="1608" w:type="pct"/>
            <w:tcBorders>
              <w:top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3FE167AF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 blood cells (mm</w:t>
            </w:r>
            <w:r w:rsidRPr="006A476B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1E5D9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45536D54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13620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5085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2C9617AB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11777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3487</w:t>
            </w:r>
          </w:p>
        </w:tc>
        <w:tc>
          <w:tcPr>
            <w:tcW w:w="894" w:type="pct"/>
            <w:tcBorders>
              <w:top w:val="single" w:sz="4" w:space="0" w:color="auto"/>
              <w:bottom w:val="single" w:sz="2" w:space="0" w:color="FFFFFF"/>
            </w:tcBorders>
            <w:vAlign w:val="center"/>
          </w:tcPr>
          <w:p w14:paraId="1516C108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10095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5252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24F81571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206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78157CE9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7763E78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Absolute neutrophil counts (mm</w:t>
            </w:r>
            <w:r w:rsidRPr="006A476B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1E5D9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4E475D61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11950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4794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2D63FA3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10695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3678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0540B30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8522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4956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33DE20B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167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4EA6601E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B65EA55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Absolute lymphocyte counts (mm</w:t>
            </w:r>
            <w:r w:rsidRPr="006A476B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1E5D9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FDBC12E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951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739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C8ED6C1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689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219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ED18A2C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913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629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7AE8EBB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819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1F367C05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FC243FA" w14:textId="77777777" w:rsidR="00593E1B" w:rsidRPr="00513C12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Platelets (x 10</w:t>
            </w:r>
            <w:r w:rsidRPr="00513C12"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>, mm</w:t>
            </w:r>
            <w:r w:rsidRPr="006A476B">
              <w:rPr>
                <w:rFonts w:ascii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AB6A8E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289428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65739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C7BADD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263000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32741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7FC9FDB4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253731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108144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316DD5A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683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366B69B2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84099BF" w14:textId="136D8015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C-reactive protein (mg/l)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156FB4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154.72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123.90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0F2597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142.77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105.96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C5EE414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137.54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215.62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F608F6E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984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7756BDE2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1C29985" w14:textId="77777777" w:rsidR="00593E1B" w:rsidRPr="00513C12" w:rsidRDefault="00593E1B" w:rsidP="006846F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Ferritin (</w:t>
            </w:r>
            <w:r>
              <w:rPr>
                <w:rFonts w:ascii="Arial" w:hAnsi="Arial" w:cs="Arial"/>
                <w:color w:val="000000"/>
                <w:lang w:val="en-US"/>
              </w:rPr>
              <w:t>ng/ml)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1886493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1502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1844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8872C66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815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566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54BF2C74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1439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1786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4519517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829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353AD239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5BF72C6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Procalcitonin (ng/ml)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CA2F085" w14:textId="77777777" w:rsidR="00593E1B" w:rsidRPr="00DD7156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hAnsi="Arial" w:cs="Arial"/>
                <w:color w:val="000000"/>
                <w:kern w:val="24"/>
                <w:lang w:val="el-GR"/>
              </w:rPr>
              <w:t>0</w:t>
            </w:r>
            <w:r>
              <w:rPr>
                <w:rFonts w:ascii="Arial" w:hAnsi="Arial" w:cs="Arial"/>
                <w:color w:val="000000"/>
                <w:kern w:val="24"/>
                <w:lang w:val="en-US"/>
              </w:rPr>
              <w:t>42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l-GR"/>
              </w:rPr>
              <w:t>0.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65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1F1E8F3" w14:textId="77777777" w:rsidR="00593E1B" w:rsidRPr="00DD7156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  <w:lang w:val="en-US"/>
              </w:rPr>
            </w:pPr>
            <w:r>
              <w:rPr>
                <w:rFonts w:ascii="Arial" w:hAnsi="Arial" w:cs="Arial"/>
                <w:color w:val="000000"/>
                <w:kern w:val="24"/>
                <w:lang w:val="el-GR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  <w:lang w:val="en-US"/>
              </w:rPr>
              <w:t>13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l-GR"/>
              </w:rPr>
              <w:t>0.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  <w:t>05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3882627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0.98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1.96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D07F479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694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26EB8B1E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C9FAFBF" w14:textId="6AD762FE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D-dimers (ng/ml)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5260077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18571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38008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1DEC930C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1046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631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17D2079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3715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16917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F7998E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222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55984C79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544D68A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AST (U/l)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CE74167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49.21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63.40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EC4DB05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48.00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34.66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2113170D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51.51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41.31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4680517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982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1352A968" w14:textId="77777777" w:rsidTr="006846F1">
        <w:trPr>
          <w:trHeight w:val="397"/>
        </w:trPr>
        <w:tc>
          <w:tcPr>
            <w:tcW w:w="1608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4EBAA761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 (U/l)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69B423E1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35.80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23.75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3ED1614E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44.33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24.38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2" w:space="0" w:color="FFFFFF"/>
            </w:tcBorders>
            <w:vAlign w:val="center"/>
          </w:tcPr>
          <w:p w14:paraId="018EBCC4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52.68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57.96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BEC4CF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727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1D363684" w14:textId="77777777" w:rsidTr="00593E1B">
        <w:trPr>
          <w:trHeight w:val="411"/>
        </w:trPr>
        <w:tc>
          <w:tcPr>
            <w:tcW w:w="1608" w:type="pct"/>
            <w:tcBorders>
              <w:top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539C6C2" w14:textId="77777777" w:rsidR="00593E1B" w:rsidRDefault="00593E1B" w:rsidP="006846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Creatinine (mg/dl)</w:t>
            </w:r>
          </w:p>
        </w:tc>
        <w:tc>
          <w:tcPr>
            <w:tcW w:w="952" w:type="pct"/>
            <w:tcBorders>
              <w:top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48AE15B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0.81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0.33</w:t>
            </w:r>
          </w:p>
        </w:tc>
        <w:tc>
          <w:tcPr>
            <w:tcW w:w="1071" w:type="pct"/>
            <w:tcBorders>
              <w:top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EF45AF2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0.77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0.06</w:t>
            </w:r>
          </w:p>
        </w:tc>
        <w:tc>
          <w:tcPr>
            <w:tcW w:w="894" w:type="pct"/>
            <w:tcBorders>
              <w:top w:val="single" w:sz="2" w:space="0" w:color="FFFFFF"/>
              <w:bottom w:val="single" w:sz="4" w:space="0" w:color="auto"/>
            </w:tcBorders>
            <w:vAlign w:val="center"/>
          </w:tcPr>
          <w:p w14:paraId="4F51A531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1.26 </w:t>
            </w:r>
            <w:r w:rsidRPr="004832ED">
              <w:rPr>
                <w:rFonts w:ascii="Arial" w:hAnsi="Arial" w:cs="Arial"/>
                <w:color w:val="000000" w:themeColor="text1"/>
                <w:shd w:val="clear" w:color="auto" w:fill="FFFFFF"/>
              </w:rPr>
              <w:t>±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1.60</w:t>
            </w:r>
          </w:p>
        </w:tc>
        <w:tc>
          <w:tcPr>
            <w:tcW w:w="475" w:type="pct"/>
            <w:tcBorders>
              <w:top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A3B3A3F" w14:textId="77777777" w:rsidR="00593E1B" w:rsidRPr="001E5D99" w:rsidRDefault="00593E1B" w:rsidP="006846F1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kern w:val="24"/>
              </w:rPr>
              <w:t>0.</w:t>
            </w:r>
            <w:r>
              <w:rPr>
                <w:rFonts w:ascii="Arial" w:hAnsi="Arial" w:cs="Arial"/>
                <w:color w:val="000000"/>
                <w:kern w:val="24"/>
              </w:rPr>
              <w:t>667</w:t>
            </w:r>
            <w:r w:rsidRPr="001E5D99">
              <w:rPr>
                <w:rFonts w:ascii="Arial" w:hAnsi="Arial" w:cs="Arial"/>
                <w:color w:val="000000"/>
                <w:vertAlign w:val="superscript"/>
                <w:lang w:val="en-US"/>
              </w:rPr>
              <w:t>#</w:t>
            </w:r>
          </w:p>
        </w:tc>
      </w:tr>
      <w:tr w:rsidR="00593E1B" w:rsidRPr="001E5D99" w14:paraId="6A6DA894" w14:textId="77777777" w:rsidTr="00593E1B">
        <w:trPr>
          <w:trHeight w:val="4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431681FE" w14:textId="77777777" w:rsidR="00593E1B" w:rsidRPr="001E5D99" w:rsidRDefault="00593E1B" w:rsidP="00593E1B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1E5D99">
              <w:rPr>
                <w:rFonts w:ascii="Arial" w:hAnsi="Arial" w:cs="Arial"/>
                <w:color w:val="000000"/>
                <w:u w:val="single"/>
              </w:rPr>
              <w:t>Abbreviations</w:t>
            </w:r>
            <w:r w:rsidRPr="001E5D99">
              <w:rPr>
                <w:rFonts w:ascii="Arial" w:hAnsi="Arial" w:cs="Arial"/>
                <w:color w:val="000000"/>
              </w:rPr>
              <w:t xml:space="preserve">: SD: standard deviation; APACHE: acute physiology and chronic health evaluation; CCI: </w:t>
            </w:r>
            <w:proofErr w:type="spellStart"/>
            <w:r w:rsidRPr="001E5D99">
              <w:rPr>
                <w:rFonts w:ascii="Arial" w:hAnsi="Arial" w:cs="Arial"/>
                <w:color w:val="000000"/>
              </w:rPr>
              <w:t>Charlson’s</w:t>
            </w:r>
            <w:proofErr w:type="spellEnd"/>
            <w:r w:rsidRPr="001E5D99">
              <w:rPr>
                <w:rFonts w:ascii="Arial" w:hAnsi="Arial" w:cs="Arial"/>
                <w:color w:val="000000"/>
              </w:rPr>
              <w:t xml:space="preserve"> comorbidity index; SOFA: sequential organ failure; </w:t>
            </w:r>
            <w:r>
              <w:rPr>
                <w:rFonts w:ascii="Arial" w:hAnsi="Arial" w:cs="Arial"/>
                <w:color w:val="000000"/>
              </w:rPr>
              <w:t>AST: aspartate aminotransferase; ALT: alanine aminotransferase.</w:t>
            </w:r>
          </w:p>
          <w:p w14:paraId="267ED2E7" w14:textId="11829440" w:rsidR="00593E1B" w:rsidRPr="001E5D99" w:rsidRDefault="00593E1B" w:rsidP="00593E1B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1E5D99">
              <w:rPr>
                <w:rFonts w:ascii="Arial" w:hAnsi="Arial" w:cs="Arial"/>
                <w:color w:val="000000"/>
                <w:lang w:val="en-US"/>
              </w:rPr>
              <w:t>Comparison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 w:rsidRPr="001E5D99">
              <w:rPr>
                <w:rFonts w:ascii="Arial" w:hAnsi="Arial" w:cs="Arial"/>
                <w:color w:val="000000"/>
                <w:lang w:val="en-US"/>
              </w:rPr>
              <w:t xml:space="preserve"> by </w:t>
            </w:r>
            <w:r>
              <w:rPr>
                <w:rFonts w:ascii="Arial" w:hAnsi="Arial" w:cs="Arial"/>
                <w:color w:val="000000"/>
                <w:lang w:val="en-US"/>
              </w:rPr>
              <w:t>one-way ANOVA with the Bonferroni correction.</w:t>
            </w:r>
          </w:p>
        </w:tc>
      </w:tr>
    </w:tbl>
    <w:p w14:paraId="42819F16" w14:textId="5CAF5525" w:rsidR="00A231D6" w:rsidRPr="00593E1B" w:rsidRDefault="00A231D6" w:rsidP="00593E1B">
      <w:pPr>
        <w:spacing w:line="480" w:lineRule="auto"/>
        <w:rPr>
          <w:lang w:val="en-US"/>
        </w:rPr>
      </w:pPr>
    </w:p>
    <w:sectPr w:rsidR="00A231D6" w:rsidRPr="00593E1B" w:rsidSect="00593E1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8580E"/>
    <w:multiLevelType w:val="hybridMultilevel"/>
    <w:tmpl w:val="876CAAB6"/>
    <w:lvl w:ilvl="0" w:tplc="ACB8B6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B"/>
    <w:rsid w:val="00026EEC"/>
    <w:rsid w:val="000F2D70"/>
    <w:rsid w:val="00433DDB"/>
    <w:rsid w:val="00456E13"/>
    <w:rsid w:val="004D22D0"/>
    <w:rsid w:val="005831C7"/>
    <w:rsid w:val="00593E1B"/>
    <w:rsid w:val="00617AA6"/>
    <w:rsid w:val="00710F68"/>
    <w:rsid w:val="007B181B"/>
    <w:rsid w:val="008420C2"/>
    <w:rsid w:val="00855CBE"/>
    <w:rsid w:val="00870CA8"/>
    <w:rsid w:val="009400F4"/>
    <w:rsid w:val="00A231D6"/>
    <w:rsid w:val="00A8542A"/>
    <w:rsid w:val="00E64A4E"/>
    <w:rsid w:val="00EB1965"/>
    <w:rsid w:val="00EB266B"/>
    <w:rsid w:val="00EE1E35"/>
    <w:rsid w:val="00F07DC7"/>
    <w:rsid w:val="00F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3E11"/>
  <w15:docId w15:val="{B2B4D22E-AE3C-F348-BAF6-C5485B23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E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93E1B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Renieris</dc:creator>
  <cp:lastModifiedBy>Georgios Renieris</cp:lastModifiedBy>
  <cp:revision>5</cp:revision>
  <dcterms:created xsi:type="dcterms:W3CDTF">2021-03-28T22:34:00Z</dcterms:created>
  <dcterms:modified xsi:type="dcterms:W3CDTF">2021-04-16T15:33:00Z</dcterms:modified>
</cp:coreProperties>
</file>