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97B8F" w14:textId="77777777" w:rsidR="00577EF2" w:rsidRDefault="00577EF2" w:rsidP="00705039">
      <w:pPr>
        <w:pStyle w:val="Titel"/>
      </w:pPr>
    </w:p>
    <w:p w14:paraId="2AF01F00" w14:textId="046F4A60" w:rsidR="00787F0E" w:rsidRPr="00705039" w:rsidRDefault="002E574D" w:rsidP="00705039">
      <w:pPr>
        <w:pStyle w:val="Titel"/>
      </w:pPr>
      <w:r w:rsidRPr="00705039">
        <w:t>SUPPLEMENTAL DATA</w:t>
      </w:r>
      <w:r w:rsidR="00787F0E" w:rsidRPr="00705039">
        <w:t xml:space="preserve"> TO</w:t>
      </w:r>
    </w:p>
    <w:p w14:paraId="0453B636" w14:textId="17912A56" w:rsidR="00EF46E9" w:rsidRPr="00705039" w:rsidRDefault="00787F0E" w:rsidP="00705039">
      <w:pPr>
        <w:pStyle w:val="Untertitel"/>
      </w:pPr>
      <w:r w:rsidRPr="00787F0E">
        <w:t xml:space="preserve"> </w:t>
      </w:r>
      <w:r w:rsidR="00296229" w:rsidRPr="00705039">
        <w:t xml:space="preserve">Humoral immunogenicity of </w:t>
      </w:r>
      <w:r w:rsidRPr="00705039">
        <w:t>the seasonal influenza vaccine</w:t>
      </w:r>
      <w:r w:rsidR="00705039">
        <w:br/>
      </w:r>
      <w:r w:rsidRPr="00705039">
        <w:t>before and after CAR-T-cell therapy</w:t>
      </w:r>
    </w:p>
    <w:sdt>
      <w:sdtPr>
        <w:rPr>
          <w:rFonts w:asciiTheme="minorHAnsi" w:eastAsiaTheme="minorHAnsi" w:hAnsiTheme="minorHAnsi" w:cstheme="minorBidi"/>
          <w:b w:val="0"/>
          <w:szCs w:val="22"/>
        </w:rPr>
        <w:id w:val="-838082533"/>
        <w:docPartObj>
          <w:docPartGallery w:val="Table of Contents"/>
          <w:docPartUnique/>
        </w:docPartObj>
      </w:sdtPr>
      <w:sdtEndPr>
        <w:rPr>
          <w:rFonts w:ascii="Arial" w:hAnsi="Arial" w:cs="Arial"/>
          <w:bCs/>
          <w:noProof/>
        </w:rPr>
      </w:sdtEndPr>
      <w:sdtContent>
        <w:p w14:paraId="3072BD04" w14:textId="2209D49A" w:rsidR="00787F0E" w:rsidRPr="00540DCF" w:rsidRDefault="006C4E01" w:rsidP="00540DCF">
          <w:pPr>
            <w:pStyle w:val="Inhaltsverzeichnisberschrift"/>
            <w:rPr>
              <w:rStyle w:val="berschrift1Zchn"/>
              <w:rFonts w:cs="Arial"/>
              <w:b/>
              <w:szCs w:val="22"/>
            </w:rPr>
          </w:pPr>
          <w:r w:rsidRPr="00540DCF">
            <w:rPr>
              <w:rStyle w:val="berschrift1Zchn"/>
              <w:rFonts w:cs="Arial"/>
              <w:b/>
              <w:szCs w:val="22"/>
            </w:rPr>
            <w:t>TABLE OF CONTENTS</w:t>
          </w:r>
        </w:p>
        <w:p w14:paraId="44EA6D89" w14:textId="77777777" w:rsidR="00540DCF" w:rsidRPr="00540DCF" w:rsidRDefault="00787F0E" w:rsidP="00540DCF">
          <w:pPr>
            <w:pStyle w:val="Verzeichnis1"/>
            <w:rPr>
              <w:rFonts w:ascii="Arial" w:eastAsiaTheme="minorEastAsia" w:hAnsi="Arial" w:cs="Arial"/>
              <w:noProof/>
              <w:lang w:val="de-CH" w:eastAsia="de-CH"/>
            </w:rPr>
          </w:pPr>
          <w:r w:rsidRPr="00540DCF">
            <w:rPr>
              <w:rFonts w:ascii="Arial" w:hAnsi="Arial" w:cs="Arial"/>
            </w:rPr>
            <w:fldChar w:fldCharType="begin"/>
          </w:r>
          <w:r w:rsidRPr="00540DCF">
            <w:rPr>
              <w:rFonts w:ascii="Arial" w:hAnsi="Arial" w:cs="Arial"/>
            </w:rPr>
            <w:instrText xml:space="preserve"> TOC \o "1-3" \h \z \u </w:instrText>
          </w:r>
          <w:r w:rsidRPr="00540DCF">
            <w:rPr>
              <w:rFonts w:ascii="Arial" w:hAnsi="Arial" w:cs="Arial"/>
            </w:rPr>
            <w:fldChar w:fldCharType="separate"/>
          </w:r>
          <w:hyperlink w:anchor="_Toc71574238" w:history="1">
            <w:r w:rsidR="00540DCF" w:rsidRPr="00540DCF">
              <w:rPr>
                <w:rStyle w:val="Hyperlink"/>
                <w:rFonts w:ascii="Arial" w:hAnsi="Arial" w:cs="Arial"/>
                <w:noProof/>
              </w:rPr>
              <w:t>SUPPLEMENTAL METHODS</w:t>
            </w:r>
            <w:r w:rsidR="00540DCF" w:rsidRPr="00540DCF">
              <w:rPr>
                <w:rFonts w:ascii="Arial" w:hAnsi="Arial" w:cs="Arial"/>
                <w:noProof/>
                <w:webHidden/>
              </w:rPr>
              <w:tab/>
            </w:r>
            <w:r w:rsidR="00540DCF" w:rsidRPr="00540DCF">
              <w:rPr>
                <w:rFonts w:ascii="Arial" w:hAnsi="Arial" w:cs="Arial"/>
                <w:noProof/>
                <w:webHidden/>
              </w:rPr>
              <w:fldChar w:fldCharType="begin"/>
            </w:r>
            <w:r w:rsidR="00540DCF" w:rsidRPr="00540DCF">
              <w:rPr>
                <w:rFonts w:ascii="Arial" w:hAnsi="Arial" w:cs="Arial"/>
                <w:noProof/>
                <w:webHidden/>
              </w:rPr>
              <w:instrText xml:space="preserve"> PAGEREF _Toc71574238 \h </w:instrText>
            </w:r>
            <w:r w:rsidR="00540DCF" w:rsidRPr="00540DCF">
              <w:rPr>
                <w:rFonts w:ascii="Arial" w:hAnsi="Arial" w:cs="Arial"/>
                <w:noProof/>
                <w:webHidden/>
              </w:rPr>
            </w:r>
            <w:r w:rsidR="00540DCF" w:rsidRPr="00540DCF">
              <w:rPr>
                <w:rFonts w:ascii="Arial" w:hAnsi="Arial" w:cs="Arial"/>
                <w:noProof/>
                <w:webHidden/>
              </w:rPr>
              <w:fldChar w:fldCharType="separate"/>
            </w:r>
            <w:r w:rsidR="00540DCF" w:rsidRPr="00540DCF">
              <w:rPr>
                <w:rFonts w:ascii="Arial" w:hAnsi="Arial" w:cs="Arial"/>
                <w:noProof/>
                <w:webHidden/>
              </w:rPr>
              <w:t>2</w:t>
            </w:r>
            <w:r w:rsidR="00540DCF" w:rsidRPr="00540DCF">
              <w:rPr>
                <w:rFonts w:ascii="Arial" w:hAnsi="Arial" w:cs="Arial"/>
                <w:noProof/>
                <w:webHidden/>
              </w:rPr>
              <w:fldChar w:fldCharType="end"/>
            </w:r>
          </w:hyperlink>
        </w:p>
        <w:p w14:paraId="7079076B" w14:textId="77777777" w:rsidR="00540DCF" w:rsidRPr="00540DCF" w:rsidRDefault="00540DCF" w:rsidP="00540DCF">
          <w:pPr>
            <w:pStyle w:val="Verzeichnis2"/>
            <w:tabs>
              <w:tab w:val="right" w:leader="dot" w:pos="9350"/>
            </w:tabs>
            <w:spacing w:line="480" w:lineRule="auto"/>
            <w:rPr>
              <w:rFonts w:ascii="Arial" w:eastAsiaTheme="minorEastAsia" w:hAnsi="Arial" w:cs="Arial"/>
              <w:noProof/>
              <w:lang w:val="de-CH" w:eastAsia="de-CH"/>
            </w:rPr>
          </w:pPr>
          <w:hyperlink w:anchor="_Toc71574239" w:history="1">
            <w:r w:rsidRPr="00540DCF">
              <w:rPr>
                <w:rStyle w:val="Hyperlink"/>
                <w:rFonts w:ascii="Arial" w:hAnsi="Arial" w:cs="Arial"/>
                <w:noProof/>
                <w:lang w:val="en-GB"/>
              </w:rPr>
              <w:t>Specimens</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_Toc71574239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2</w:t>
            </w:r>
            <w:r w:rsidRPr="00540DCF">
              <w:rPr>
                <w:rFonts w:ascii="Arial" w:hAnsi="Arial" w:cs="Arial"/>
                <w:noProof/>
                <w:webHidden/>
              </w:rPr>
              <w:fldChar w:fldCharType="end"/>
            </w:r>
          </w:hyperlink>
        </w:p>
        <w:p w14:paraId="6E1E8E3A" w14:textId="77777777" w:rsidR="00540DCF" w:rsidRPr="00540DCF" w:rsidRDefault="00540DCF" w:rsidP="00540DCF">
          <w:pPr>
            <w:pStyle w:val="Verzeichnis2"/>
            <w:tabs>
              <w:tab w:val="right" w:leader="dot" w:pos="9350"/>
            </w:tabs>
            <w:spacing w:line="480" w:lineRule="auto"/>
            <w:rPr>
              <w:rFonts w:ascii="Arial" w:eastAsiaTheme="minorEastAsia" w:hAnsi="Arial" w:cs="Arial"/>
              <w:noProof/>
              <w:lang w:val="de-CH" w:eastAsia="de-CH"/>
            </w:rPr>
          </w:pPr>
          <w:hyperlink w:anchor="_Toc71574240" w:history="1">
            <w:r w:rsidRPr="00540DCF">
              <w:rPr>
                <w:rStyle w:val="Hyperlink"/>
                <w:rFonts w:ascii="Arial" w:hAnsi="Arial" w:cs="Arial"/>
                <w:noProof/>
                <w:lang w:val="en-GB"/>
              </w:rPr>
              <w:t>Laboratory testing</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_Toc71574240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2</w:t>
            </w:r>
            <w:r w:rsidRPr="00540DCF">
              <w:rPr>
                <w:rFonts w:ascii="Arial" w:hAnsi="Arial" w:cs="Arial"/>
                <w:noProof/>
                <w:webHidden/>
              </w:rPr>
              <w:fldChar w:fldCharType="end"/>
            </w:r>
          </w:hyperlink>
        </w:p>
        <w:p w14:paraId="254338BD" w14:textId="77777777" w:rsidR="00540DCF" w:rsidRPr="00540DCF" w:rsidRDefault="00540DCF" w:rsidP="00540DCF">
          <w:pPr>
            <w:pStyle w:val="Verzeichnis3"/>
            <w:rPr>
              <w:rFonts w:ascii="Arial" w:eastAsiaTheme="minorEastAsia" w:hAnsi="Arial" w:cs="Arial"/>
              <w:noProof/>
              <w:lang w:val="de-CH" w:eastAsia="de-CH"/>
            </w:rPr>
          </w:pPr>
          <w:hyperlink w:anchor="_Toc71574241" w:history="1">
            <w:r w:rsidRPr="00540DCF">
              <w:rPr>
                <w:rStyle w:val="Hyperlink"/>
                <w:rFonts w:ascii="Arial" w:hAnsi="Arial" w:cs="Arial"/>
                <w:noProof/>
              </w:rPr>
              <w:t>Neutralization assay</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_Toc71574241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2</w:t>
            </w:r>
            <w:r w:rsidRPr="00540DCF">
              <w:rPr>
                <w:rFonts w:ascii="Arial" w:hAnsi="Arial" w:cs="Arial"/>
                <w:noProof/>
                <w:webHidden/>
              </w:rPr>
              <w:fldChar w:fldCharType="end"/>
            </w:r>
          </w:hyperlink>
        </w:p>
        <w:p w14:paraId="1EE47345" w14:textId="77777777" w:rsidR="00540DCF" w:rsidRPr="00540DCF" w:rsidRDefault="00540DCF" w:rsidP="00540DCF">
          <w:pPr>
            <w:pStyle w:val="Verzeichnis3"/>
            <w:rPr>
              <w:rFonts w:ascii="Arial" w:eastAsiaTheme="minorEastAsia" w:hAnsi="Arial" w:cs="Arial"/>
              <w:noProof/>
              <w:lang w:val="de-CH" w:eastAsia="de-CH"/>
            </w:rPr>
          </w:pPr>
          <w:hyperlink w:anchor="_Toc71574242" w:history="1">
            <w:r w:rsidRPr="00540DCF">
              <w:rPr>
                <w:rStyle w:val="Hyperlink"/>
                <w:rFonts w:ascii="Arial" w:hAnsi="Arial" w:cs="Arial"/>
                <w:noProof/>
              </w:rPr>
              <w:t>Hemagglutination inhibition (HAI) assay</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_Toc71574242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3</w:t>
            </w:r>
            <w:r w:rsidRPr="00540DCF">
              <w:rPr>
                <w:rFonts w:ascii="Arial" w:hAnsi="Arial" w:cs="Arial"/>
                <w:noProof/>
                <w:webHidden/>
              </w:rPr>
              <w:fldChar w:fldCharType="end"/>
            </w:r>
          </w:hyperlink>
        </w:p>
        <w:p w14:paraId="3D26D1EB" w14:textId="77777777" w:rsidR="00540DCF" w:rsidRPr="00540DCF" w:rsidRDefault="00540DCF" w:rsidP="00540DCF">
          <w:pPr>
            <w:pStyle w:val="Verzeichnis3"/>
            <w:rPr>
              <w:rFonts w:ascii="Arial" w:eastAsiaTheme="minorEastAsia" w:hAnsi="Arial" w:cs="Arial"/>
              <w:noProof/>
              <w:lang w:val="de-CH" w:eastAsia="de-CH"/>
            </w:rPr>
          </w:pPr>
          <w:hyperlink w:anchor="_Toc71574243" w:history="1">
            <w:r w:rsidRPr="00540DCF">
              <w:rPr>
                <w:rStyle w:val="Hyperlink"/>
                <w:rFonts w:ascii="Arial" w:hAnsi="Arial" w:cs="Arial"/>
                <w:noProof/>
              </w:rPr>
              <w:t>Flow cytometry for B- and T-cells</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_Toc71574243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4</w:t>
            </w:r>
            <w:r w:rsidRPr="00540DCF">
              <w:rPr>
                <w:rFonts w:ascii="Arial" w:hAnsi="Arial" w:cs="Arial"/>
                <w:noProof/>
                <w:webHidden/>
              </w:rPr>
              <w:fldChar w:fldCharType="end"/>
            </w:r>
          </w:hyperlink>
        </w:p>
        <w:p w14:paraId="154FF286" w14:textId="77777777" w:rsidR="00540DCF" w:rsidRPr="00540DCF" w:rsidRDefault="00540DCF" w:rsidP="00540DCF">
          <w:pPr>
            <w:pStyle w:val="Verzeichnis1"/>
            <w:rPr>
              <w:rFonts w:ascii="Arial" w:eastAsiaTheme="minorEastAsia" w:hAnsi="Arial" w:cs="Arial"/>
              <w:noProof/>
              <w:lang w:val="de-CH" w:eastAsia="de-CH"/>
            </w:rPr>
          </w:pPr>
          <w:hyperlink w:anchor="_Toc71574244" w:history="1">
            <w:r w:rsidRPr="00540DCF">
              <w:rPr>
                <w:rStyle w:val="Hyperlink"/>
                <w:rFonts w:ascii="Arial" w:hAnsi="Arial" w:cs="Arial"/>
                <w:noProof/>
                <w:lang w:val="en-GB"/>
              </w:rPr>
              <w:t>SUPPLEMENTAL RESULTS</w:t>
            </w:r>
            <w:bookmarkStart w:id="0" w:name="_GoBack"/>
            <w:bookmarkEnd w:id="0"/>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_Toc71574244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5</w:t>
            </w:r>
            <w:r w:rsidRPr="00540DCF">
              <w:rPr>
                <w:rFonts w:ascii="Arial" w:hAnsi="Arial" w:cs="Arial"/>
                <w:noProof/>
                <w:webHidden/>
              </w:rPr>
              <w:fldChar w:fldCharType="end"/>
            </w:r>
          </w:hyperlink>
        </w:p>
        <w:p w14:paraId="3717C377" w14:textId="77777777" w:rsidR="00540DCF" w:rsidRPr="00540DCF" w:rsidRDefault="00540DCF" w:rsidP="00540DCF">
          <w:pPr>
            <w:pStyle w:val="Verzeichnis2"/>
            <w:tabs>
              <w:tab w:val="right" w:leader="dot" w:pos="9350"/>
            </w:tabs>
            <w:spacing w:line="480" w:lineRule="auto"/>
            <w:rPr>
              <w:rFonts w:ascii="Arial" w:eastAsiaTheme="minorEastAsia" w:hAnsi="Arial" w:cs="Arial"/>
              <w:noProof/>
              <w:lang w:val="de-CH" w:eastAsia="de-CH"/>
            </w:rPr>
          </w:pPr>
          <w:hyperlink w:anchor="_Toc71574245" w:history="1">
            <w:r w:rsidRPr="00540DCF">
              <w:rPr>
                <w:rStyle w:val="Hyperlink"/>
                <w:rFonts w:ascii="Arial" w:hAnsi="Arial" w:cs="Arial"/>
                <w:noProof/>
              </w:rPr>
              <w:t>Correlation between the neutralization and the HAI assay</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_Toc71574245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5</w:t>
            </w:r>
            <w:r w:rsidRPr="00540DCF">
              <w:rPr>
                <w:rFonts w:ascii="Arial" w:hAnsi="Arial" w:cs="Arial"/>
                <w:noProof/>
                <w:webHidden/>
              </w:rPr>
              <w:fldChar w:fldCharType="end"/>
            </w:r>
          </w:hyperlink>
        </w:p>
        <w:p w14:paraId="25B27C55" w14:textId="77777777" w:rsidR="00540DCF" w:rsidRPr="00540DCF" w:rsidRDefault="00540DCF" w:rsidP="00540DCF">
          <w:pPr>
            <w:pStyle w:val="Verzeichnis2"/>
            <w:tabs>
              <w:tab w:val="right" w:leader="dot" w:pos="9350"/>
            </w:tabs>
            <w:spacing w:line="480" w:lineRule="auto"/>
            <w:rPr>
              <w:rFonts w:ascii="Arial" w:eastAsiaTheme="minorEastAsia" w:hAnsi="Arial" w:cs="Arial"/>
              <w:noProof/>
              <w:lang w:val="de-CH" w:eastAsia="de-CH"/>
            </w:rPr>
          </w:pPr>
          <w:hyperlink w:anchor="_Toc71574246" w:history="1">
            <w:r w:rsidRPr="00540DCF">
              <w:rPr>
                <w:rStyle w:val="Hyperlink"/>
                <w:rFonts w:ascii="Arial" w:hAnsi="Arial" w:cs="Arial"/>
                <w:noProof/>
                <w:lang w:val="en-GB"/>
              </w:rPr>
              <w:t>Correlates of the inactivated influenza vaccine immunogenicity</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_Toc71574246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5</w:t>
            </w:r>
            <w:r w:rsidRPr="00540DCF">
              <w:rPr>
                <w:rFonts w:ascii="Arial" w:hAnsi="Arial" w:cs="Arial"/>
                <w:noProof/>
                <w:webHidden/>
              </w:rPr>
              <w:fldChar w:fldCharType="end"/>
            </w:r>
          </w:hyperlink>
        </w:p>
        <w:p w14:paraId="4B588306" w14:textId="77777777" w:rsidR="00540DCF" w:rsidRPr="00540DCF" w:rsidRDefault="00540DCF" w:rsidP="00540DCF">
          <w:pPr>
            <w:pStyle w:val="Verzeichnis1"/>
            <w:rPr>
              <w:rFonts w:ascii="Arial" w:eastAsiaTheme="minorEastAsia" w:hAnsi="Arial" w:cs="Arial"/>
              <w:noProof/>
              <w:lang w:val="de-CH" w:eastAsia="de-CH"/>
            </w:rPr>
          </w:pPr>
          <w:hyperlink w:anchor="_Toc71574247" w:history="1">
            <w:r w:rsidRPr="00540DCF">
              <w:rPr>
                <w:rStyle w:val="Hyperlink"/>
                <w:rFonts w:ascii="Arial" w:hAnsi="Arial" w:cs="Arial"/>
                <w:noProof/>
              </w:rPr>
              <w:t>SUPPLEMENTAL TABLES</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_Toc71574247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6</w:t>
            </w:r>
            <w:r w:rsidRPr="00540DCF">
              <w:rPr>
                <w:rFonts w:ascii="Arial" w:hAnsi="Arial" w:cs="Arial"/>
                <w:noProof/>
                <w:webHidden/>
              </w:rPr>
              <w:fldChar w:fldCharType="end"/>
            </w:r>
          </w:hyperlink>
        </w:p>
        <w:p w14:paraId="1DA75539" w14:textId="77777777" w:rsidR="00540DCF" w:rsidRPr="00540DCF" w:rsidRDefault="00540DCF" w:rsidP="00540DCF">
          <w:pPr>
            <w:pStyle w:val="Verzeichnis2"/>
            <w:tabs>
              <w:tab w:val="right" w:leader="dot" w:pos="9350"/>
            </w:tabs>
            <w:spacing w:line="480" w:lineRule="auto"/>
            <w:rPr>
              <w:rFonts w:ascii="Arial" w:eastAsiaTheme="minorEastAsia" w:hAnsi="Arial" w:cs="Arial"/>
              <w:noProof/>
              <w:lang w:val="de-CH" w:eastAsia="de-CH"/>
            </w:rPr>
          </w:pPr>
          <w:hyperlink w:anchor="_Toc71574248" w:history="1">
            <w:r w:rsidRPr="00540DCF">
              <w:rPr>
                <w:rStyle w:val="Hyperlink"/>
                <w:rFonts w:ascii="Arial" w:hAnsi="Arial" w:cs="Arial"/>
                <w:noProof/>
              </w:rPr>
              <w:t>Supplemental Table 1. Additional baseline demographics and clinical characteristics of the pre- and post-CAR-T-cell therapy cohorts</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_Toc71574248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6</w:t>
            </w:r>
            <w:r w:rsidRPr="00540DCF">
              <w:rPr>
                <w:rFonts w:ascii="Arial" w:hAnsi="Arial" w:cs="Arial"/>
                <w:noProof/>
                <w:webHidden/>
              </w:rPr>
              <w:fldChar w:fldCharType="end"/>
            </w:r>
          </w:hyperlink>
        </w:p>
        <w:p w14:paraId="377D2F98" w14:textId="77777777" w:rsidR="00540DCF" w:rsidRPr="00540DCF" w:rsidRDefault="00540DCF" w:rsidP="00540DCF">
          <w:pPr>
            <w:pStyle w:val="Verzeichnis2"/>
            <w:tabs>
              <w:tab w:val="right" w:leader="dot" w:pos="9350"/>
            </w:tabs>
            <w:spacing w:line="480" w:lineRule="auto"/>
            <w:rPr>
              <w:rFonts w:ascii="Arial" w:eastAsiaTheme="minorEastAsia" w:hAnsi="Arial" w:cs="Arial"/>
              <w:noProof/>
              <w:lang w:val="de-CH" w:eastAsia="de-CH"/>
            </w:rPr>
          </w:pPr>
          <w:hyperlink w:anchor="_Toc71574249" w:history="1">
            <w:r w:rsidRPr="00540DCF">
              <w:rPr>
                <w:rStyle w:val="Hyperlink"/>
                <w:rFonts w:ascii="Arial" w:hAnsi="Arial" w:cs="Arial"/>
                <w:bCs/>
                <w:noProof/>
              </w:rPr>
              <w:t>Supplemental Table 2.</w:t>
            </w:r>
            <w:r w:rsidRPr="00540DCF">
              <w:rPr>
                <w:rStyle w:val="Hyperlink"/>
                <w:rFonts w:ascii="Arial" w:hAnsi="Arial" w:cs="Arial"/>
                <w:noProof/>
              </w:rPr>
              <w:t xml:space="preserve"> Baseline laboratory values and most recent IGRT administration for the pre- and post-CAR-T-cell therapy cohorts</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_Toc71574249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8</w:t>
            </w:r>
            <w:r w:rsidRPr="00540DCF">
              <w:rPr>
                <w:rFonts w:ascii="Arial" w:hAnsi="Arial" w:cs="Arial"/>
                <w:noProof/>
                <w:webHidden/>
              </w:rPr>
              <w:fldChar w:fldCharType="end"/>
            </w:r>
          </w:hyperlink>
        </w:p>
        <w:p w14:paraId="5897A36C" w14:textId="77777777" w:rsidR="00540DCF" w:rsidRPr="00540DCF" w:rsidRDefault="00540DCF" w:rsidP="00540DCF">
          <w:pPr>
            <w:pStyle w:val="Verzeichnis1"/>
            <w:rPr>
              <w:rFonts w:ascii="Arial" w:eastAsiaTheme="minorEastAsia" w:hAnsi="Arial" w:cs="Arial"/>
              <w:noProof/>
              <w:lang w:val="de-CH" w:eastAsia="de-CH"/>
            </w:rPr>
          </w:pPr>
          <w:hyperlink w:anchor="_Toc71574250" w:history="1">
            <w:r w:rsidRPr="00540DCF">
              <w:rPr>
                <w:rStyle w:val="Hyperlink"/>
                <w:rFonts w:ascii="Arial" w:hAnsi="Arial" w:cs="Arial"/>
                <w:noProof/>
              </w:rPr>
              <w:t>REFERENCES</w:t>
            </w:r>
            <w:r w:rsidRPr="00540DCF">
              <w:rPr>
                <w:rFonts w:ascii="Arial" w:hAnsi="Arial" w:cs="Arial"/>
                <w:noProof/>
                <w:webHidden/>
              </w:rPr>
              <w:tab/>
            </w:r>
            <w:r w:rsidRPr="00540DCF">
              <w:rPr>
                <w:rFonts w:ascii="Arial" w:hAnsi="Arial" w:cs="Arial"/>
                <w:noProof/>
                <w:webHidden/>
              </w:rPr>
              <w:fldChar w:fldCharType="begin"/>
            </w:r>
            <w:r w:rsidRPr="00540DCF">
              <w:rPr>
                <w:rFonts w:ascii="Arial" w:hAnsi="Arial" w:cs="Arial"/>
                <w:noProof/>
                <w:webHidden/>
              </w:rPr>
              <w:instrText xml:space="preserve"> PAGEREF _Toc71574250 \h </w:instrText>
            </w:r>
            <w:r w:rsidRPr="00540DCF">
              <w:rPr>
                <w:rFonts w:ascii="Arial" w:hAnsi="Arial" w:cs="Arial"/>
                <w:noProof/>
                <w:webHidden/>
              </w:rPr>
            </w:r>
            <w:r w:rsidRPr="00540DCF">
              <w:rPr>
                <w:rFonts w:ascii="Arial" w:hAnsi="Arial" w:cs="Arial"/>
                <w:noProof/>
                <w:webHidden/>
              </w:rPr>
              <w:fldChar w:fldCharType="separate"/>
            </w:r>
            <w:r w:rsidRPr="00540DCF">
              <w:rPr>
                <w:rFonts w:ascii="Arial" w:hAnsi="Arial" w:cs="Arial"/>
                <w:noProof/>
                <w:webHidden/>
              </w:rPr>
              <w:t>10</w:t>
            </w:r>
            <w:r w:rsidRPr="00540DCF">
              <w:rPr>
                <w:rFonts w:ascii="Arial" w:hAnsi="Arial" w:cs="Arial"/>
                <w:noProof/>
                <w:webHidden/>
              </w:rPr>
              <w:fldChar w:fldCharType="end"/>
            </w:r>
          </w:hyperlink>
        </w:p>
        <w:p w14:paraId="3CCA1087" w14:textId="70D4B2D6" w:rsidR="00787F0E" w:rsidRPr="000E78B5" w:rsidRDefault="00787F0E" w:rsidP="00540DCF">
          <w:pPr>
            <w:spacing w:line="480" w:lineRule="auto"/>
            <w:rPr>
              <w:rFonts w:ascii="Arial" w:hAnsi="Arial" w:cs="Arial"/>
            </w:rPr>
          </w:pPr>
          <w:r w:rsidRPr="00540DCF">
            <w:rPr>
              <w:rFonts w:ascii="Arial" w:hAnsi="Arial" w:cs="Arial"/>
              <w:b/>
              <w:bCs/>
              <w:noProof/>
            </w:rPr>
            <w:fldChar w:fldCharType="end"/>
          </w:r>
        </w:p>
      </w:sdtContent>
    </w:sdt>
    <w:p w14:paraId="3E751D4D" w14:textId="77777777" w:rsidR="00955376" w:rsidRDefault="00955376" w:rsidP="00705039">
      <w:pPr>
        <w:pStyle w:val="berschrift1"/>
        <w:sectPr w:rsidR="00955376">
          <w:footerReference w:type="default" r:id="rId8"/>
          <w:pgSz w:w="12240" w:h="15840"/>
          <w:pgMar w:top="1440" w:right="1440" w:bottom="1440" w:left="1440" w:header="720" w:footer="720" w:gutter="0"/>
          <w:cols w:space="720"/>
          <w:docGrid w:linePitch="360"/>
        </w:sectPr>
      </w:pPr>
    </w:p>
    <w:p w14:paraId="4C3E4099" w14:textId="542C3188" w:rsidR="00787F0E" w:rsidRPr="00787F0E" w:rsidRDefault="00787F0E" w:rsidP="00705039">
      <w:pPr>
        <w:pStyle w:val="berschrift1"/>
      </w:pPr>
      <w:bookmarkStart w:id="1" w:name="_Toc71574238"/>
      <w:r w:rsidRPr="00787F0E">
        <w:lastRenderedPageBreak/>
        <w:t>SUPPLEMENTA</w:t>
      </w:r>
      <w:r w:rsidR="002E574D">
        <w:t>L</w:t>
      </w:r>
      <w:r w:rsidRPr="00787F0E">
        <w:t xml:space="preserve"> METHODS</w:t>
      </w:r>
      <w:bookmarkEnd w:id="1"/>
    </w:p>
    <w:p w14:paraId="2D3B9F65" w14:textId="49F4B0B9" w:rsidR="006A5458" w:rsidRDefault="005925FC" w:rsidP="00705039">
      <w:pPr>
        <w:pStyle w:val="berschrift2"/>
        <w:rPr>
          <w:lang w:val="en-GB"/>
        </w:rPr>
      </w:pPr>
      <w:bookmarkStart w:id="2" w:name="_Toc71574239"/>
      <w:r>
        <w:rPr>
          <w:lang w:val="en-GB"/>
        </w:rPr>
        <w:t>Specimens</w:t>
      </w:r>
      <w:bookmarkEnd w:id="2"/>
    </w:p>
    <w:p w14:paraId="4B2C9208" w14:textId="2D13A0FE" w:rsidR="005925FC" w:rsidRDefault="005925FC" w:rsidP="00705039">
      <w:pPr>
        <w:spacing w:line="480" w:lineRule="auto"/>
        <w:ind w:firstLine="720"/>
        <w:rPr>
          <w:rFonts w:ascii="Arial" w:hAnsi="Arial" w:cs="Arial"/>
          <w:lang w:val="en-GB"/>
        </w:rPr>
      </w:pPr>
      <w:r>
        <w:rPr>
          <w:rFonts w:ascii="Arial" w:hAnsi="Arial" w:cs="Arial"/>
          <w:lang w:val="en-GB"/>
        </w:rPr>
        <w:t xml:space="preserve">Serum </w:t>
      </w:r>
      <w:r w:rsidRPr="005925FC">
        <w:rPr>
          <w:rFonts w:ascii="Arial" w:hAnsi="Arial" w:cs="Arial"/>
          <w:lang w:val="en-GB"/>
        </w:rPr>
        <w:t>was isolated from whole blood collected in clot activator red top vacutainers and stored at -80°C. Peripheral blood mononuclear cells (PBMCs) were isolated by Ficoll Histopaque centrifugation from whole blood collected in acid citrate dextrose vacutainers, washed twice with phosphate-buffer</w:t>
      </w:r>
      <w:r w:rsidR="003F1CDA">
        <w:rPr>
          <w:rFonts w:ascii="Arial" w:hAnsi="Arial" w:cs="Arial"/>
          <w:lang w:val="en-GB"/>
        </w:rPr>
        <w:t>ed</w:t>
      </w:r>
      <w:r w:rsidRPr="005925FC">
        <w:rPr>
          <w:rFonts w:ascii="Arial" w:hAnsi="Arial" w:cs="Arial"/>
          <w:lang w:val="en-GB"/>
        </w:rPr>
        <w:t xml:space="preserve"> saline, resuspended in a mixture of 90% fetal bovine serum and 10% dimethyl sulfoxide </w:t>
      </w:r>
      <w:r w:rsidR="003F1CDA">
        <w:rPr>
          <w:rFonts w:ascii="Arial" w:hAnsi="Arial" w:cs="Arial"/>
          <w:lang w:val="en-GB"/>
        </w:rPr>
        <w:t>(</w:t>
      </w:r>
      <w:r w:rsidRPr="005925FC">
        <w:rPr>
          <w:rFonts w:ascii="Arial" w:hAnsi="Arial" w:cs="Arial"/>
          <w:lang w:val="en-GB"/>
        </w:rPr>
        <w:t>DMSO</w:t>
      </w:r>
      <w:r w:rsidR="003F1CDA">
        <w:rPr>
          <w:rFonts w:ascii="Arial" w:hAnsi="Arial" w:cs="Arial"/>
          <w:lang w:val="en-GB"/>
        </w:rPr>
        <w:t>), cooled at</w:t>
      </w:r>
      <w:r w:rsidRPr="005925FC">
        <w:rPr>
          <w:rFonts w:ascii="Arial" w:hAnsi="Arial" w:cs="Arial"/>
          <w:lang w:val="en-GB"/>
        </w:rPr>
        <w:t xml:space="preserve"> a controlled rate and stored in liquid nitrogen.</w:t>
      </w:r>
    </w:p>
    <w:p w14:paraId="00E1E41C" w14:textId="77777777" w:rsidR="00B664EF" w:rsidRDefault="00B664EF" w:rsidP="00705039">
      <w:pPr>
        <w:spacing w:line="480" w:lineRule="auto"/>
        <w:ind w:firstLine="720"/>
        <w:rPr>
          <w:rFonts w:ascii="Arial" w:hAnsi="Arial" w:cs="Arial"/>
          <w:lang w:val="en-GB"/>
        </w:rPr>
      </w:pPr>
    </w:p>
    <w:p w14:paraId="3D5B175B" w14:textId="60C8B0AC" w:rsidR="00B233CF" w:rsidRDefault="00B12491" w:rsidP="00705039">
      <w:pPr>
        <w:pStyle w:val="berschrift2"/>
        <w:rPr>
          <w:lang w:val="en-GB"/>
        </w:rPr>
      </w:pPr>
      <w:bookmarkStart w:id="3" w:name="_Toc71574240"/>
      <w:r>
        <w:rPr>
          <w:lang w:val="en-GB"/>
        </w:rPr>
        <w:t>Laboratory testing</w:t>
      </w:r>
      <w:bookmarkEnd w:id="3"/>
    </w:p>
    <w:p w14:paraId="3BE6D806" w14:textId="3EFDBCBE" w:rsidR="00B12491" w:rsidRPr="00705039" w:rsidRDefault="00B12491" w:rsidP="00705039">
      <w:pPr>
        <w:pStyle w:val="berschrift3"/>
      </w:pPr>
      <w:bookmarkStart w:id="4" w:name="_Toc71574241"/>
      <w:r w:rsidRPr="00705039">
        <w:t>Neutralization assay</w:t>
      </w:r>
      <w:bookmarkEnd w:id="4"/>
    </w:p>
    <w:p w14:paraId="362C3BCF" w14:textId="2B4780F7" w:rsidR="00FC747D" w:rsidRDefault="00FC747D" w:rsidP="00705039">
      <w:pPr>
        <w:spacing w:line="480" w:lineRule="auto"/>
        <w:ind w:firstLine="720"/>
        <w:rPr>
          <w:rFonts w:ascii="Arial" w:hAnsi="Arial" w:cs="Arial"/>
          <w:lang w:val="en-GB"/>
        </w:rPr>
      </w:pPr>
      <w:r>
        <w:rPr>
          <w:rFonts w:ascii="Arial" w:hAnsi="Arial" w:cs="Arial"/>
          <w:lang w:val="en-GB"/>
        </w:rPr>
        <w:t>For the</w:t>
      </w:r>
      <w:r w:rsidRPr="00FC747D">
        <w:rPr>
          <w:rFonts w:ascii="Arial" w:hAnsi="Arial" w:cs="Arial"/>
          <w:lang w:val="en-GB"/>
        </w:rPr>
        <w:t xml:space="preserve"> fluorescent-based neutralization assay</w:t>
      </w:r>
      <w:r w:rsidR="00955376">
        <w:rPr>
          <w:rFonts w:ascii="Arial" w:hAnsi="Arial" w:cs="Arial"/>
          <w:lang w:val="en-GB"/>
        </w:rPr>
        <w:t>,</w:t>
      </w:r>
      <w:r w:rsidRPr="00FC747D">
        <w:rPr>
          <w:rFonts w:ascii="Arial" w:hAnsi="Arial" w:cs="Arial"/>
          <w:lang w:val="en-GB"/>
        </w:rPr>
        <w:t xml:space="preserve"> </w:t>
      </w:r>
      <w:r>
        <w:rPr>
          <w:rFonts w:ascii="Arial" w:hAnsi="Arial" w:cs="Arial"/>
          <w:lang w:val="en-GB"/>
        </w:rPr>
        <w:t>we used</w:t>
      </w:r>
      <w:r w:rsidRPr="00FC747D">
        <w:rPr>
          <w:rFonts w:ascii="Arial" w:hAnsi="Arial" w:cs="Arial"/>
          <w:lang w:val="en-GB"/>
        </w:rPr>
        <w:t xml:space="preserve"> previously described protocols</w:t>
      </w:r>
      <w:r w:rsidR="00F379CD">
        <w:rPr>
          <w:rFonts w:ascii="Arial" w:hAnsi="Arial" w:cs="Arial"/>
          <w:lang w:val="en-GB"/>
        </w:rPr>
        <w:t>.</w:t>
      </w:r>
      <w:r w:rsidR="00F379CD">
        <w:rPr>
          <w:rFonts w:ascii="Arial" w:hAnsi="Arial" w:cs="Arial"/>
          <w:lang w:val="en-GB"/>
        </w:rPr>
        <w:fldChar w:fldCharType="begin" w:fldLock="1"/>
      </w:r>
      <w:r w:rsidR="009F06F6">
        <w:rPr>
          <w:rFonts w:ascii="Arial" w:hAnsi="Arial" w:cs="Arial"/>
          <w:lang w:val="en-GB"/>
        </w:rPr>
        <w:instrText>ADDIN CSL_CITATION {"citationItems":[{"id":"ITEM-1","itemData":{"DOI":"10.1371/journal.ppat.1006271","ISSN":"1553-7374","abstract":"Identifying viral mutations that confer escape from antibodies is crucial for understanding the interplay between immunity and viral evolution. We describe a high-throughput approach to quantify the selection that monoclonal antibodies exert on all single amino-acid mutations to a viral protein. This approach, mutational antigenic profiling, involves creating all replication-competent protein variants of a virus, selecting with antibody, and using deep sequencing to identify enriched mutations. We use mutational antigenic profiling to comprehensively identify mutations that enable influenza virus to escape four monoclonal antibodies targeting hemagglutinin, and validate key findings with neutralization assays. We find remarkable mutation-level idiosyncrasy in antibody escape: for instance, at a single residue targeted by two antibodies, some mutations escape both antibodies while other mutations escape only one or the other. Because mutational antigenic profiling rapidly maps all mutations selected by an antibody, it is useful for elucidating immune specificities and interpreting the antigenic consequences of viral genetic variation.","author":[{"dropping-particle":"","family":"Doud","given":"Michael B.","non-dropping-particle":"","parse-names":false,"suffix":""},{"dropping-particle":"","family":"Hensley","given":"Scott E.","non-dropping-particle":"","parse-names":false,"suffix":""},{"dropping-particle":"","family":"Bloom","given":"Jesse D.","non-dropping-particle":"","parse-names":false,"suffix":""}],"container-title":"PLOS Pathogens","editor":[{"dropping-particle":"","family":"Lauring","given":"Adam S.","non-dropping-particle":"","parse-names":false,"suffix":""}],"id":"ITEM-1","issue":"3","issued":{"date-parts":[["2017","3","13"]]},"note":"Referenz für unseren microneutralization Assay\n\nÜberflogen: \n\nJesse Bloom Paper:\nStellt eine Technik vor um Mutationen zu erkennen, welche zum Escape von Influenza Antiköper führen.","page":"e1006271","publisher":"Public Library of Science","title":"Complete mapping of viral escape from neutralizing antibodies","type":"article-journal","volume":"13"},"uris":["http://www.mendeley.com/documents/?uuid=0dc28028-74cc-320a-892f-c344402e46d7"]},{"id":"ITEM-2","itemData":{"DOI":"10.1128/JVI.01889-13","ISSN":"1098-5514","PMID":"24027333","abstract":"In the vast majority of influenza A viruses characterized to date, hemagglutinin (HA) is the receptor-binding and fusion protein, whereas neuraminidase (NA) is a receptor-cleaving protein that facilitates viral release but is expendable for entry. However, the NAs of some recent human H3N2 isolates have acquired receptor-binding activity via the mutation D151G, although these isolates also appear to retain the ability to bind receptors via HA. We report here the laboratory generation of a mutation (G147R) that enables an N1 NA to completely co-opt the receptor-binding function normally performed by HA. Viruses with this mutant NA grow to high titers even in the presence of extensive mutations to conserved residues in HA's receptor-binding pocket. When the receptor-binding NA is paired with this binding-deficient HA, viral infectivity and red blood cell agglutination are blocked by NA inhibitors. Furthermore, virus-like particles expressing only the receptor-binding NA agglutinate red blood cells in an NA-dependent manner. Although the G147R NA receptor-binding mutant virus that we characterize is a laboratory creation, this same mutation is found in several natural clusters of H1N1 and H5N1 viruses. Our results demonstrate that, at least in tissue culture, influenza virus receptor-binding activity can be entirely shifted from HA to NA.","author":[{"dropping-particle":"","family":"Hooper","given":"Kathryn A","non-dropping-particle":"","parse-names":false,"suffix":""},{"dropping-particle":"","family":"Bloom","given":"Jesse D","non-dropping-particle":"","parse-names":false,"suffix":""}],"container-title":"Journal of virology","id":"ITEM-2","issue":"23","issued":{"date-parts":[["2013","12","1"]]},"note":"Referenz für Microneutralization assay\n\nHerstellung Viren; Gewünschte Virusplasmide werden separat in eine Zelle eingebracht (Transfection mit Plasmiden). Die Zelle produziert dann die gewünschten Viren. Viral supernatants werden dann collected.\nNeutralization Assay: Serum und Viren mischen, warten. Zellen hinzufügen. \nHintergrund emission wird gemessen.\nMaximum infectivity value; Viren plus Zellen ohne Serum (keine Antikörper). \nGFP fluorescence wird gemessen für jeden Serum --&amp;gt; Ergebniss = signal above background normalized to its no-serum control.","page":"12531-40","publisher":"American Society for Microbiology Journals","title":"A mutant influenza virus that uses an N1 neuraminidase as the receptor-binding protein.","type":"article-journal","volume":"87"},"uris":["http://www.mendeley.com/documents/?uuid=6624bb5d-0bf4-3542-acac-51759c933395"]},{"id":"ITEM-3","itemData":{"DOI":"10.7554/ELIFE.49324","PMID":"31452511","author":[{"dropping-particle":"","family":"Lee","given":"Juhye M","non-dropping-particle":"","parse-names":false,"suffix":""},{"dropping-particle":"","family":"Eguia","given":"Rachel","non-dropping-particle":"","parse-names":false,"suffix":""},{"dropping-particle":"","family":"Zost","given":"Seth J","non-dropping-particle":"","parse-names":false,"suffix":""},{"dropping-particle":"","family":"Choudhary","given":"Saket","non-dropping-particle":"","parse-names":false,"suffix":""},{"dropping-particle":"","family":"Wilson","given":"Patrick C","non-dropping-particle":"","parse-names":false,"suffix":""},{"dropping-particle":"","family":"Bedford","given":"Trevor","non-dropping-particle":"","parse-names":false,"suffix":""},{"dropping-particle":"","family":"Stevens-Ayers","given":"Terry","non-dropping-particle":"","parse-names":false,"suffix":""},{"dropping-particle":"","family":"Boeckh","given":"Michael","non-dropping-particle":"","parse-names":false,"suffix":""},{"dropping-particle":"","family":"Hurt","given":"Aeron C","non-dropping-particle":"","parse-names":false,"suffix":""},{"dropping-particle":"","family":"Lakdawala","given":"Seema S","non-dropping-particle":"","parse-names":false,"suffix":""},{"dropping-particle":"","family":"Hensley","given":"Scott E","non-dropping-particle":"","parse-names":false,"suffix":""},{"dropping-particle":"","family":"Bloom","given":"Jesse D","non-dropping-particle":"","parse-names":false,"suffix":""}],"container-title":"eLife","id":"ITEM-3","issued":{"date-parts":[["2019"]]},"note":"3tes Microneutralization paper Bloom lab\n\nMethod gelesen 12/29/2020","publisher":"eLife Sciences Publications, Ltd","title":"Mapping person-to-person variation in viral mutations that escape polyclonal serum targeting influenza hemagglutinin","type":"article-journal","volume":"8"},"uris":["http://www.mendeley.com/documents/?uuid=32d0fef3-98ad-380a-b109-815db72fcc94"]}],"mendeley":{"formattedCitation":"&lt;sup&gt;1–3&lt;/sup&gt;","plainTextFormattedCitation":"1–3","previouslyFormattedCitation":"&lt;sup&gt;1–3&lt;/sup&gt;"},"properties":{"noteIndex":0},"schema":"https://github.com/citation-style-language/schema/raw/master/csl-citation.json"}</w:instrText>
      </w:r>
      <w:r w:rsidR="00F379CD">
        <w:rPr>
          <w:rFonts w:ascii="Arial" w:hAnsi="Arial" w:cs="Arial"/>
          <w:lang w:val="en-GB"/>
        </w:rPr>
        <w:fldChar w:fldCharType="separate"/>
      </w:r>
      <w:r w:rsidR="00F379CD" w:rsidRPr="00F379CD">
        <w:rPr>
          <w:rFonts w:ascii="Arial" w:hAnsi="Arial" w:cs="Arial"/>
          <w:noProof/>
          <w:vertAlign w:val="superscript"/>
          <w:lang w:val="en-GB"/>
        </w:rPr>
        <w:t>1–3</w:t>
      </w:r>
      <w:r w:rsidR="00F379CD">
        <w:rPr>
          <w:rFonts w:ascii="Arial" w:hAnsi="Arial" w:cs="Arial"/>
          <w:lang w:val="en-GB"/>
        </w:rPr>
        <w:fldChar w:fldCharType="end"/>
      </w:r>
      <w:r w:rsidRPr="00FC747D">
        <w:rPr>
          <w:rFonts w:ascii="Arial" w:hAnsi="Arial" w:cs="Arial"/>
          <w:lang w:val="en-GB"/>
        </w:rPr>
        <w:t xml:space="preserve"> To generate the viruses, a co-culture of 293T-PB1 cells and MDCK-SIAT1-TMPRSS2-PB1 cells were transfected with reverse-genetic</w:t>
      </w:r>
      <w:r w:rsidR="002138BD">
        <w:rPr>
          <w:rFonts w:ascii="Arial" w:hAnsi="Arial" w:cs="Arial"/>
          <w:lang w:val="en-GB"/>
        </w:rPr>
        <w:t>s</w:t>
      </w:r>
      <w:r w:rsidRPr="00FC747D">
        <w:rPr>
          <w:rFonts w:ascii="Arial" w:hAnsi="Arial" w:cs="Arial"/>
          <w:lang w:val="en-GB"/>
        </w:rPr>
        <w:t xml:space="preserve"> plasmids which enc</w:t>
      </w:r>
      <w:r w:rsidR="002138BD">
        <w:rPr>
          <w:rFonts w:ascii="Arial" w:hAnsi="Arial" w:cs="Arial"/>
          <w:lang w:val="en-GB"/>
        </w:rPr>
        <w:t xml:space="preserve">oded the viral genomic segments, including a modified segment which included </w:t>
      </w:r>
      <w:r w:rsidRPr="00FC747D">
        <w:rPr>
          <w:rFonts w:ascii="Arial" w:hAnsi="Arial" w:cs="Arial"/>
          <w:lang w:val="en-GB"/>
        </w:rPr>
        <w:t>green fluorescent protein</w:t>
      </w:r>
      <w:r w:rsidR="00414645">
        <w:rPr>
          <w:rFonts w:ascii="Arial" w:hAnsi="Arial" w:cs="Arial"/>
          <w:lang w:val="en-GB"/>
        </w:rPr>
        <w:t>(GFP)</w:t>
      </w:r>
      <w:r w:rsidRPr="00FC747D">
        <w:rPr>
          <w:rFonts w:ascii="Arial" w:hAnsi="Arial" w:cs="Arial"/>
          <w:lang w:val="en-GB"/>
        </w:rPr>
        <w:t xml:space="preserve"> in place of PB1 (encoded in a pHH-PB1flank-GFP plasmid), and a protein expression plasmid encoding TMPRSS2. We used the </w:t>
      </w:r>
      <w:r w:rsidR="00AE7FAF">
        <w:rPr>
          <w:rFonts w:ascii="Arial" w:hAnsi="Arial" w:cs="Arial"/>
          <w:lang w:val="en-GB"/>
        </w:rPr>
        <w:t>H1</w:t>
      </w:r>
      <w:r w:rsidRPr="00FC747D">
        <w:rPr>
          <w:rFonts w:ascii="Arial" w:hAnsi="Arial" w:cs="Arial"/>
          <w:lang w:val="en-GB"/>
        </w:rPr>
        <w:t xml:space="preserve"> </w:t>
      </w:r>
      <w:r w:rsidR="00011A48" w:rsidRPr="00FC747D">
        <w:rPr>
          <w:rFonts w:ascii="Arial" w:hAnsi="Arial" w:cs="Arial"/>
          <w:lang w:val="en-GB"/>
        </w:rPr>
        <w:t>sequence derived</w:t>
      </w:r>
      <w:r w:rsidRPr="00FC747D">
        <w:rPr>
          <w:rFonts w:ascii="Arial" w:hAnsi="Arial" w:cs="Arial"/>
          <w:lang w:val="en-GB"/>
        </w:rPr>
        <w:t xml:space="preserve"> from the A/Brisbane/02/2018 (H1N1) virus strain. Other viral genes (PB2, PA, NP, NS, M, and NA) were derived from the A/WSN/1933 strain (kindly provided by Robert Webster of St. Jude Children’s Research Hospital). The virus containing culture supernatants were clarified, aliquoted and frozen at -80°C. Prior to running neutralization assays, sera were treated with receptor-destroying enzyme (RDE) to prevent virus from binding to residual sialic acids present in the serum. To do this, a vial of lyophilized RDE II (Seiken, Cat No. 370013) was resuspended in 20 mL PBS, then serum was diluted 1:4 into RDE solution, incubated at 37°C for 2.5 hr, and then </w:t>
      </w:r>
      <w:r w:rsidRPr="00FC747D">
        <w:rPr>
          <w:rFonts w:ascii="Arial" w:hAnsi="Arial" w:cs="Arial"/>
          <w:lang w:val="en-GB"/>
        </w:rPr>
        <w:lastRenderedPageBreak/>
        <w:t>heat-inactivated by incubating at 55°C for 30 min. RDE-treated sera were diluted down the columns of 96-well plate in neutralization assay medium (Medium 199 supplemented with 0.01% heat-inactivated FBS, 0.3% BSA, 100 U of penicillin/ml, 100 μg of streptomycin/ml, 100 μg of calcium chloride/ml, and 25 mM HEPES</w:t>
      </w:r>
      <w:r w:rsidR="00296229">
        <w:rPr>
          <w:rFonts w:ascii="Arial" w:hAnsi="Arial" w:cs="Arial"/>
          <w:lang w:val="en-GB"/>
        </w:rPr>
        <w:t>)</w:t>
      </w:r>
      <w:r w:rsidR="00011A48">
        <w:rPr>
          <w:rFonts w:ascii="Arial" w:hAnsi="Arial" w:cs="Arial"/>
          <w:lang w:val="en-GB"/>
        </w:rPr>
        <w:t>.</w:t>
      </w:r>
      <w:r w:rsidR="00AE7FAF" w:rsidRPr="00AE7FAF">
        <w:t xml:space="preserve"> </w:t>
      </w:r>
      <w:r w:rsidR="00AE7FAF" w:rsidRPr="00AE7FAF">
        <w:rPr>
          <w:rFonts w:ascii="Arial" w:hAnsi="Arial" w:cs="Arial"/>
          <w:lang w:val="en-GB"/>
        </w:rPr>
        <w:t>Average infectivity w</w:t>
      </w:r>
      <w:r w:rsidR="00AE7FAF">
        <w:rPr>
          <w:rFonts w:ascii="Arial" w:hAnsi="Arial" w:cs="Arial"/>
          <w:lang w:val="en-GB"/>
        </w:rPr>
        <w:t>as</w:t>
      </w:r>
      <w:r w:rsidR="00AE7FAF" w:rsidRPr="00AE7FAF">
        <w:rPr>
          <w:rFonts w:ascii="Arial" w:hAnsi="Arial" w:cs="Arial"/>
          <w:lang w:val="en-GB"/>
        </w:rPr>
        <w:t xml:space="preserve"> calculated </w:t>
      </w:r>
      <w:r w:rsidR="00AE7FAF">
        <w:rPr>
          <w:rFonts w:ascii="Arial" w:hAnsi="Arial" w:cs="Arial"/>
          <w:lang w:val="en-GB"/>
        </w:rPr>
        <w:t>from measurements from two replicate dilution columns</w:t>
      </w:r>
      <w:r w:rsidR="00296229">
        <w:rPr>
          <w:rFonts w:ascii="Arial" w:hAnsi="Arial" w:cs="Arial"/>
          <w:lang w:val="en-GB"/>
        </w:rPr>
        <w:t xml:space="preserve"> for each serum</w:t>
      </w:r>
      <w:r w:rsidR="00AE7FAF" w:rsidRPr="00AE7FAF">
        <w:rPr>
          <w:rFonts w:ascii="Arial" w:hAnsi="Arial" w:cs="Arial"/>
          <w:lang w:val="en-GB"/>
        </w:rPr>
        <w:t xml:space="preserve">. </w:t>
      </w:r>
      <w:r w:rsidRPr="00FC747D">
        <w:rPr>
          <w:rFonts w:ascii="Arial" w:hAnsi="Arial" w:cs="Arial"/>
          <w:lang w:val="en-GB"/>
        </w:rPr>
        <w:t>Plates we</w:t>
      </w:r>
      <w:r w:rsidR="00955376">
        <w:rPr>
          <w:rFonts w:ascii="Arial" w:hAnsi="Arial" w:cs="Arial"/>
          <w:lang w:val="en-GB"/>
        </w:rPr>
        <w:t>re incubated at 37˚C for 1 hour</w:t>
      </w:r>
      <w:r w:rsidRPr="00FC747D">
        <w:rPr>
          <w:rFonts w:ascii="Arial" w:hAnsi="Arial" w:cs="Arial"/>
          <w:lang w:val="en-GB"/>
        </w:rPr>
        <w:t xml:space="preserve"> to allow virus-antibody binding. Then</w:t>
      </w:r>
      <w:r w:rsidR="002138BD">
        <w:rPr>
          <w:rFonts w:ascii="Arial" w:hAnsi="Arial" w:cs="Arial"/>
          <w:lang w:val="en-GB"/>
        </w:rPr>
        <w:t>,</w:t>
      </w:r>
      <w:r w:rsidRPr="00FC747D">
        <w:rPr>
          <w:rFonts w:ascii="Arial" w:hAnsi="Arial" w:cs="Arial"/>
          <w:lang w:val="en-GB"/>
        </w:rPr>
        <w:t xml:space="preserve"> 5 × 10</w:t>
      </w:r>
      <w:r w:rsidRPr="006172F7">
        <w:rPr>
          <w:rFonts w:ascii="Arial" w:hAnsi="Arial" w:cs="Arial"/>
          <w:vertAlign w:val="superscript"/>
          <w:lang w:val="en-GB"/>
        </w:rPr>
        <w:t>4</w:t>
      </w:r>
      <w:r w:rsidRPr="00FC747D">
        <w:rPr>
          <w:rFonts w:ascii="Arial" w:hAnsi="Arial" w:cs="Arial"/>
          <w:lang w:val="en-GB"/>
        </w:rPr>
        <w:t xml:space="preserve"> MDCK-SIAT1-CMV-PB1 cells were added to each well.</w:t>
      </w:r>
      <w:r w:rsidR="0030509C">
        <w:rPr>
          <w:rFonts w:ascii="Arial" w:hAnsi="Arial" w:cs="Arial"/>
          <w:lang w:val="en-GB"/>
        </w:rPr>
        <w:t xml:space="preserve"> The cells </w:t>
      </w:r>
      <w:r w:rsidR="0030509C" w:rsidRPr="0030509C">
        <w:rPr>
          <w:rFonts w:ascii="Arial" w:hAnsi="Arial" w:cs="Arial"/>
          <w:lang w:val="en-GB"/>
        </w:rPr>
        <w:t>enable</w:t>
      </w:r>
      <w:r w:rsidR="0030509C">
        <w:rPr>
          <w:rFonts w:ascii="Arial" w:hAnsi="Arial" w:cs="Arial"/>
          <w:lang w:val="en-GB"/>
        </w:rPr>
        <w:t>d</w:t>
      </w:r>
      <w:r w:rsidR="0030509C" w:rsidRPr="0030509C">
        <w:rPr>
          <w:rFonts w:ascii="Arial" w:hAnsi="Arial" w:cs="Arial"/>
          <w:lang w:val="en-GB"/>
        </w:rPr>
        <w:t xml:space="preserve"> the virus to express GFP upon infection</w:t>
      </w:r>
      <w:r w:rsidR="0030509C">
        <w:rPr>
          <w:rFonts w:ascii="Arial" w:hAnsi="Arial" w:cs="Arial"/>
          <w:lang w:val="en-GB"/>
        </w:rPr>
        <w:t>.</w:t>
      </w:r>
      <w:r w:rsidR="0030509C" w:rsidRPr="0030509C">
        <w:rPr>
          <w:rFonts w:ascii="Arial" w:hAnsi="Arial" w:cs="Arial"/>
          <w:lang w:val="en-GB"/>
        </w:rPr>
        <w:t xml:space="preserve"> </w:t>
      </w:r>
      <w:r w:rsidRPr="00FC747D">
        <w:rPr>
          <w:rFonts w:ascii="Arial" w:hAnsi="Arial" w:cs="Arial"/>
          <w:lang w:val="en-GB"/>
        </w:rPr>
        <w:t xml:space="preserve">Wells without added serum were used to measure maximal infectivity in the absence of neutralization. Wells without cells were used to measure background fluorescence in viral supernatants. After 16-20 hours incubation at 37˚C, GFP fluorescence intensity was measured using an excitation wavelength of 485 nm and an emission wavelength of 515 nm (12-nm slit widths). Percent of maximal infectivity was calculated by subtracting background fluorescence signal from all wells and dividing the signal from serum-containing wells by the signal from corresponding wells without serum. Average infectivity over duplicate measurements were calculated. Curves were plotted and IC50s were calculated using the </w:t>
      </w:r>
      <w:r w:rsidRPr="002138BD">
        <w:rPr>
          <w:rFonts w:ascii="Arial" w:hAnsi="Arial" w:cs="Arial"/>
          <w:i/>
          <w:lang w:val="en-GB"/>
        </w:rPr>
        <w:t>neutcurve</w:t>
      </w:r>
      <w:r w:rsidRPr="00FC747D">
        <w:rPr>
          <w:rFonts w:ascii="Arial" w:hAnsi="Arial" w:cs="Arial"/>
          <w:lang w:val="en-GB"/>
        </w:rPr>
        <w:t xml:space="preserve"> Python package</w:t>
      </w:r>
      <w:r w:rsidR="002138BD">
        <w:rPr>
          <w:rFonts w:ascii="Arial" w:hAnsi="Arial" w:cs="Arial"/>
          <w:lang w:val="en-GB"/>
        </w:rPr>
        <w:t xml:space="preserve"> </w:t>
      </w:r>
      <w:r w:rsidR="002138BD" w:rsidRPr="00BB1286">
        <w:rPr>
          <w:rFonts w:ascii="Arial" w:hAnsi="Arial" w:cs="Arial"/>
          <w:lang w:val="en-GB"/>
        </w:rPr>
        <w:t>(https://jbloomlab.github.io/neutcurve/, 0.3.1)</w:t>
      </w:r>
      <w:r w:rsidRPr="00FC747D">
        <w:rPr>
          <w:rFonts w:ascii="Arial" w:hAnsi="Arial" w:cs="Arial"/>
          <w:lang w:val="en-GB"/>
        </w:rPr>
        <w:t>.</w:t>
      </w:r>
    </w:p>
    <w:p w14:paraId="74F8C974" w14:textId="77777777" w:rsidR="00B664EF" w:rsidRDefault="00B664EF" w:rsidP="00705039">
      <w:pPr>
        <w:spacing w:line="480" w:lineRule="auto"/>
        <w:ind w:firstLine="720"/>
        <w:rPr>
          <w:rFonts w:ascii="Arial" w:hAnsi="Arial" w:cs="Arial"/>
          <w:lang w:val="en-GB"/>
        </w:rPr>
      </w:pPr>
    </w:p>
    <w:p w14:paraId="50779F96" w14:textId="003EBDB3" w:rsidR="002F42A6" w:rsidRPr="00705039" w:rsidRDefault="002F42A6" w:rsidP="00705039">
      <w:pPr>
        <w:pStyle w:val="berschrift3"/>
      </w:pPr>
      <w:bookmarkStart w:id="5" w:name="_Toc71574242"/>
      <w:r w:rsidRPr="00705039">
        <w:t>Hemagglutination inhibition (HAI) assay</w:t>
      </w:r>
      <w:bookmarkEnd w:id="5"/>
    </w:p>
    <w:p w14:paraId="71622F77" w14:textId="31C60D35" w:rsidR="00C278E6" w:rsidRDefault="002F42A6" w:rsidP="00705039">
      <w:pPr>
        <w:spacing w:line="480" w:lineRule="auto"/>
        <w:ind w:firstLine="720"/>
        <w:rPr>
          <w:rFonts w:ascii="Arial" w:hAnsi="Arial" w:cs="Arial"/>
          <w:lang w:val="en-GB"/>
        </w:rPr>
      </w:pPr>
      <w:r>
        <w:rPr>
          <w:rFonts w:ascii="Arial" w:hAnsi="Arial" w:cs="Arial"/>
          <w:lang w:val="en-GB"/>
        </w:rPr>
        <w:t>HAI</w:t>
      </w:r>
      <w:r w:rsidR="00C278E6">
        <w:rPr>
          <w:rFonts w:ascii="Arial" w:hAnsi="Arial" w:cs="Arial"/>
          <w:lang w:val="en-GB"/>
        </w:rPr>
        <w:t xml:space="preserve"> assays</w:t>
      </w:r>
      <w:r w:rsidR="004E2FBE">
        <w:rPr>
          <w:rFonts w:ascii="Arial" w:hAnsi="Arial" w:cs="Arial"/>
          <w:lang w:val="en-GB"/>
        </w:rPr>
        <w:t xml:space="preserve"> were performed to all four vaccine strains </w:t>
      </w:r>
      <w:r w:rsidR="004E2FBE" w:rsidRPr="004E2FBE">
        <w:rPr>
          <w:rFonts w:ascii="Arial" w:hAnsi="Arial" w:cs="Arial"/>
          <w:lang w:val="en-GB"/>
        </w:rPr>
        <w:t>(FR-1665, FR-1666, FR-1667, FR-1669, International Reagent Resource, Manassas, VA)</w:t>
      </w:r>
      <w:r w:rsidR="004E2FBE">
        <w:rPr>
          <w:rFonts w:ascii="Arial" w:hAnsi="Arial" w:cs="Arial"/>
          <w:lang w:val="en-GB"/>
        </w:rPr>
        <w:t>.</w:t>
      </w:r>
      <w:r w:rsidR="00C278E6" w:rsidRPr="00C278E6">
        <w:rPr>
          <w:rFonts w:ascii="Arial" w:hAnsi="Arial" w:cs="Arial"/>
          <w:lang w:val="en-GB"/>
        </w:rPr>
        <w:t xml:space="preserve"> </w:t>
      </w:r>
      <w:r w:rsidR="004E2FBE">
        <w:rPr>
          <w:rFonts w:ascii="Arial" w:hAnsi="Arial" w:cs="Arial"/>
          <w:lang w:val="en-GB"/>
        </w:rPr>
        <w:t>S</w:t>
      </w:r>
      <w:r w:rsidR="00C278E6" w:rsidRPr="00C278E6">
        <w:rPr>
          <w:rFonts w:ascii="Arial" w:hAnsi="Arial" w:cs="Arial"/>
          <w:lang w:val="en-GB"/>
        </w:rPr>
        <w:t xml:space="preserve">erum samples were treated with </w:t>
      </w:r>
      <w:r w:rsidR="00955376">
        <w:rPr>
          <w:rFonts w:ascii="Arial" w:hAnsi="Arial" w:cs="Arial"/>
          <w:lang w:val="en-GB"/>
        </w:rPr>
        <w:t>RDE</w:t>
      </w:r>
      <w:r w:rsidR="00C278E6" w:rsidRPr="00C278E6">
        <w:rPr>
          <w:rFonts w:ascii="Arial" w:hAnsi="Arial" w:cs="Arial"/>
          <w:lang w:val="en-GB"/>
        </w:rPr>
        <w:t xml:space="preserve"> (VWR, Radnor, PE: MSPP370013) overnight at 37° and subsequently heated at 56°C for 30 minutes to remove nonspecific inhibitors. Serum was then adsorbed with red blood cells to remove nonspecific agglutinins. We prepared </w:t>
      </w:r>
      <w:r w:rsidR="00C278E6">
        <w:rPr>
          <w:rFonts w:ascii="Arial" w:hAnsi="Arial" w:cs="Arial"/>
          <w:lang w:val="en-GB"/>
        </w:rPr>
        <w:t xml:space="preserve">two replicate </w:t>
      </w:r>
      <w:r w:rsidR="00C278E6" w:rsidRPr="00C278E6">
        <w:rPr>
          <w:rFonts w:ascii="Arial" w:hAnsi="Arial" w:cs="Arial"/>
          <w:lang w:val="en-GB"/>
        </w:rPr>
        <w:t xml:space="preserve">serial 2-fold dilutions (starting from 1:10) of 50µL of each treated sample on a 96-well microtiter plate, added 25µL standardized concentrations of vaccine antigen, and incubated at room temperature for 15 minutes. We </w:t>
      </w:r>
      <w:r w:rsidR="00C278E6" w:rsidRPr="00C278E6">
        <w:rPr>
          <w:rFonts w:ascii="Arial" w:hAnsi="Arial" w:cs="Arial"/>
          <w:lang w:val="en-GB"/>
        </w:rPr>
        <w:lastRenderedPageBreak/>
        <w:t>added 50µL standardized turkey red blood cells to all wells and allowed to settle at room temperature for 30 minutes</w:t>
      </w:r>
      <w:r w:rsidR="004E2FBE">
        <w:rPr>
          <w:rFonts w:ascii="Arial" w:hAnsi="Arial" w:cs="Arial"/>
          <w:lang w:val="en-GB"/>
        </w:rPr>
        <w:t xml:space="preserve"> prior to result assessment. </w:t>
      </w:r>
      <w:r w:rsidR="004E2FBE" w:rsidRPr="004E2FBE">
        <w:rPr>
          <w:rFonts w:ascii="Arial" w:hAnsi="Arial" w:cs="Arial"/>
          <w:lang w:val="en-GB"/>
        </w:rPr>
        <w:t>All runs included antisera and positive and negative controls.</w:t>
      </w:r>
    </w:p>
    <w:p w14:paraId="75883294" w14:textId="77777777" w:rsidR="00B664EF" w:rsidRPr="005925FC" w:rsidRDefault="00B664EF" w:rsidP="00705039">
      <w:pPr>
        <w:spacing w:line="480" w:lineRule="auto"/>
        <w:ind w:firstLine="720"/>
        <w:rPr>
          <w:rFonts w:ascii="Arial" w:hAnsi="Arial" w:cs="Arial"/>
          <w:lang w:val="en-GB"/>
        </w:rPr>
      </w:pPr>
    </w:p>
    <w:p w14:paraId="3A94079C" w14:textId="25304F46" w:rsidR="00787F0E" w:rsidRDefault="00787F0E" w:rsidP="00705039">
      <w:pPr>
        <w:pStyle w:val="berschrift3"/>
        <w:rPr>
          <w:b/>
        </w:rPr>
      </w:pPr>
      <w:bookmarkStart w:id="6" w:name="_Toc71574243"/>
      <w:r w:rsidRPr="00787F0E">
        <w:t>Flow cytometry for B- and T-cell</w:t>
      </w:r>
      <w:r w:rsidR="00866673">
        <w:t>s</w:t>
      </w:r>
      <w:bookmarkEnd w:id="6"/>
      <w:r w:rsidRPr="00787F0E">
        <w:t xml:space="preserve"> </w:t>
      </w:r>
    </w:p>
    <w:p w14:paraId="2130638C" w14:textId="44F3706E" w:rsidR="00E258C8" w:rsidRDefault="00887B36" w:rsidP="00705039">
      <w:pPr>
        <w:spacing w:line="480" w:lineRule="auto"/>
        <w:ind w:firstLine="720"/>
        <w:rPr>
          <w:rFonts w:ascii="Arial" w:hAnsi="Arial" w:cs="Arial"/>
          <w:lang w:val="en-GB"/>
        </w:rPr>
      </w:pPr>
      <w:r w:rsidRPr="00787F0E">
        <w:rPr>
          <w:rFonts w:ascii="Arial" w:hAnsi="Arial" w:cs="Arial"/>
          <w:lang w:val="en-GB"/>
        </w:rPr>
        <w:t>B-cells and T-cells</w:t>
      </w:r>
      <w:r w:rsidR="004E653A" w:rsidRPr="00787F0E">
        <w:rPr>
          <w:rFonts w:ascii="Arial" w:hAnsi="Arial" w:cs="Arial"/>
          <w:lang w:val="en-GB"/>
        </w:rPr>
        <w:t xml:space="preserve"> were quantified using </w:t>
      </w:r>
      <w:r w:rsidR="00AE7FAF" w:rsidRPr="00787F0E">
        <w:rPr>
          <w:rFonts w:ascii="Arial" w:hAnsi="Arial" w:cs="Arial"/>
          <w:lang w:val="en-GB"/>
        </w:rPr>
        <w:t>a research flow cytometry panel</w:t>
      </w:r>
      <w:r w:rsidR="00AE7FAF">
        <w:rPr>
          <w:rFonts w:ascii="Arial" w:hAnsi="Arial" w:cs="Arial"/>
          <w:lang w:val="en-GB"/>
        </w:rPr>
        <w:t>. P</w:t>
      </w:r>
      <w:r w:rsidRPr="00787F0E">
        <w:rPr>
          <w:rFonts w:ascii="Arial" w:hAnsi="Arial" w:cs="Arial"/>
          <w:lang w:val="en-GB"/>
        </w:rPr>
        <w:t>eripheral blood mononuclear cells (PBMCs)</w:t>
      </w:r>
      <w:r w:rsidR="00AE7FAF">
        <w:rPr>
          <w:rFonts w:ascii="Arial" w:hAnsi="Arial" w:cs="Arial"/>
          <w:lang w:val="en-GB"/>
        </w:rPr>
        <w:t xml:space="preserve"> </w:t>
      </w:r>
      <w:r w:rsidR="004E653A" w:rsidRPr="00787F0E">
        <w:rPr>
          <w:rFonts w:ascii="Arial" w:hAnsi="Arial" w:cs="Arial"/>
          <w:lang w:val="en-GB"/>
        </w:rPr>
        <w:t>were</w:t>
      </w:r>
      <w:r w:rsidRPr="00787F0E">
        <w:rPr>
          <w:rFonts w:ascii="Arial" w:hAnsi="Arial" w:cs="Arial"/>
          <w:lang w:val="en-GB"/>
        </w:rPr>
        <w:t xml:space="preserve"> incubated</w:t>
      </w:r>
      <w:r w:rsidR="004E653A" w:rsidRPr="00787F0E">
        <w:rPr>
          <w:rFonts w:ascii="Arial" w:hAnsi="Arial" w:cs="Arial"/>
          <w:lang w:val="en-GB"/>
        </w:rPr>
        <w:t xml:space="preserve"> </w:t>
      </w:r>
      <w:r w:rsidRPr="00787F0E">
        <w:rPr>
          <w:rFonts w:ascii="Arial" w:hAnsi="Arial" w:cs="Arial"/>
          <w:lang w:val="en-GB"/>
        </w:rPr>
        <w:t xml:space="preserve">for 30 minutes on ice </w:t>
      </w:r>
      <w:r w:rsidR="00AE7FAF">
        <w:rPr>
          <w:rFonts w:ascii="Arial" w:hAnsi="Arial" w:cs="Arial"/>
          <w:lang w:val="en-GB"/>
        </w:rPr>
        <w:t>with</w:t>
      </w:r>
      <w:r w:rsidR="00AE7FAF" w:rsidRPr="00787F0E">
        <w:rPr>
          <w:rFonts w:ascii="Arial" w:hAnsi="Arial" w:cs="Arial"/>
          <w:lang w:val="en-GB"/>
        </w:rPr>
        <w:t xml:space="preserve"> antibodies</w:t>
      </w:r>
      <w:r w:rsidR="00AE7FAF">
        <w:rPr>
          <w:rFonts w:ascii="Arial" w:hAnsi="Arial" w:cs="Arial"/>
          <w:lang w:val="en-GB"/>
        </w:rPr>
        <w:t xml:space="preserve"> contained in</w:t>
      </w:r>
      <w:r w:rsidR="00AE7FAF" w:rsidRPr="00787F0E">
        <w:rPr>
          <w:rFonts w:ascii="Arial" w:hAnsi="Arial" w:cs="Arial"/>
          <w:lang w:val="en-GB"/>
        </w:rPr>
        <w:t xml:space="preserve"> </w:t>
      </w:r>
      <w:r w:rsidRPr="00787F0E">
        <w:rPr>
          <w:rFonts w:ascii="Arial" w:hAnsi="Arial" w:cs="Arial"/>
          <w:lang w:val="en-GB"/>
        </w:rPr>
        <w:t>100 µL</w:t>
      </w:r>
      <w:r w:rsidR="00AE7FAF">
        <w:rPr>
          <w:rFonts w:ascii="Arial" w:hAnsi="Arial" w:cs="Arial"/>
          <w:lang w:val="en-GB"/>
        </w:rPr>
        <w:t xml:space="preserve"> of FACS buffer that consisted </w:t>
      </w:r>
      <w:r w:rsidR="00AE7FAF" w:rsidRPr="00787F0E">
        <w:rPr>
          <w:rFonts w:ascii="Arial" w:hAnsi="Arial" w:cs="Arial"/>
          <w:lang w:val="en-GB"/>
        </w:rPr>
        <w:t>of 1x DPBS containing 1% newborn calf serum (Life Technologies)</w:t>
      </w:r>
      <w:r w:rsidR="00AE7FAF">
        <w:rPr>
          <w:rFonts w:ascii="Arial" w:hAnsi="Arial" w:cs="Arial"/>
          <w:lang w:val="en-GB"/>
        </w:rPr>
        <w:t>. Cells were then washed and analysed</w:t>
      </w:r>
      <w:r w:rsidRPr="00787F0E">
        <w:rPr>
          <w:rFonts w:ascii="Arial" w:hAnsi="Arial" w:cs="Arial"/>
          <w:lang w:val="en-GB"/>
        </w:rPr>
        <w:t xml:space="preserve"> on a FACSymphony (BD Bioscience). </w:t>
      </w:r>
      <w:r w:rsidR="00AE7FAF">
        <w:rPr>
          <w:rFonts w:ascii="Arial" w:hAnsi="Arial" w:cs="Arial"/>
          <w:lang w:val="en-GB"/>
        </w:rPr>
        <w:t xml:space="preserve">The following antibodies were included for cell labelling: </w:t>
      </w:r>
      <w:r w:rsidR="00501591" w:rsidRPr="00787F0E">
        <w:rPr>
          <w:rFonts w:ascii="Arial" w:hAnsi="Arial" w:cs="Arial"/>
          <w:lang w:val="en-GB"/>
        </w:rPr>
        <w:t xml:space="preserve">fixable viability dye (FV), </w:t>
      </w:r>
      <w:r w:rsidR="00AE7FAF" w:rsidRPr="00787F0E">
        <w:rPr>
          <w:rFonts w:ascii="Arial" w:hAnsi="Arial" w:cs="Arial"/>
          <w:lang w:val="en-GB"/>
        </w:rPr>
        <w:t>anti-CD45 BV510 (HI30, BD), anti-CD3 BV605 (UCHT1, BioLegend), anti-CD4 Alexa Fluor 488 (OKT4, BioLegend), anti-CD8 APC-H7 (SK1, BD), anti-CD16 BV711 (3G8, BD), anti-CD14 BV711 (M0P-9, BD), anti-CD38 BUV661 (HIT2, BD),</w:t>
      </w:r>
      <w:r w:rsidR="00AE7FAF">
        <w:rPr>
          <w:rFonts w:ascii="Arial" w:hAnsi="Arial" w:cs="Arial"/>
          <w:lang w:val="en-GB"/>
        </w:rPr>
        <w:t xml:space="preserve"> </w:t>
      </w:r>
      <w:r w:rsidR="004E653A" w:rsidRPr="00787F0E">
        <w:rPr>
          <w:rFonts w:ascii="Arial" w:hAnsi="Arial" w:cs="Arial"/>
          <w:lang w:val="en-GB"/>
        </w:rPr>
        <w:t xml:space="preserve">anti-IgD BUV737 (IA6-2, BD), </w:t>
      </w:r>
      <w:r w:rsidR="00AE7FAF" w:rsidRPr="00787F0E">
        <w:rPr>
          <w:rFonts w:ascii="Arial" w:hAnsi="Arial" w:cs="Arial"/>
          <w:lang w:val="en-GB"/>
        </w:rPr>
        <w:t xml:space="preserve">anti-IgM PerCP- Cy5.5 (G20-127, BD), anti-CD20 BUV395 (2H7, BD), </w:t>
      </w:r>
      <w:r w:rsidRPr="00787F0E">
        <w:rPr>
          <w:rFonts w:ascii="Arial" w:hAnsi="Arial" w:cs="Arial"/>
          <w:lang w:val="en-GB"/>
        </w:rPr>
        <w:t xml:space="preserve">anti-CD19 BV421 (HIB19, BD), </w:t>
      </w:r>
      <w:r w:rsidR="004E653A" w:rsidRPr="00787F0E">
        <w:rPr>
          <w:rFonts w:ascii="Arial" w:hAnsi="Arial" w:cs="Arial"/>
          <w:lang w:val="en-GB"/>
        </w:rPr>
        <w:t xml:space="preserve">anti-CD27 PE-Cy7 (LG.7F9, Thermo Fisher), </w:t>
      </w:r>
      <w:r w:rsidR="00955376">
        <w:rPr>
          <w:rFonts w:ascii="Arial" w:hAnsi="Arial" w:cs="Arial"/>
          <w:lang w:val="en-GB"/>
        </w:rPr>
        <w:t xml:space="preserve">and </w:t>
      </w:r>
      <w:r w:rsidR="004E653A" w:rsidRPr="00787F0E">
        <w:rPr>
          <w:rFonts w:ascii="Arial" w:hAnsi="Arial" w:cs="Arial"/>
          <w:lang w:val="en-GB"/>
        </w:rPr>
        <w:t>anti-EGFR APC (cetuximab, R&amp;D Systems</w:t>
      </w:r>
      <w:r w:rsidR="00955376">
        <w:rPr>
          <w:rFonts w:ascii="Arial" w:hAnsi="Arial" w:cs="Arial"/>
          <w:lang w:val="en-GB"/>
        </w:rPr>
        <w:t>)</w:t>
      </w:r>
      <w:r w:rsidRPr="00787F0E">
        <w:rPr>
          <w:rFonts w:ascii="Arial" w:hAnsi="Arial" w:cs="Arial"/>
          <w:lang w:val="en-GB"/>
        </w:rPr>
        <w:t xml:space="preserve">. </w:t>
      </w:r>
      <w:r w:rsidR="00AE7FAF">
        <w:rPr>
          <w:rFonts w:ascii="Arial" w:hAnsi="Arial" w:cs="Arial"/>
          <w:lang w:val="en-GB"/>
        </w:rPr>
        <w:t>N</w:t>
      </w:r>
      <w:r w:rsidR="00AE7FAF" w:rsidRPr="00AE7FAF">
        <w:rPr>
          <w:rFonts w:ascii="Arial" w:hAnsi="Arial" w:cs="Arial"/>
          <w:lang w:val="en-GB"/>
        </w:rPr>
        <w:t>aïve B-cells (CD19</w:t>
      </w:r>
      <w:r w:rsidR="00AE7FAF" w:rsidRPr="00414645">
        <w:rPr>
          <w:rFonts w:ascii="Arial" w:hAnsi="Arial" w:cs="Arial"/>
          <w:vertAlign w:val="superscript"/>
          <w:lang w:val="en-GB"/>
        </w:rPr>
        <w:t>+</w:t>
      </w:r>
      <w:r w:rsidR="00AE7FAF" w:rsidRPr="00AE7FAF">
        <w:rPr>
          <w:rFonts w:ascii="Arial" w:hAnsi="Arial" w:cs="Arial"/>
          <w:lang w:val="en-GB"/>
        </w:rPr>
        <w:t>CD27</w:t>
      </w:r>
      <w:r w:rsidR="00AE7FAF" w:rsidRPr="00414645">
        <w:rPr>
          <w:rFonts w:ascii="Arial" w:hAnsi="Arial" w:cs="Arial"/>
          <w:vertAlign w:val="superscript"/>
          <w:lang w:val="en-GB"/>
        </w:rPr>
        <w:t>-</w:t>
      </w:r>
      <w:r w:rsidR="00AE7FAF" w:rsidRPr="00AE7FAF">
        <w:rPr>
          <w:rFonts w:ascii="Arial" w:hAnsi="Arial" w:cs="Arial"/>
          <w:lang w:val="en-GB"/>
        </w:rPr>
        <w:t>CD38</w:t>
      </w:r>
      <w:r w:rsidR="00AE7FAF" w:rsidRPr="00414645">
        <w:rPr>
          <w:rFonts w:ascii="Arial" w:hAnsi="Arial" w:cs="Arial"/>
          <w:vertAlign w:val="superscript"/>
          <w:lang w:val="en-GB"/>
        </w:rPr>
        <w:t>-</w:t>
      </w:r>
      <w:r w:rsidR="00AE7FAF" w:rsidRPr="00AE7FAF">
        <w:rPr>
          <w:rFonts w:ascii="Arial" w:hAnsi="Arial" w:cs="Arial"/>
          <w:lang w:val="en-GB"/>
        </w:rPr>
        <w:t>IgD</w:t>
      </w:r>
      <w:r w:rsidR="00AE7FAF" w:rsidRPr="00414645">
        <w:rPr>
          <w:rFonts w:ascii="Arial" w:hAnsi="Arial" w:cs="Arial"/>
          <w:vertAlign w:val="superscript"/>
          <w:lang w:val="en-GB"/>
        </w:rPr>
        <w:t>+</w:t>
      </w:r>
      <w:r w:rsidR="00AE7FAF" w:rsidRPr="00AE7FAF">
        <w:rPr>
          <w:rFonts w:ascii="Arial" w:hAnsi="Arial" w:cs="Arial"/>
          <w:lang w:val="en-GB"/>
        </w:rPr>
        <w:t xml:space="preserve">) and switched </w:t>
      </w:r>
      <w:r w:rsidR="00AE7FAF">
        <w:rPr>
          <w:rFonts w:ascii="Arial" w:hAnsi="Arial" w:cs="Arial"/>
          <w:lang w:val="en-GB"/>
        </w:rPr>
        <w:t>memory B-cells (CD19</w:t>
      </w:r>
      <w:r w:rsidR="00AE7FAF" w:rsidRPr="00414645">
        <w:rPr>
          <w:rFonts w:ascii="Arial" w:hAnsi="Arial" w:cs="Arial"/>
          <w:vertAlign w:val="superscript"/>
          <w:lang w:val="en-GB"/>
        </w:rPr>
        <w:t>+</w:t>
      </w:r>
      <w:r w:rsidR="00AE7FAF">
        <w:rPr>
          <w:rFonts w:ascii="Arial" w:hAnsi="Arial" w:cs="Arial"/>
          <w:lang w:val="en-GB"/>
        </w:rPr>
        <w:t>CD27</w:t>
      </w:r>
      <w:r w:rsidR="00AE7FAF" w:rsidRPr="00414645">
        <w:rPr>
          <w:rFonts w:ascii="Arial" w:hAnsi="Arial" w:cs="Arial"/>
          <w:vertAlign w:val="superscript"/>
          <w:lang w:val="en-GB"/>
        </w:rPr>
        <w:t>+</w:t>
      </w:r>
      <w:r w:rsidR="00AE7FAF">
        <w:rPr>
          <w:rFonts w:ascii="Arial" w:hAnsi="Arial" w:cs="Arial"/>
          <w:lang w:val="en-GB"/>
        </w:rPr>
        <w:t>IgD</w:t>
      </w:r>
      <w:r w:rsidR="00AE7FAF" w:rsidRPr="00414645">
        <w:rPr>
          <w:rFonts w:ascii="Arial" w:hAnsi="Arial" w:cs="Arial"/>
          <w:vertAlign w:val="superscript"/>
          <w:lang w:val="en-GB"/>
        </w:rPr>
        <w:t>-</w:t>
      </w:r>
      <w:r w:rsidR="00AE7FAF">
        <w:rPr>
          <w:rFonts w:ascii="Arial" w:hAnsi="Arial" w:cs="Arial"/>
          <w:lang w:val="en-GB"/>
        </w:rPr>
        <w:t xml:space="preserve">) </w:t>
      </w:r>
      <w:r w:rsidR="00AE7FAF" w:rsidRPr="00AE7FAF">
        <w:rPr>
          <w:rFonts w:ascii="Arial" w:hAnsi="Arial" w:cs="Arial"/>
          <w:lang w:val="en-GB"/>
        </w:rPr>
        <w:t>were delineated within the lymphocyte population</w:t>
      </w:r>
      <w:r w:rsidR="00AE7FAF">
        <w:rPr>
          <w:rFonts w:ascii="Arial" w:hAnsi="Arial" w:cs="Arial"/>
          <w:lang w:val="en-GB"/>
        </w:rPr>
        <w:t>.</w:t>
      </w:r>
      <w:r w:rsidR="00866673">
        <w:rPr>
          <w:rFonts w:ascii="Arial" w:hAnsi="Arial" w:cs="Arial"/>
          <w:lang w:val="en-GB"/>
        </w:rPr>
        <w:t xml:space="preserve"> </w:t>
      </w:r>
      <w:r w:rsidR="00866673" w:rsidRPr="00866673">
        <w:rPr>
          <w:rFonts w:ascii="Arial" w:hAnsi="Arial" w:cs="Arial"/>
          <w:lang w:val="en-GB"/>
        </w:rPr>
        <w:t>Analyses were performed using FlowJo™ Software version 10.7.1 (Ashland, OR).</w:t>
      </w:r>
      <w:r w:rsidR="00AE45D6">
        <w:rPr>
          <w:rFonts w:ascii="Arial" w:hAnsi="Arial" w:cs="Arial"/>
          <w:lang w:val="en-GB"/>
        </w:rPr>
        <w:t xml:space="preserve"> </w:t>
      </w:r>
      <w:r w:rsidR="00AE45D6" w:rsidRPr="00AE45D6">
        <w:rPr>
          <w:rFonts w:ascii="Arial" w:hAnsi="Arial" w:cs="Arial"/>
          <w:lang w:val="en-GB"/>
        </w:rPr>
        <w:t xml:space="preserve">Proportions from flow cytometry were multiplied with absolute lymphocyte counts from complete blood cell count results to calculate absolute B- and T-cell counts.  </w:t>
      </w:r>
    </w:p>
    <w:p w14:paraId="0D370075" w14:textId="77777777" w:rsidR="00E258C8" w:rsidRDefault="00E258C8" w:rsidP="00705039">
      <w:pPr>
        <w:spacing w:line="480" w:lineRule="auto"/>
        <w:rPr>
          <w:rFonts w:ascii="Arial" w:hAnsi="Arial" w:cs="Arial"/>
          <w:lang w:val="en-GB"/>
        </w:rPr>
      </w:pPr>
      <w:r>
        <w:rPr>
          <w:rFonts w:ascii="Arial" w:hAnsi="Arial" w:cs="Arial"/>
          <w:lang w:val="en-GB"/>
        </w:rPr>
        <w:br w:type="page"/>
      </w:r>
    </w:p>
    <w:p w14:paraId="5CF72A23" w14:textId="2BC74FC6" w:rsidR="00E258C8" w:rsidRPr="00C90F64" w:rsidRDefault="00E258C8" w:rsidP="00705039">
      <w:pPr>
        <w:pStyle w:val="berschrift1"/>
        <w:rPr>
          <w:lang w:val="en-GB"/>
        </w:rPr>
      </w:pPr>
      <w:bookmarkStart w:id="7" w:name="_Toc71574244"/>
      <w:r w:rsidRPr="00C90F64">
        <w:rPr>
          <w:lang w:val="en-GB"/>
        </w:rPr>
        <w:lastRenderedPageBreak/>
        <w:t>SUPPLEMENTAL RESULTS</w:t>
      </w:r>
      <w:bookmarkEnd w:id="7"/>
    </w:p>
    <w:p w14:paraId="6F7C3824" w14:textId="77777777" w:rsidR="00351551" w:rsidRPr="00C90F64" w:rsidRDefault="00351551" w:rsidP="00705039">
      <w:pPr>
        <w:pStyle w:val="berschrift2"/>
      </w:pPr>
      <w:bookmarkStart w:id="8" w:name="_Hlk63195498"/>
      <w:bookmarkStart w:id="9" w:name="_Toc71574245"/>
      <w:r w:rsidRPr="00C90F64">
        <w:t>Correlation between the neutralization and the HAI assay</w:t>
      </w:r>
      <w:bookmarkEnd w:id="9"/>
    </w:p>
    <w:bookmarkEnd w:id="8"/>
    <w:p w14:paraId="712E5071" w14:textId="3DB84D3A" w:rsidR="00351551" w:rsidRDefault="00351551" w:rsidP="00705039">
      <w:pPr>
        <w:spacing w:line="480" w:lineRule="auto"/>
        <w:ind w:firstLine="720"/>
        <w:rPr>
          <w:rFonts w:ascii="Arial" w:hAnsi="Arial" w:cs="Arial"/>
          <w:bCs/>
        </w:rPr>
      </w:pPr>
      <w:r w:rsidRPr="00C90F64">
        <w:rPr>
          <w:rFonts w:ascii="Arial" w:hAnsi="Arial" w:cs="Arial"/>
          <w:bCs/>
        </w:rPr>
        <w:t xml:space="preserve">There was a good correlation between </w:t>
      </w:r>
      <w:r w:rsidR="00B82DCA">
        <w:rPr>
          <w:rFonts w:ascii="Arial" w:hAnsi="Arial" w:cs="Arial"/>
          <w:bCs/>
        </w:rPr>
        <w:t>antibody titers for the</w:t>
      </w:r>
      <w:r w:rsidRPr="00C90F64">
        <w:rPr>
          <w:rFonts w:ascii="Arial" w:hAnsi="Arial" w:cs="Arial"/>
          <w:bCs/>
        </w:rPr>
        <w:t xml:space="preserve"> neutralization assay and the HAI assay to </w:t>
      </w:r>
      <w:r w:rsidR="005C04C6">
        <w:rPr>
          <w:rFonts w:ascii="Arial" w:hAnsi="Arial" w:cs="Arial"/>
          <w:bCs/>
        </w:rPr>
        <w:t>A(</w:t>
      </w:r>
      <w:r w:rsidRPr="00C90F64">
        <w:rPr>
          <w:rFonts w:ascii="Arial" w:hAnsi="Arial" w:cs="Arial"/>
          <w:bCs/>
        </w:rPr>
        <w:t>H1</w:t>
      </w:r>
      <w:r w:rsidR="005C04C6">
        <w:rPr>
          <w:rFonts w:ascii="Arial" w:hAnsi="Arial" w:cs="Arial"/>
          <w:bCs/>
        </w:rPr>
        <w:t>N1)</w:t>
      </w:r>
      <w:r w:rsidRPr="00C90F64">
        <w:rPr>
          <w:rFonts w:ascii="Arial" w:hAnsi="Arial" w:cs="Arial"/>
          <w:bCs/>
        </w:rPr>
        <w:t xml:space="preserve"> (</w:t>
      </w:r>
      <w:r w:rsidR="00C90F64">
        <w:rPr>
          <w:rFonts w:ascii="Arial" w:hAnsi="Arial" w:cs="Arial"/>
          <w:bCs/>
        </w:rPr>
        <w:t xml:space="preserve">baseline, </w:t>
      </w:r>
      <w:r w:rsidRPr="005C04C6">
        <w:rPr>
          <w:rFonts w:ascii="Arial" w:hAnsi="Arial" w:cs="Arial"/>
          <w:bCs/>
          <w:i/>
        </w:rPr>
        <w:t>r</w:t>
      </w:r>
      <w:r w:rsidRPr="00C90F64">
        <w:rPr>
          <w:rFonts w:ascii="Arial" w:hAnsi="Arial" w:cs="Arial"/>
          <w:bCs/>
        </w:rPr>
        <w:t>=0.8</w:t>
      </w:r>
      <w:r w:rsidR="00B82DCA">
        <w:rPr>
          <w:rFonts w:ascii="Arial" w:hAnsi="Arial" w:cs="Arial"/>
          <w:bCs/>
        </w:rPr>
        <w:t>2</w:t>
      </w:r>
      <w:r w:rsidRPr="00C90F64">
        <w:rPr>
          <w:rFonts w:ascii="Arial" w:hAnsi="Arial" w:cs="Arial"/>
          <w:bCs/>
        </w:rPr>
        <w:t xml:space="preserve">; </w:t>
      </w:r>
      <w:r w:rsidR="00C90F64" w:rsidRPr="00C90F64">
        <w:rPr>
          <w:rFonts w:ascii="Arial" w:hAnsi="Arial" w:cs="Arial"/>
          <w:bCs/>
        </w:rPr>
        <w:t>first post-vaccine timepoint</w:t>
      </w:r>
      <w:r w:rsidR="00C90F64">
        <w:rPr>
          <w:rFonts w:ascii="Arial" w:hAnsi="Arial" w:cs="Arial"/>
          <w:bCs/>
        </w:rPr>
        <w:t>,</w:t>
      </w:r>
      <w:r w:rsidR="00C90F64" w:rsidRPr="00C90F64">
        <w:rPr>
          <w:rFonts w:ascii="Arial" w:hAnsi="Arial" w:cs="Arial"/>
          <w:bCs/>
        </w:rPr>
        <w:t xml:space="preserve"> </w:t>
      </w:r>
      <w:r w:rsidRPr="005C04C6">
        <w:rPr>
          <w:rFonts w:ascii="Arial" w:hAnsi="Arial" w:cs="Arial"/>
          <w:bCs/>
          <w:i/>
        </w:rPr>
        <w:t>r</w:t>
      </w:r>
      <w:r w:rsidRPr="00C90F64">
        <w:rPr>
          <w:rFonts w:ascii="Arial" w:hAnsi="Arial" w:cs="Arial"/>
          <w:bCs/>
        </w:rPr>
        <w:t>=0.9</w:t>
      </w:r>
      <w:r w:rsidR="00B82DCA">
        <w:rPr>
          <w:rFonts w:ascii="Arial" w:hAnsi="Arial" w:cs="Arial"/>
          <w:bCs/>
        </w:rPr>
        <w:t>2</w:t>
      </w:r>
      <w:r w:rsidRPr="00C90F64">
        <w:rPr>
          <w:rFonts w:ascii="Arial" w:hAnsi="Arial" w:cs="Arial"/>
          <w:bCs/>
        </w:rPr>
        <w:t xml:space="preserve">; </w:t>
      </w:r>
      <w:r w:rsidR="00C90F64" w:rsidRPr="00C90F64">
        <w:rPr>
          <w:rFonts w:ascii="Arial" w:hAnsi="Arial" w:cs="Arial"/>
          <w:bCs/>
        </w:rPr>
        <w:t>fold-changes between baseline and the first post-vaccine timepoint</w:t>
      </w:r>
      <w:r w:rsidR="00C90F64">
        <w:rPr>
          <w:rFonts w:ascii="Arial" w:hAnsi="Arial" w:cs="Arial"/>
          <w:bCs/>
        </w:rPr>
        <w:t>,</w:t>
      </w:r>
      <w:r w:rsidR="00C90F64" w:rsidRPr="00C90F64">
        <w:rPr>
          <w:rFonts w:ascii="Arial" w:hAnsi="Arial" w:cs="Arial"/>
          <w:bCs/>
        </w:rPr>
        <w:t xml:space="preserve"> </w:t>
      </w:r>
      <w:r w:rsidRPr="005C04C6">
        <w:rPr>
          <w:rFonts w:ascii="Arial" w:hAnsi="Arial" w:cs="Arial"/>
          <w:bCs/>
          <w:i/>
        </w:rPr>
        <w:t>r</w:t>
      </w:r>
      <w:r w:rsidR="00C90F64">
        <w:rPr>
          <w:rFonts w:ascii="Arial" w:hAnsi="Arial" w:cs="Arial"/>
          <w:bCs/>
        </w:rPr>
        <w:t>=0.</w:t>
      </w:r>
      <w:r w:rsidR="00B82DCA">
        <w:rPr>
          <w:rFonts w:ascii="Arial" w:hAnsi="Arial" w:cs="Arial"/>
          <w:bCs/>
        </w:rPr>
        <w:t>70</w:t>
      </w:r>
      <w:r w:rsidRPr="00C90F64">
        <w:rPr>
          <w:rFonts w:ascii="Arial" w:hAnsi="Arial" w:cs="Arial"/>
          <w:bCs/>
        </w:rPr>
        <w:t>). The neutralization assay was more sensitive</w:t>
      </w:r>
      <w:r w:rsidR="00C90F64">
        <w:rPr>
          <w:rFonts w:ascii="Arial" w:hAnsi="Arial" w:cs="Arial"/>
          <w:bCs/>
        </w:rPr>
        <w:t xml:space="preserve"> with</w:t>
      </w:r>
      <w:r w:rsidRPr="00C90F64">
        <w:rPr>
          <w:rFonts w:ascii="Arial" w:hAnsi="Arial" w:cs="Arial"/>
          <w:bCs/>
        </w:rPr>
        <w:t xml:space="preserve"> fewer titers below the limit of detection</w:t>
      </w:r>
      <w:r w:rsidR="00C90F64">
        <w:rPr>
          <w:rFonts w:ascii="Arial" w:hAnsi="Arial" w:cs="Arial"/>
          <w:bCs/>
        </w:rPr>
        <w:t xml:space="preserve"> (</w:t>
      </w:r>
      <w:r w:rsidR="00C90F64" w:rsidRPr="00C90F64">
        <w:rPr>
          <w:rFonts w:ascii="Arial" w:hAnsi="Arial" w:cs="Arial"/>
          <w:b/>
          <w:bCs/>
        </w:rPr>
        <w:t>Figure 3</w:t>
      </w:r>
      <w:r w:rsidR="00C90F64">
        <w:rPr>
          <w:rFonts w:ascii="Arial" w:hAnsi="Arial" w:cs="Arial"/>
          <w:bCs/>
        </w:rPr>
        <w:t>)</w:t>
      </w:r>
      <w:r w:rsidRPr="00C90F64">
        <w:rPr>
          <w:rFonts w:ascii="Arial" w:hAnsi="Arial" w:cs="Arial"/>
          <w:bCs/>
        </w:rPr>
        <w:t>.</w:t>
      </w:r>
    </w:p>
    <w:p w14:paraId="504D3030" w14:textId="77777777" w:rsidR="00B664EF" w:rsidRPr="00C90F64" w:rsidRDefault="00B664EF" w:rsidP="00705039">
      <w:pPr>
        <w:spacing w:line="480" w:lineRule="auto"/>
        <w:ind w:firstLine="720"/>
        <w:rPr>
          <w:rFonts w:ascii="Arial" w:hAnsi="Arial" w:cs="Arial"/>
          <w:lang w:val="en-GB"/>
        </w:rPr>
      </w:pPr>
    </w:p>
    <w:p w14:paraId="2355EE19" w14:textId="2C0EDC99" w:rsidR="00C90F64" w:rsidRPr="00C90F64" w:rsidRDefault="00C90F64" w:rsidP="00705039">
      <w:pPr>
        <w:pStyle w:val="berschrift2"/>
        <w:rPr>
          <w:lang w:val="en-GB"/>
        </w:rPr>
      </w:pPr>
      <w:bookmarkStart w:id="10" w:name="_Toc71574246"/>
      <w:r w:rsidRPr="00C90F64">
        <w:rPr>
          <w:lang w:val="en-GB"/>
        </w:rPr>
        <w:t xml:space="preserve">Correlates of </w:t>
      </w:r>
      <w:r w:rsidR="00705039">
        <w:rPr>
          <w:lang w:val="en-GB"/>
        </w:rPr>
        <w:t>the inactivated influenza vaccine</w:t>
      </w:r>
      <w:r w:rsidRPr="00C90F64">
        <w:rPr>
          <w:lang w:val="en-GB"/>
        </w:rPr>
        <w:t xml:space="preserve"> immunogenicity</w:t>
      </w:r>
      <w:bookmarkEnd w:id="10"/>
    </w:p>
    <w:p w14:paraId="7BA3C3D4" w14:textId="5BF9B7CE" w:rsidR="00E258C8" w:rsidRPr="00C90F64" w:rsidRDefault="00E258C8" w:rsidP="00705039">
      <w:pPr>
        <w:spacing w:line="480" w:lineRule="auto"/>
        <w:ind w:firstLine="720"/>
        <w:rPr>
          <w:rFonts w:ascii="Arial" w:hAnsi="Arial" w:cs="Arial"/>
          <w:lang w:val="en-GB"/>
        </w:rPr>
      </w:pPr>
      <w:r w:rsidRPr="00C90F64">
        <w:rPr>
          <w:rFonts w:ascii="Arial" w:hAnsi="Arial" w:cs="Arial"/>
          <w:lang w:val="en-GB"/>
        </w:rPr>
        <w:t>In the pre-CAR-T cohort, the two individuals with antibody responses had multiple myeloma, but a third individual with multiple myeloma did not demonstrate any responses. The individual who responded to several vaccine strains had the longest interval from the last prior antineoplastic treatment (</w:t>
      </w:r>
      <w:r w:rsidR="00B55D9E">
        <w:rPr>
          <w:rFonts w:ascii="Arial" w:hAnsi="Arial" w:cs="Arial"/>
          <w:lang w:val="en-GB"/>
        </w:rPr>
        <w:t>&gt;</w:t>
      </w:r>
      <w:r w:rsidR="00985B2D">
        <w:rPr>
          <w:rFonts w:ascii="Arial" w:hAnsi="Arial" w:cs="Arial"/>
          <w:lang w:val="en-GB"/>
        </w:rPr>
        <w:t>90</w:t>
      </w:r>
      <w:r w:rsidRPr="00C90F64">
        <w:rPr>
          <w:rFonts w:ascii="Arial" w:hAnsi="Arial" w:cs="Arial"/>
          <w:lang w:val="en-GB"/>
        </w:rPr>
        <w:t xml:space="preserve"> days)</w:t>
      </w:r>
      <w:r w:rsidR="00286DB0">
        <w:rPr>
          <w:rFonts w:ascii="Arial" w:hAnsi="Arial" w:cs="Arial"/>
          <w:lang w:val="en-GB"/>
        </w:rPr>
        <w:t xml:space="preserve">. </w:t>
      </w:r>
      <w:r w:rsidR="00CE1795">
        <w:rPr>
          <w:rFonts w:ascii="Arial" w:hAnsi="Arial" w:cs="Arial"/>
          <w:lang w:val="en-GB"/>
        </w:rPr>
        <w:t>Neither</w:t>
      </w:r>
      <w:r w:rsidR="00286DB0">
        <w:rPr>
          <w:rFonts w:ascii="Arial" w:hAnsi="Arial" w:cs="Arial"/>
          <w:lang w:val="en-GB"/>
        </w:rPr>
        <w:t xml:space="preserve"> of the two individuals with an antibody response</w:t>
      </w:r>
      <w:r w:rsidRPr="00C90F64">
        <w:rPr>
          <w:rFonts w:ascii="Arial" w:hAnsi="Arial" w:cs="Arial"/>
          <w:lang w:val="en-GB"/>
        </w:rPr>
        <w:t xml:space="preserve"> received bridging antineoplastic therapy. Both individuals received a standard dose quadrivalent vaccine. They had among the highest baseline CD19</w:t>
      </w:r>
      <w:r w:rsidRPr="005C04C6">
        <w:rPr>
          <w:rFonts w:ascii="Arial" w:hAnsi="Arial" w:cs="Arial"/>
          <w:vertAlign w:val="superscript"/>
          <w:lang w:val="en-GB"/>
        </w:rPr>
        <w:t>+</w:t>
      </w:r>
      <w:r w:rsidRPr="00C90F64">
        <w:rPr>
          <w:rFonts w:ascii="Arial" w:hAnsi="Arial" w:cs="Arial"/>
          <w:lang w:val="en-GB"/>
        </w:rPr>
        <w:t xml:space="preserve"> absolute B-cell counts in this cohort although</w:t>
      </w:r>
      <w:r w:rsidR="005C04C6">
        <w:rPr>
          <w:rFonts w:ascii="Arial" w:hAnsi="Arial" w:cs="Arial"/>
          <w:lang w:val="en-GB"/>
        </w:rPr>
        <w:t xml:space="preserve"> still at very low levels (</w:t>
      </w:r>
      <w:r w:rsidR="005A4776">
        <w:rPr>
          <w:rFonts w:ascii="Arial" w:hAnsi="Arial" w:cs="Arial"/>
          <w:lang w:val="en-GB"/>
        </w:rPr>
        <w:t>&lt;</w:t>
      </w:r>
      <w:r w:rsidR="005C04C6">
        <w:rPr>
          <w:rFonts w:ascii="Arial" w:hAnsi="Arial" w:cs="Arial"/>
          <w:lang w:val="en-GB"/>
        </w:rPr>
        <w:t>21 cells/μL and 87</w:t>
      </w:r>
      <w:r w:rsidRPr="00C90F64">
        <w:rPr>
          <w:rFonts w:ascii="Arial" w:hAnsi="Arial" w:cs="Arial"/>
          <w:lang w:val="en-GB"/>
        </w:rPr>
        <w:t xml:space="preserve"> cells/μL)</w:t>
      </w:r>
      <w:r w:rsidR="00841A41" w:rsidRPr="00C90F64">
        <w:rPr>
          <w:rFonts w:ascii="Arial" w:hAnsi="Arial" w:cs="Arial"/>
          <w:lang w:val="en-GB"/>
        </w:rPr>
        <w:t xml:space="preserve"> </w:t>
      </w:r>
      <w:r w:rsidRPr="00C90F64">
        <w:rPr>
          <w:rFonts w:ascii="Arial" w:hAnsi="Arial" w:cs="Arial"/>
          <w:lang w:val="en-GB"/>
        </w:rPr>
        <w:t>(</w:t>
      </w:r>
      <w:r w:rsidRPr="00C90F64">
        <w:rPr>
          <w:rFonts w:ascii="Arial" w:hAnsi="Arial" w:cs="Arial"/>
          <w:b/>
          <w:lang w:val="en-GB"/>
        </w:rPr>
        <w:t xml:space="preserve">Table </w:t>
      </w:r>
      <w:r w:rsidR="005C04C6">
        <w:rPr>
          <w:rFonts w:ascii="Arial" w:hAnsi="Arial" w:cs="Arial"/>
          <w:b/>
          <w:lang w:val="en-GB"/>
        </w:rPr>
        <w:t>1</w:t>
      </w:r>
      <w:r w:rsidRPr="00C90F64">
        <w:rPr>
          <w:rFonts w:ascii="Arial" w:hAnsi="Arial" w:cs="Arial"/>
          <w:lang w:val="en-GB"/>
        </w:rPr>
        <w:t xml:space="preserve">). </w:t>
      </w:r>
    </w:p>
    <w:p w14:paraId="0F327F94" w14:textId="4E7E79E3" w:rsidR="001D2D0F" w:rsidRPr="00C90F64" w:rsidRDefault="00E258C8" w:rsidP="00705039">
      <w:pPr>
        <w:spacing w:line="480" w:lineRule="auto"/>
        <w:ind w:firstLine="720"/>
        <w:rPr>
          <w:rFonts w:ascii="Arial" w:hAnsi="Arial" w:cs="Arial"/>
          <w:lang w:val="en-GB"/>
        </w:rPr>
      </w:pPr>
      <w:r w:rsidRPr="00C90F64">
        <w:rPr>
          <w:rFonts w:ascii="Arial" w:hAnsi="Arial" w:cs="Arial"/>
          <w:lang w:val="en-GB"/>
        </w:rPr>
        <w:t>In the post-CAR-T cohort, antibody responses occurred across a range of clinical characteristics including underlying disease, age, sex</w:t>
      </w:r>
      <w:r w:rsidR="005A4776">
        <w:rPr>
          <w:rFonts w:ascii="Arial" w:hAnsi="Arial" w:cs="Arial"/>
          <w:lang w:val="en-GB"/>
        </w:rPr>
        <w:t xml:space="preserve"> (not shown)</w:t>
      </w:r>
      <w:r w:rsidRPr="00C90F64">
        <w:rPr>
          <w:rFonts w:ascii="Arial" w:hAnsi="Arial" w:cs="Arial"/>
          <w:lang w:val="en-GB"/>
        </w:rPr>
        <w:t>, prior HCT, CD19- or BCMA-targeted CAR-T-cells, and time post-CAR-T-cell therapy (</w:t>
      </w:r>
      <w:r w:rsidRPr="00C90F64">
        <w:rPr>
          <w:rFonts w:ascii="Arial" w:hAnsi="Arial" w:cs="Arial"/>
          <w:b/>
          <w:bCs/>
          <w:lang w:val="en-GB"/>
        </w:rPr>
        <w:t>Table 1</w:t>
      </w:r>
      <w:r w:rsidRPr="00C90F64">
        <w:rPr>
          <w:rFonts w:ascii="Arial" w:hAnsi="Arial" w:cs="Arial"/>
          <w:lang w:val="en-GB"/>
        </w:rPr>
        <w:t>). Importantly, antibody responses were observed in an individual without detectable CD19</w:t>
      </w:r>
      <w:r w:rsidRPr="00286DB0">
        <w:rPr>
          <w:rFonts w:ascii="Arial" w:hAnsi="Arial" w:cs="Arial"/>
          <w:vertAlign w:val="superscript"/>
          <w:lang w:val="en-GB"/>
        </w:rPr>
        <w:t>+</w:t>
      </w:r>
      <w:r w:rsidRPr="00C90F64">
        <w:rPr>
          <w:rFonts w:ascii="Arial" w:hAnsi="Arial" w:cs="Arial"/>
          <w:lang w:val="en-GB"/>
        </w:rPr>
        <w:t xml:space="preserve"> B-cells and in individuals with IgG, IgA and IgM values below the lower limit of normal. All individuals with antibody responses had </w:t>
      </w:r>
      <w:r w:rsidR="00B82DCA">
        <w:rPr>
          <w:rFonts w:ascii="Calibri" w:hAnsi="Calibri" w:cs="Calibri"/>
          <w:lang w:val="en-GB"/>
        </w:rPr>
        <w:t>≥</w:t>
      </w:r>
      <w:r w:rsidRPr="00C90F64">
        <w:rPr>
          <w:rFonts w:ascii="Arial" w:hAnsi="Arial" w:cs="Arial"/>
          <w:lang w:val="en-GB"/>
        </w:rPr>
        <w:t>200 CD4</w:t>
      </w:r>
      <w:r w:rsidRPr="00C90F64">
        <w:rPr>
          <w:rFonts w:ascii="Arial" w:hAnsi="Arial" w:cs="Arial"/>
          <w:vertAlign w:val="superscript"/>
          <w:lang w:val="en-GB"/>
        </w:rPr>
        <w:t>+</w:t>
      </w:r>
      <w:r w:rsidRPr="00C90F64">
        <w:rPr>
          <w:rFonts w:ascii="Arial" w:hAnsi="Arial" w:cs="Arial"/>
          <w:lang w:val="en-GB"/>
        </w:rPr>
        <w:t xml:space="preserve"> T-cells/µL, but only 2 individuals had values lower than this.</w:t>
      </w:r>
      <w:r w:rsidR="00841A41" w:rsidRPr="00C90F64">
        <w:rPr>
          <w:rFonts w:ascii="Arial" w:hAnsi="Arial" w:cs="Arial"/>
          <w:lang w:val="en-GB"/>
        </w:rPr>
        <w:t xml:space="preserve"> </w:t>
      </w:r>
    </w:p>
    <w:p w14:paraId="6824BCD8" w14:textId="77777777" w:rsidR="00EC04C9" w:rsidRPr="00C90F64" w:rsidRDefault="00EC04C9" w:rsidP="00705039">
      <w:pPr>
        <w:spacing w:line="480" w:lineRule="auto"/>
        <w:ind w:firstLine="720"/>
        <w:rPr>
          <w:rFonts w:ascii="Arial" w:hAnsi="Arial" w:cs="Arial"/>
          <w:lang w:val="en-GB"/>
        </w:rPr>
      </w:pPr>
    </w:p>
    <w:p w14:paraId="646D9D2F" w14:textId="77777777" w:rsidR="00EC04C9" w:rsidRPr="00C90F64" w:rsidRDefault="00EC04C9" w:rsidP="00705039">
      <w:pPr>
        <w:spacing w:line="480" w:lineRule="auto"/>
        <w:ind w:firstLine="720"/>
        <w:rPr>
          <w:rFonts w:ascii="Arial" w:hAnsi="Arial" w:cs="Arial"/>
        </w:rPr>
        <w:sectPr w:rsidR="00EC04C9" w:rsidRPr="00C90F64">
          <w:pgSz w:w="12240" w:h="15840"/>
          <w:pgMar w:top="1440" w:right="1440" w:bottom="1440" w:left="1440" w:header="720" w:footer="720" w:gutter="0"/>
          <w:cols w:space="720"/>
          <w:docGrid w:linePitch="360"/>
        </w:sectPr>
      </w:pPr>
    </w:p>
    <w:p w14:paraId="7995360C" w14:textId="77777777" w:rsidR="00605CA8" w:rsidRPr="00605CA8" w:rsidRDefault="00605CA8" w:rsidP="00705039">
      <w:pPr>
        <w:pStyle w:val="berschrift1"/>
      </w:pPr>
      <w:bookmarkStart w:id="11" w:name="_Toc71574247"/>
      <w:r w:rsidRPr="00605CA8">
        <w:lastRenderedPageBreak/>
        <w:t>SUPPLEMENTAL TABLES</w:t>
      </w:r>
      <w:bookmarkEnd w:id="11"/>
    </w:p>
    <w:p w14:paraId="4E68650F" w14:textId="7C904A5F" w:rsidR="00C53639" w:rsidRPr="005B4431" w:rsidRDefault="002E574D" w:rsidP="00705039">
      <w:pPr>
        <w:pStyle w:val="berschrift2"/>
      </w:pPr>
      <w:bookmarkStart w:id="12" w:name="_Toc71574248"/>
      <w:r w:rsidRPr="005B4431">
        <w:rPr>
          <w:rStyle w:val="berschrift2Zchn"/>
          <w:b/>
        </w:rPr>
        <w:t>Supplemental Table 1</w:t>
      </w:r>
      <w:r w:rsidR="008B63B5" w:rsidRPr="005B4431">
        <w:rPr>
          <w:rStyle w:val="berschrift2Zchn"/>
          <w:b/>
        </w:rPr>
        <w:t>.</w:t>
      </w:r>
      <w:r w:rsidR="00B20104" w:rsidRPr="005B4431">
        <w:rPr>
          <w:rStyle w:val="berschrift2Zchn"/>
          <w:b/>
        </w:rPr>
        <w:t xml:space="preserve"> </w:t>
      </w:r>
      <w:r w:rsidR="00F31441" w:rsidRPr="005B4431">
        <w:rPr>
          <w:rStyle w:val="berschrift2Zchn"/>
          <w:b/>
        </w:rPr>
        <w:t>Additional baseline demographics and clinical characteristics</w:t>
      </w:r>
      <w:r w:rsidR="00F31441" w:rsidRPr="005B4431">
        <w:t xml:space="preserve"> of the pre- and post-CAR-T-cell therapy cohorts</w:t>
      </w:r>
      <w:bookmarkEnd w:id="12"/>
    </w:p>
    <w:tbl>
      <w:tblPr>
        <w:tblStyle w:val="Gitternetztabelle6farbigAkzent3"/>
        <w:tblW w:w="13806" w:type="dxa"/>
        <w:tblLayout w:type="fixed"/>
        <w:tblLook w:val="04A0" w:firstRow="1" w:lastRow="0" w:firstColumn="1" w:lastColumn="0" w:noHBand="0" w:noVBand="1"/>
      </w:tblPr>
      <w:tblGrid>
        <w:gridCol w:w="3397"/>
        <w:gridCol w:w="3503"/>
        <w:gridCol w:w="3450"/>
        <w:gridCol w:w="3456"/>
      </w:tblGrid>
      <w:tr w:rsidR="00F31441" w:rsidRPr="004F1A28" w14:paraId="5E556F8B" w14:textId="5C9FD92F" w:rsidTr="004D0B3F">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397" w:type="dxa"/>
          </w:tcPr>
          <w:p w14:paraId="56128EBB" w14:textId="4BAC552E" w:rsidR="00F31441" w:rsidRPr="004F1A28" w:rsidRDefault="00F31441" w:rsidP="00467A38">
            <w:pPr>
              <w:spacing w:line="276" w:lineRule="auto"/>
              <w:jc w:val="center"/>
              <w:rPr>
                <w:rFonts w:ascii="Arial" w:hAnsi="Arial" w:cs="Arial"/>
                <w:color w:val="auto"/>
                <w:lang w:val="en-GB"/>
              </w:rPr>
            </w:pPr>
          </w:p>
        </w:tc>
        <w:tc>
          <w:tcPr>
            <w:tcW w:w="3503" w:type="dxa"/>
            <w:vAlign w:val="center"/>
          </w:tcPr>
          <w:p w14:paraId="4B3C0143" w14:textId="77777777" w:rsidR="00F31441" w:rsidRPr="004F1A28" w:rsidRDefault="00F31441" w:rsidP="00467A3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fr-CH"/>
              </w:rPr>
            </w:pPr>
            <w:r w:rsidRPr="004F1A28">
              <w:rPr>
                <w:rFonts w:ascii="Arial" w:hAnsi="Arial" w:cs="Arial"/>
                <w:color w:val="auto"/>
              </w:rPr>
              <w:t>CAR-T-cell therapy</w:t>
            </w:r>
          </w:p>
        </w:tc>
        <w:tc>
          <w:tcPr>
            <w:tcW w:w="6906" w:type="dxa"/>
            <w:gridSpan w:val="2"/>
            <w:vAlign w:val="center"/>
          </w:tcPr>
          <w:p w14:paraId="09D28DDB" w14:textId="7C781F51" w:rsidR="00F31441" w:rsidRPr="004F1A28" w:rsidRDefault="00F31441" w:rsidP="00467A3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fr-CH"/>
              </w:rPr>
            </w:pPr>
            <w:r w:rsidRPr="004F1A28">
              <w:rPr>
                <w:rFonts w:ascii="Arial" w:hAnsi="Arial" w:cs="Arial"/>
                <w:color w:val="auto"/>
                <w:lang w:val="fr-CH"/>
              </w:rPr>
              <w:t>Pre-CAR-T cohort</w:t>
            </w:r>
          </w:p>
        </w:tc>
      </w:tr>
      <w:tr w:rsidR="00F31441" w:rsidRPr="004F1A28" w14:paraId="770BA906" w14:textId="6D98B770" w:rsidTr="004D0B3F">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397" w:type="dxa"/>
          </w:tcPr>
          <w:p w14:paraId="6E44AE7A" w14:textId="3CA1F229" w:rsidR="00F31441" w:rsidRPr="00F31441" w:rsidRDefault="00F31441" w:rsidP="00AD5AC0">
            <w:pPr>
              <w:spacing w:line="276" w:lineRule="auto"/>
              <w:jc w:val="center"/>
              <w:rPr>
                <w:rFonts w:ascii="Arial" w:hAnsi="Arial" w:cs="Arial"/>
                <w:bCs w:val="0"/>
                <w:color w:val="auto"/>
              </w:rPr>
            </w:pPr>
            <w:r w:rsidRPr="00F31441">
              <w:rPr>
                <w:rFonts w:ascii="Arial" w:hAnsi="Arial" w:cs="Arial"/>
                <w:color w:val="auto"/>
              </w:rPr>
              <w:t>Study ID</w:t>
            </w:r>
            <w:r w:rsidRPr="00F31441">
              <w:rPr>
                <w:rFonts w:ascii="Arial" w:hAnsi="Arial" w:cs="Arial"/>
                <w:color w:val="auto"/>
                <w:vertAlign w:val="superscript"/>
              </w:rPr>
              <w:t>1</w:t>
            </w:r>
          </w:p>
        </w:tc>
        <w:tc>
          <w:tcPr>
            <w:tcW w:w="3503" w:type="dxa"/>
          </w:tcPr>
          <w:p w14:paraId="474D9FA1" w14:textId="341981CB" w:rsidR="00F31441" w:rsidRPr="00F31441" w:rsidRDefault="00F31441" w:rsidP="00AD5A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F31441">
              <w:rPr>
                <w:rFonts w:ascii="Arial" w:hAnsi="Arial" w:cs="Arial"/>
                <w:b/>
                <w:bCs/>
                <w:color w:val="auto"/>
              </w:rPr>
              <w:t>CAR-Tx product</w:t>
            </w:r>
            <w:r w:rsidRPr="00F31441">
              <w:rPr>
                <w:rFonts w:ascii="Arial" w:hAnsi="Arial" w:cs="Arial"/>
                <w:b/>
                <w:color w:val="auto"/>
                <w:vertAlign w:val="superscript"/>
              </w:rPr>
              <w:t>2</w:t>
            </w:r>
            <w:r w:rsidRPr="00F31441">
              <w:rPr>
                <w:rFonts w:ascii="Arial" w:hAnsi="Arial" w:cs="Arial"/>
                <w:b/>
                <w:color w:val="auto"/>
              </w:rPr>
              <w:t xml:space="preserve"> </w:t>
            </w:r>
          </w:p>
        </w:tc>
        <w:tc>
          <w:tcPr>
            <w:tcW w:w="3450" w:type="dxa"/>
          </w:tcPr>
          <w:p w14:paraId="07F1CCEB" w14:textId="79A3724B" w:rsidR="00F31441" w:rsidRPr="00F31441" w:rsidRDefault="00F31441" w:rsidP="00AD5A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F31441">
              <w:rPr>
                <w:rFonts w:ascii="Arial" w:hAnsi="Arial" w:cs="Arial"/>
                <w:b/>
                <w:bCs/>
                <w:color w:val="auto"/>
              </w:rPr>
              <w:t>Treatment for immune related adverse events</w:t>
            </w:r>
            <w:r w:rsidRPr="00F31441">
              <w:rPr>
                <w:rFonts w:ascii="Arial" w:hAnsi="Arial" w:cs="Arial"/>
                <w:b/>
                <w:bCs/>
                <w:color w:val="auto"/>
                <w:vertAlign w:val="superscript"/>
              </w:rPr>
              <w:t>3</w:t>
            </w:r>
          </w:p>
        </w:tc>
        <w:tc>
          <w:tcPr>
            <w:tcW w:w="3456" w:type="dxa"/>
          </w:tcPr>
          <w:p w14:paraId="2F0ECA30" w14:textId="7CA186F5" w:rsidR="00F31441" w:rsidRPr="00F31441" w:rsidRDefault="00F31441" w:rsidP="00AD5A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31441">
              <w:rPr>
                <w:rFonts w:ascii="Arial" w:hAnsi="Arial" w:cs="Arial"/>
                <w:b/>
                <w:bCs/>
                <w:color w:val="auto"/>
              </w:rPr>
              <w:t>Disease status 90d post CAR-Tx</w:t>
            </w:r>
          </w:p>
        </w:tc>
      </w:tr>
      <w:tr w:rsidR="000B3CA3" w:rsidRPr="004F1A28" w14:paraId="34F3E10B" w14:textId="39D527AD" w:rsidTr="00F31441">
        <w:trPr>
          <w:trHeight w:val="85"/>
        </w:trPr>
        <w:tc>
          <w:tcPr>
            <w:cnfStyle w:val="001000000000" w:firstRow="0" w:lastRow="0" w:firstColumn="1" w:lastColumn="0" w:oddVBand="0" w:evenVBand="0" w:oddHBand="0" w:evenHBand="0" w:firstRowFirstColumn="0" w:firstRowLastColumn="0" w:lastRowFirstColumn="0" w:lastRowLastColumn="0"/>
            <w:tcW w:w="13806" w:type="dxa"/>
            <w:gridSpan w:val="4"/>
          </w:tcPr>
          <w:p w14:paraId="15E21FFA" w14:textId="23791564" w:rsidR="000B3CA3" w:rsidRPr="004F1A28" w:rsidRDefault="000B3CA3" w:rsidP="00AD5AC0">
            <w:pPr>
              <w:spacing w:line="276" w:lineRule="auto"/>
              <w:rPr>
                <w:rFonts w:ascii="Arial" w:hAnsi="Arial" w:cs="Arial"/>
              </w:rPr>
            </w:pPr>
            <w:bookmarkStart w:id="13" w:name="_Hlk63180809"/>
            <w:r w:rsidRPr="004F1A28">
              <w:rPr>
                <w:rFonts w:ascii="Arial" w:hAnsi="Arial" w:cs="Arial"/>
                <w:color w:val="auto"/>
              </w:rPr>
              <w:t>Pre-CAR-T cohort</w:t>
            </w:r>
          </w:p>
        </w:tc>
      </w:tr>
      <w:tr w:rsidR="00F31441" w:rsidRPr="004F1A28" w14:paraId="23605174" w14:textId="1EF18846"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B0D3FFC" w14:textId="378E0C22"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Pre-1</w:t>
            </w:r>
          </w:p>
        </w:tc>
        <w:tc>
          <w:tcPr>
            <w:tcW w:w="3503" w:type="dxa"/>
            <w:vAlign w:val="center"/>
          </w:tcPr>
          <w:p w14:paraId="32AE336A" w14:textId="6CBA09A3"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5FF73423" w14:textId="1A8FC164"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Yes</w:t>
            </w:r>
          </w:p>
        </w:tc>
        <w:tc>
          <w:tcPr>
            <w:tcW w:w="3456" w:type="dxa"/>
            <w:vAlign w:val="center"/>
          </w:tcPr>
          <w:p w14:paraId="43E6B530" w14:textId="4E429084" w:rsidR="00F31441" w:rsidRPr="00F31441"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1441">
              <w:rPr>
                <w:rFonts w:ascii="Arial" w:hAnsi="Arial" w:cs="Arial"/>
                <w:color w:val="auto"/>
              </w:rPr>
              <w:t>CR</w:t>
            </w:r>
          </w:p>
        </w:tc>
      </w:tr>
      <w:tr w:rsidR="00F31441" w:rsidRPr="004F1A28" w14:paraId="678522FE" w14:textId="573C8714"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1219C64" w14:textId="0B530633"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Pre-2</w:t>
            </w:r>
          </w:p>
        </w:tc>
        <w:tc>
          <w:tcPr>
            <w:tcW w:w="3503" w:type="dxa"/>
            <w:vAlign w:val="center"/>
          </w:tcPr>
          <w:p w14:paraId="6A315ECE" w14:textId="38109C04"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030F03FE" w14:textId="3A7DF5D9"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6E506745" w14:textId="1EACDB93" w:rsidR="00F31441" w:rsidRPr="00F31441"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1441">
              <w:rPr>
                <w:rFonts w:ascii="Arial" w:hAnsi="Arial" w:cs="Arial"/>
                <w:color w:val="auto"/>
              </w:rPr>
              <w:t>Persistent</w:t>
            </w:r>
          </w:p>
        </w:tc>
      </w:tr>
      <w:tr w:rsidR="00F31441" w:rsidRPr="004F1A28" w14:paraId="07E81AAA" w14:textId="47DEAC46"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9C4B01" w14:textId="236BC004"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Pre-3</w:t>
            </w:r>
          </w:p>
        </w:tc>
        <w:tc>
          <w:tcPr>
            <w:tcW w:w="3503" w:type="dxa"/>
            <w:vAlign w:val="center"/>
          </w:tcPr>
          <w:p w14:paraId="4E870BF8" w14:textId="442A181D"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 xml:space="preserve">Axicabtagene </w:t>
            </w:r>
            <w:r>
              <w:rPr>
                <w:rFonts w:ascii="Arial" w:hAnsi="Arial" w:cs="Arial"/>
                <w:color w:val="auto"/>
              </w:rPr>
              <w:t>c</w:t>
            </w:r>
            <w:r w:rsidRPr="004F1A28">
              <w:rPr>
                <w:rFonts w:ascii="Arial" w:hAnsi="Arial" w:cs="Arial"/>
                <w:color w:val="auto"/>
              </w:rPr>
              <w:t>iloleucel</w:t>
            </w:r>
          </w:p>
        </w:tc>
        <w:tc>
          <w:tcPr>
            <w:tcW w:w="3450" w:type="dxa"/>
            <w:vAlign w:val="center"/>
          </w:tcPr>
          <w:p w14:paraId="2DE30CAD" w14:textId="50965437"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Yes</w:t>
            </w:r>
          </w:p>
        </w:tc>
        <w:tc>
          <w:tcPr>
            <w:tcW w:w="3456" w:type="dxa"/>
            <w:vAlign w:val="center"/>
          </w:tcPr>
          <w:p w14:paraId="01D29CA2" w14:textId="6AAEFB15" w:rsidR="00F31441" w:rsidRPr="00F31441"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1441">
              <w:rPr>
                <w:rFonts w:ascii="Arial" w:hAnsi="Arial" w:cs="Arial"/>
                <w:color w:val="auto"/>
              </w:rPr>
              <w:t>Progressive</w:t>
            </w:r>
          </w:p>
        </w:tc>
      </w:tr>
      <w:tr w:rsidR="00F31441" w:rsidRPr="004F1A28" w14:paraId="1D682597" w14:textId="27415DEF"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E5393FE" w14:textId="06FCBD3D"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Pre-4</w:t>
            </w:r>
          </w:p>
        </w:tc>
        <w:tc>
          <w:tcPr>
            <w:tcW w:w="3503" w:type="dxa"/>
            <w:vAlign w:val="center"/>
          </w:tcPr>
          <w:p w14:paraId="4F649DCE" w14:textId="7BA597E9"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 xml:space="preserve">Axicabtagene </w:t>
            </w:r>
            <w:r>
              <w:rPr>
                <w:rFonts w:ascii="Arial" w:hAnsi="Arial" w:cs="Arial"/>
                <w:color w:val="auto"/>
              </w:rPr>
              <w:t>c</w:t>
            </w:r>
            <w:r w:rsidRPr="004F1A28">
              <w:rPr>
                <w:rFonts w:ascii="Arial" w:hAnsi="Arial" w:cs="Arial"/>
                <w:color w:val="auto"/>
              </w:rPr>
              <w:t>iloleucel</w:t>
            </w:r>
          </w:p>
        </w:tc>
        <w:tc>
          <w:tcPr>
            <w:tcW w:w="3450" w:type="dxa"/>
            <w:vAlign w:val="center"/>
          </w:tcPr>
          <w:p w14:paraId="6206D8C0" w14:textId="7FF86838"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Yes</w:t>
            </w:r>
          </w:p>
        </w:tc>
        <w:tc>
          <w:tcPr>
            <w:tcW w:w="3456" w:type="dxa"/>
            <w:vAlign w:val="center"/>
          </w:tcPr>
          <w:p w14:paraId="00B0640C" w14:textId="4908302F" w:rsidR="00F31441" w:rsidRPr="00F31441"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1441">
              <w:rPr>
                <w:rFonts w:ascii="Arial" w:hAnsi="Arial" w:cs="Arial"/>
                <w:color w:val="auto"/>
              </w:rPr>
              <w:t>CR</w:t>
            </w:r>
          </w:p>
        </w:tc>
      </w:tr>
      <w:tr w:rsidR="00F31441" w:rsidRPr="004F1A28" w14:paraId="3CFCEEFA" w14:textId="34274CC1" w:rsidTr="004D0B3F">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F76CD59" w14:textId="44F2562A"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Pre-5</w:t>
            </w:r>
          </w:p>
        </w:tc>
        <w:tc>
          <w:tcPr>
            <w:tcW w:w="3503" w:type="dxa"/>
            <w:vAlign w:val="center"/>
          </w:tcPr>
          <w:p w14:paraId="229DA340" w14:textId="703E0B35"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148C9E0D" w14:textId="35B43AF3"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6967E82A" w14:textId="55E33A61" w:rsidR="00F31441" w:rsidRPr="00F31441"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1441">
              <w:rPr>
                <w:rFonts w:ascii="Arial" w:hAnsi="Arial" w:cs="Arial"/>
                <w:color w:val="auto"/>
              </w:rPr>
              <w:t>Progressive</w:t>
            </w:r>
          </w:p>
        </w:tc>
      </w:tr>
      <w:tr w:rsidR="00F31441" w:rsidRPr="004F1A28" w14:paraId="6A2CCD9E" w14:textId="5FE2676F" w:rsidTr="004D0B3F">
        <w:trPr>
          <w:trHeight w:val="168"/>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E68BA98" w14:textId="5DEB9070"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Pre-6*</w:t>
            </w:r>
          </w:p>
        </w:tc>
        <w:tc>
          <w:tcPr>
            <w:tcW w:w="3503" w:type="dxa"/>
            <w:vAlign w:val="center"/>
          </w:tcPr>
          <w:p w14:paraId="5D7E4FC5" w14:textId="1740F495"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 xml:space="preserve"> Investigational</w:t>
            </w:r>
          </w:p>
        </w:tc>
        <w:tc>
          <w:tcPr>
            <w:tcW w:w="3450" w:type="dxa"/>
            <w:vAlign w:val="center"/>
          </w:tcPr>
          <w:p w14:paraId="51C72FDA" w14:textId="13A25EDA"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Yes</w:t>
            </w:r>
          </w:p>
        </w:tc>
        <w:tc>
          <w:tcPr>
            <w:tcW w:w="3456" w:type="dxa"/>
            <w:vAlign w:val="center"/>
          </w:tcPr>
          <w:p w14:paraId="4BE91A95" w14:textId="6792D5C1" w:rsidR="00F31441" w:rsidRPr="00F31441"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1441">
              <w:rPr>
                <w:rFonts w:ascii="Arial" w:hAnsi="Arial" w:cs="Arial"/>
                <w:color w:val="auto"/>
              </w:rPr>
              <w:t>VGPR</w:t>
            </w:r>
          </w:p>
        </w:tc>
      </w:tr>
      <w:tr w:rsidR="00F31441" w:rsidRPr="004F1A28" w14:paraId="270FC946" w14:textId="0CACBFBB"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3D91584" w14:textId="375EB5B5"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Pre-7*</w:t>
            </w:r>
          </w:p>
        </w:tc>
        <w:tc>
          <w:tcPr>
            <w:tcW w:w="3503" w:type="dxa"/>
            <w:vAlign w:val="center"/>
          </w:tcPr>
          <w:p w14:paraId="72EBCA11" w14:textId="31F3A337"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5AB3DB92" w14:textId="2631E139"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Yes</w:t>
            </w:r>
          </w:p>
        </w:tc>
        <w:tc>
          <w:tcPr>
            <w:tcW w:w="3456" w:type="dxa"/>
            <w:vAlign w:val="center"/>
          </w:tcPr>
          <w:p w14:paraId="797C6DBC" w14:textId="533CD842" w:rsidR="00F31441" w:rsidRPr="00F31441"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1441">
              <w:rPr>
                <w:rFonts w:ascii="Arial" w:hAnsi="Arial" w:cs="Arial"/>
                <w:color w:val="auto"/>
              </w:rPr>
              <w:t>VGPR</w:t>
            </w:r>
          </w:p>
        </w:tc>
      </w:tr>
      <w:tr w:rsidR="000B3CA3" w:rsidRPr="004F1A28" w14:paraId="72641EA9" w14:textId="3DFCB7A3" w:rsidTr="00F31441">
        <w:trPr>
          <w:trHeight w:val="96"/>
        </w:trPr>
        <w:tc>
          <w:tcPr>
            <w:cnfStyle w:val="001000000000" w:firstRow="0" w:lastRow="0" w:firstColumn="1" w:lastColumn="0" w:oddVBand="0" w:evenVBand="0" w:oddHBand="0" w:evenHBand="0" w:firstRowFirstColumn="0" w:firstRowLastColumn="0" w:lastRowFirstColumn="0" w:lastRowLastColumn="0"/>
            <w:tcW w:w="13806" w:type="dxa"/>
            <w:gridSpan w:val="4"/>
          </w:tcPr>
          <w:p w14:paraId="467F7235" w14:textId="772CFC88" w:rsidR="000B3CA3" w:rsidRPr="004F1A28" w:rsidRDefault="000B3CA3" w:rsidP="00AD5AC0">
            <w:pPr>
              <w:spacing w:line="276" w:lineRule="auto"/>
              <w:rPr>
                <w:rFonts w:ascii="Arial" w:hAnsi="Arial" w:cs="Arial"/>
              </w:rPr>
            </w:pPr>
            <w:r w:rsidRPr="004F1A28">
              <w:rPr>
                <w:rFonts w:ascii="Arial" w:hAnsi="Arial" w:cs="Arial"/>
                <w:color w:val="auto"/>
              </w:rPr>
              <w:t>Post-CAR-T cohort</w:t>
            </w:r>
          </w:p>
        </w:tc>
      </w:tr>
      <w:tr w:rsidR="00F31441" w:rsidRPr="004F1A28" w14:paraId="57AFE287" w14:textId="224D3B3D"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5F9382D" w14:textId="7C26850E"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w:t>
            </w:r>
          </w:p>
        </w:tc>
        <w:tc>
          <w:tcPr>
            <w:tcW w:w="3503" w:type="dxa"/>
            <w:vAlign w:val="center"/>
          </w:tcPr>
          <w:p w14:paraId="75E8B540" w14:textId="6AC93976"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7B7E486A" w14:textId="5330DC38"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73303537" w14:textId="1B4C9BA3"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3DF2518A" w14:textId="4463B5B2"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1924211" w14:textId="784C6F70"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Post-2*</w:t>
            </w:r>
          </w:p>
        </w:tc>
        <w:tc>
          <w:tcPr>
            <w:tcW w:w="3503" w:type="dxa"/>
            <w:vAlign w:val="center"/>
          </w:tcPr>
          <w:p w14:paraId="315E43BB" w14:textId="44AE64D2"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08591A27" w14:textId="20DC3DD8"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2DA703B4" w14:textId="64FB6FD7"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0507CE37" w14:textId="629E4441"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42EFBCB" w14:textId="012D63F6"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Post-3*</w:t>
            </w:r>
          </w:p>
        </w:tc>
        <w:tc>
          <w:tcPr>
            <w:tcW w:w="3503" w:type="dxa"/>
            <w:vAlign w:val="center"/>
          </w:tcPr>
          <w:p w14:paraId="3D30929E" w14:textId="715E96FD"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0B7594D6" w14:textId="1566F7F1"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4B5AB8D1" w14:textId="1CFE6AB7"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0FDC69E3" w14:textId="33C70074"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77EC1FD" w14:textId="2CB9EF22"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Post-4</w:t>
            </w:r>
          </w:p>
        </w:tc>
        <w:tc>
          <w:tcPr>
            <w:tcW w:w="3503" w:type="dxa"/>
            <w:vAlign w:val="center"/>
          </w:tcPr>
          <w:p w14:paraId="3C21C766" w14:textId="54D36BC8"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76EB559D" w14:textId="55F45ADC"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48DA9088" w14:textId="6750BFA0"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34BDF5E1" w14:textId="03485DEB"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5D6D0BB" w14:textId="4EACDDB5"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Post-5</w:t>
            </w:r>
          </w:p>
        </w:tc>
        <w:tc>
          <w:tcPr>
            <w:tcW w:w="3503" w:type="dxa"/>
            <w:vAlign w:val="center"/>
          </w:tcPr>
          <w:p w14:paraId="4D32FCC5" w14:textId="5DCBF949"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3817FAB1" w14:textId="5426DEB9"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589C9115" w14:textId="1FD45277"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20C1B89D" w14:textId="36217A7B"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68E9532" w14:textId="4316FD8D"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Post-6*</w:t>
            </w:r>
          </w:p>
        </w:tc>
        <w:tc>
          <w:tcPr>
            <w:tcW w:w="3503" w:type="dxa"/>
            <w:vAlign w:val="center"/>
          </w:tcPr>
          <w:p w14:paraId="0BA52DC6" w14:textId="75274619"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5AD9C332" w14:textId="658F6CF3"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4C283DA6" w14:textId="2F6C63F1"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10DBF6A3" w14:textId="2A9091A4"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2D419B4" w14:textId="35CB46E9"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Post-7</w:t>
            </w:r>
          </w:p>
        </w:tc>
        <w:tc>
          <w:tcPr>
            <w:tcW w:w="3503" w:type="dxa"/>
            <w:vAlign w:val="center"/>
          </w:tcPr>
          <w:p w14:paraId="2B6D35BD" w14:textId="7EB93273"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17B361D0" w14:textId="05D0523D"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78829AA3" w14:textId="6C42DDAE"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52C506B9" w14:textId="5D638EA3"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1918F19" w14:textId="1B1BD942"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Post-8</w:t>
            </w:r>
          </w:p>
        </w:tc>
        <w:tc>
          <w:tcPr>
            <w:tcW w:w="3503" w:type="dxa"/>
            <w:vAlign w:val="center"/>
          </w:tcPr>
          <w:p w14:paraId="12B3591A" w14:textId="21D17245"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056DF2DF" w14:textId="3C4F2DEC"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5A57BC87" w14:textId="5C3F40D7"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68D1B6D7" w14:textId="63D4CDA5"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B9FC850" w14:textId="28587AC3"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Post-9</w:t>
            </w:r>
          </w:p>
        </w:tc>
        <w:tc>
          <w:tcPr>
            <w:tcW w:w="3503" w:type="dxa"/>
            <w:vAlign w:val="center"/>
          </w:tcPr>
          <w:p w14:paraId="034C990D" w14:textId="3F334526"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 xml:space="preserve">Axicabtagene ciloleucel </w:t>
            </w:r>
          </w:p>
        </w:tc>
        <w:tc>
          <w:tcPr>
            <w:tcW w:w="3450" w:type="dxa"/>
            <w:vAlign w:val="center"/>
          </w:tcPr>
          <w:p w14:paraId="2C983727" w14:textId="01AD91B0"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722A6D19" w14:textId="01A74FDA"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7C17C763" w14:textId="77E5AED7"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0604885" w14:textId="428481FA"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Post-10</w:t>
            </w:r>
          </w:p>
        </w:tc>
        <w:tc>
          <w:tcPr>
            <w:tcW w:w="3503" w:type="dxa"/>
            <w:vAlign w:val="center"/>
          </w:tcPr>
          <w:p w14:paraId="1F7C898B" w14:textId="4106038A"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Axicabtagene ciloleucel</w:t>
            </w:r>
          </w:p>
        </w:tc>
        <w:tc>
          <w:tcPr>
            <w:tcW w:w="3450" w:type="dxa"/>
            <w:vAlign w:val="center"/>
          </w:tcPr>
          <w:p w14:paraId="07B5590A" w14:textId="67D686CE"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393A2C98" w14:textId="0AAF0636"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1CD1AA02" w14:textId="35508CBB"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7492776" w14:textId="405A00A7"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Post-11</w:t>
            </w:r>
          </w:p>
        </w:tc>
        <w:tc>
          <w:tcPr>
            <w:tcW w:w="3503" w:type="dxa"/>
            <w:vAlign w:val="center"/>
          </w:tcPr>
          <w:p w14:paraId="292E518A" w14:textId="1DEBA3E4"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70FAF1F9" w14:textId="5A0C08A3"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41499C8C" w14:textId="778DF8F1"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6E149FC3" w14:textId="38AF9949"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273C7AC" w14:textId="109BA397"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Post-12</w:t>
            </w:r>
          </w:p>
        </w:tc>
        <w:tc>
          <w:tcPr>
            <w:tcW w:w="3503" w:type="dxa"/>
            <w:vAlign w:val="center"/>
          </w:tcPr>
          <w:p w14:paraId="14DA0A9A" w14:textId="1B5E9548"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0BD57736" w14:textId="11E4CB11"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464B5D87" w14:textId="1C942B27"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57110454" w14:textId="5CEBB1C5"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841F4C7" w14:textId="1417B081"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Post-13*</w:t>
            </w:r>
          </w:p>
        </w:tc>
        <w:tc>
          <w:tcPr>
            <w:tcW w:w="3503" w:type="dxa"/>
            <w:vAlign w:val="center"/>
          </w:tcPr>
          <w:p w14:paraId="5AB44C26" w14:textId="2CF0A20A"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Investigational</w:t>
            </w:r>
          </w:p>
        </w:tc>
        <w:tc>
          <w:tcPr>
            <w:tcW w:w="3450" w:type="dxa"/>
            <w:vAlign w:val="center"/>
          </w:tcPr>
          <w:p w14:paraId="51DA3A13" w14:textId="1DD9E65C"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54377FDA" w14:textId="7B48411E"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31441" w:rsidRPr="004F1A28" w14:paraId="1B659133" w14:textId="76EBADD8" w:rsidTr="004D0B3F">
        <w:trPr>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2DFDF8F" w14:textId="3035169F"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Post-14</w:t>
            </w:r>
          </w:p>
        </w:tc>
        <w:tc>
          <w:tcPr>
            <w:tcW w:w="3503" w:type="dxa"/>
            <w:vAlign w:val="center"/>
          </w:tcPr>
          <w:p w14:paraId="7F513B3E" w14:textId="17DCADCD"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F1A28">
              <w:rPr>
                <w:rFonts w:ascii="Arial" w:hAnsi="Arial" w:cs="Arial"/>
                <w:color w:val="auto"/>
              </w:rPr>
              <w:t>Axicabtagene ciloleucel</w:t>
            </w:r>
          </w:p>
        </w:tc>
        <w:tc>
          <w:tcPr>
            <w:tcW w:w="3450" w:type="dxa"/>
            <w:vAlign w:val="center"/>
          </w:tcPr>
          <w:p w14:paraId="6A5AC2CA" w14:textId="4ED4404A"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456" w:type="dxa"/>
            <w:vAlign w:val="center"/>
          </w:tcPr>
          <w:p w14:paraId="4B6D3820" w14:textId="1DF726D1" w:rsidR="00F31441" w:rsidRPr="004F1A28" w:rsidRDefault="00F31441" w:rsidP="00F3144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31441" w:rsidRPr="004F1A28" w14:paraId="4729C4FC" w14:textId="3881426F" w:rsidTr="004D0B3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2801DE2" w14:textId="7D98809B" w:rsidR="00F31441" w:rsidRPr="004F1A28" w:rsidRDefault="00F31441" w:rsidP="00F31441">
            <w:pPr>
              <w:spacing w:line="276" w:lineRule="auto"/>
              <w:rPr>
                <w:rFonts w:ascii="Arial" w:hAnsi="Arial" w:cs="Arial"/>
                <w:b w:val="0"/>
                <w:bCs w:val="0"/>
                <w:color w:val="auto"/>
              </w:rPr>
            </w:pPr>
            <w:r w:rsidRPr="004F1A28">
              <w:rPr>
                <w:rFonts w:ascii="Arial" w:hAnsi="Arial" w:cs="Arial"/>
                <w:b w:val="0"/>
                <w:bCs w:val="0"/>
                <w:color w:val="auto"/>
              </w:rPr>
              <w:t>Post-15*</w:t>
            </w:r>
          </w:p>
        </w:tc>
        <w:tc>
          <w:tcPr>
            <w:tcW w:w="3503" w:type="dxa"/>
            <w:vAlign w:val="center"/>
          </w:tcPr>
          <w:p w14:paraId="12D5687F" w14:textId="26852E4E"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F1A28">
              <w:rPr>
                <w:rFonts w:ascii="Arial" w:hAnsi="Arial" w:cs="Arial"/>
                <w:color w:val="auto"/>
              </w:rPr>
              <w:t xml:space="preserve"> Investigational</w:t>
            </w:r>
          </w:p>
        </w:tc>
        <w:tc>
          <w:tcPr>
            <w:tcW w:w="3450" w:type="dxa"/>
            <w:vAlign w:val="center"/>
          </w:tcPr>
          <w:p w14:paraId="201691DA" w14:textId="5A3E2569"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456" w:type="dxa"/>
            <w:vAlign w:val="center"/>
          </w:tcPr>
          <w:p w14:paraId="198DDE0B" w14:textId="2D98F0C6" w:rsidR="00F31441" w:rsidRPr="004F1A28" w:rsidRDefault="00F31441" w:rsidP="00F3144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D5AC0" w:rsidRPr="004F1A28" w14:paraId="1E37DD79" w14:textId="3C9E1261" w:rsidTr="00F31441">
        <w:trPr>
          <w:trHeight w:val="613"/>
        </w:trPr>
        <w:tc>
          <w:tcPr>
            <w:cnfStyle w:val="001000000000" w:firstRow="0" w:lastRow="0" w:firstColumn="1" w:lastColumn="0" w:oddVBand="0" w:evenVBand="0" w:oddHBand="0" w:evenHBand="0" w:firstRowFirstColumn="0" w:firstRowLastColumn="0" w:lastRowFirstColumn="0" w:lastRowLastColumn="0"/>
            <w:tcW w:w="13806" w:type="dxa"/>
            <w:gridSpan w:val="4"/>
          </w:tcPr>
          <w:p w14:paraId="3A780A44" w14:textId="03E53451" w:rsidR="00AD5AC0" w:rsidRPr="004F1A28" w:rsidRDefault="00471617" w:rsidP="00AD5AC0">
            <w:pPr>
              <w:spacing w:line="276" w:lineRule="auto"/>
              <w:rPr>
                <w:rFonts w:ascii="Arial" w:hAnsi="Arial" w:cs="Arial"/>
                <w:b w:val="0"/>
                <w:bCs w:val="0"/>
                <w:color w:val="auto"/>
              </w:rPr>
            </w:pPr>
            <w:r>
              <w:rPr>
                <w:rFonts w:ascii="Arial" w:hAnsi="Arial" w:cs="Arial"/>
                <w:b w:val="0"/>
                <w:color w:val="auto"/>
              </w:rPr>
              <w:t xml:space="preserve">No data missing. </w:t>
            </w:r>
            <w:r w:rsidR="00AD5AC0" w:rsidRPr="004F1A28">
              <w:rPr>
                <w:rFonts w:ascii="Arial" w:hAnsi="Arial" w:cs="Arial"/>
                <w:b w:val="0"/>
                <w:color w:val="auto"/>
              </w:rPr>
              <w:t>Blank fields indicate not applicable. CAR-Tx indicates CAR-T-cell therapy</w:t>
            </w:r>
            <w:r w:rsidR="00F31441">
              <w:rPr>
                <w:rFonts w:ascii="Arial" w:hAnsi="Arial" w:cs="Arial"/>
                <w:b w:val="0"/>
                <w:color w:val="auto"/>
              </w:rPr>
              <w:t xml:space="preserve">; CR, complete </w:t>
            </w:r>
            <w:r w:rsidR="001434BD">
              <w:rPr>
                <w:rFonts w:ascii="Arial" w:hAnsi="Arial" w:cs="Arial"/>
                <w:b w:val="0"/>
                <w:color w:val="auto"/>
              </w:rPr>
              <w:t>response</w:t>
            </w:r>
            <w:r w:rsidR="000B20A6">
              <w:rPr>
                <w:rFonts w:ascii="Arial" w:hAnsi="Arial" w:cs="Arial"/>
                <w:b w:val="0"/>
                <w:color w:val="auto"/>
              </w:rPr>
              <w:t>; VGPR, very good partial response</w:t>
            </w:r>
            <w:r w:rsidR="00F31441">
              <w:rPr>
                <w:rFonts w:ascii="Arial" w:hAnsi="Arial" w:cs="Arial"/>
                <w:b w:val="0"/>
                <w:color w:val="auto"/>
              </w:rPr>
              <w:t>.</w:t>
            </w:r>
          </w:p>
          <w:p w14:paraId="2A2E9CE2" w14:textId="77777777" w:rsidR="00AD5AC0" w:rsidRPr="004F1A28" w:rsidRDefault="00AD5AC0" w:rsidP="00AD5AC0">
            <w:pPr>
              <w:spacing w:line="276" w:lineRule="auto"/>
              <w:rPr>
                <w:rFonts w:ascii="Arial" w:hAnsi="Arial" w:cs="Arial"/>
                <w:b w:val="0"/>
                <w:bCs w:val="0"/>
                <w:color w:val="auto"/>
                <w:vertAlign w:val="superscript"/>
              </w:rPr>
            </w:pPr>
            <w:r w:rsidRPr="004F1A28">
              <w:rPr>
                <w:rFonts w:ascii="Arial" w:hAnsi="Arial" w:cs="Arial"/>
                <w:b w:val="0"/>
                <w:color w:val="auto"/>
                <w:vertAlign w:val="superscript"/>
              </w:rPr>
              <w:t>1</w:t>
            </w:r>
            <w:r w:rsidRPr="004F1A28">
              <w:rPr>
                <w:rFonts w:ascii="Arial" w:hAnsi="Arial" w:cs="Arial"/>
                <w:b w:val="0"/>
                <w:color w:val="auto"/>
              </w:rPr>
              <w:t>Individuals with an antibody response to at least one vaccine strain are indicated with a *.</w:t>
            </w:r>
          </w:p>
          <w:p w14:paraId="59455D32" w14:textId="7958588A" w:rsidR="00AD5AC0" w:rsidRPr="004F1A28" w:rsidRDefault="00AD5AC0" w:rsidP="00AD5AC0">
            <w:pPr>
              <w:spacing w:line="276" w:lineRule="auto"/>
              <w:rPr>
                <w:rFonts w:ascii="Arial" w:hAnsi="Arial" w:cs="Arial"/>
                <w:b w:val="0"/>
                <w:color w:val="auto"/>
              </w:rPr>
            </w:pPr>
            <w:r w:rsidRPr="004F1A28">
              <w:rPr>
                <w:rFonts w:ascii="Arial" w:hAnsi="Arial" w:cs="Arial"/>
                <w:b w:val="0"/>
                <w:color w:val="auto"/>
                <w:vertAlign w:val="superscript"/>
              </w:rPr>
              <w:lastRenderedPageBreak/>
              <w:t>2</w:t>
            </w:r>
            <w:r w:rsidRPr="004F1A28">
              <w:rPr>
                <w:rFonts w:ascii="Arial" w:hAnsi="Arial" w:cs="Arial"/>
                <w:b w:val="0"/>
                <w:color w:val="auto"/>
              </w:rPr>
              <w:t xml:space="preserve">All individuals received a standard lymphodepleting regimen with cyclophosphamide and fludarabine. </w:t>
            </w:r>
            <w:r>
              <w:rPr>
                <w:rFonts w:ascii="Arial" w:hAnsi="Arial" w:cs="Arial"/>
                <w:b w:val="0"/>
                <w:color w:val="auto"/>
              </w:rPr>
              <w:t>Co-stimulatory domains were CD28 fo</w:t>
            </w:r>
            <w:r w:rsidR="00C53A1F">
              <w:rPr>
                <w:rFonts w:ascii="Arial" w:hAnsi="Arial" w:cs="Arial"/>
                <w:b w:val="0"/>
                <w:color w:val="auto"/>
              </w:rPr>
              <w:t>r a</w:t>
            </w:r>
            <w:r>
              <w:rPr>
                <w:rFonts w:ascii="Arial" w:hAnsi="Arial" w:cs="Arial"/>
                <w:b w:val="0"/>
                <w:color w:val="auto"/>
              </w:rPr>
              <w:t xml:space="preserve">xicabtagene ciloleucel, CD28/4-1BB for </w:t>
            </w:r>
            <w:r w:rsidR="00C53A1F">
              <w:rPr>
                <w:rFonts w:ascii="Arial" w:hAnsi="Arial" w:cs="Arial"/>
                <w:b w:val="0"/>
                <w:color w:val="auto"/>
              </w:rPr>
              <w:t>a CD20 targeting CAR-T-cell product used in one individual only</w:t>
            </w:r>
            <w:r>
              <w:rPr>
                <w:rFonts w:ascii="Arial" w:hAnsi="Arial" w:cs="Arial"/>
                <w:b w:val="0"/>
                <w:color w:val="auto"/>
              </w:rPr>
              <w:t xml:space="preserve">, and 4-1BB for the remaining investigational products. </w:t>
            </w:r>
            <w:r w:rsidRPr="004F1A28">
              <w:rPr>
                <w:rFonts w:ascii="Arial" w:hAnsi="Arial" w:cs="Arial"/>
                <w:b w:val="0"/>
                <w:color w:val="auto"/>
              </w:rPr>
              <w:t>Study protocols were: NCT03103971, NCT03277729, NCT03502577, NCT03338972, NCT02028455, NCT01865617, NCT03105336, NCT02631044</w:t>
            </w:r>
            <w:r w:rsidR="004D0B3F">
              <w:rPr>
                <w:rFonts w:ascii="Arial" w:hAnsi="Arial" w:cs="Arial"/>
                <w:b w:val="0"/>
                <w:color w:val="auto"/>
              </w:rPr>
              <w:t>.</w:t>
            </w:r>
          </w:p>
          <w:p w14:paraId="3DBC0E35" w14:textId="378C8D2B" w:rsidR="00AD5AC0" w:rsidRPr="00F31441" w:rsidRDefault="00AD5AC0" w:rsidP="00F31441">
            <w:pPr>
              <w:spacing w:line="276" w:lineRule="auto"/>
              <w:rPr>
                <w:rFonts w:ascii="Arial" w:hAnsi="Arial" w:cs="Arial"/>
                <w:b w:val="0"/>
                <w:bCs w:val="0"/>
                <w:color w:val="auto"/>
              </w:rPr>
            </w:pPr>
            <w:r>
              <w:rPr>
                <w:rFonts w:ascii="Arial" w:hAnsi="Arial" w:cs="Arial"/>
                <w:b w:val="0"/>
                <w:color w:val="auto"/>
                <w:vertAlign w:val="superscript"/>
              </w:rPr>
              <w:t>3</w:t>
            </w:r>
            <w:r w:rsidRPr="004F1A28">
              <w:rPr>
                <w:rFonts w:ascii="Arial" w:hAnsi="Arial" w:cs="Arial"/>
                <w:b w:val="0"/>
                <w:color w:val="auto"/>
              </w:rPr>
              <w:t xml:space="preserve">Includes cytokine release syndrome and immune effector cell-associated neurotoxicity syndrome. Treatments were corticosteroids </w:t>
            </w:r>
            <w:r w:rsidR="00C53A1F">
              <w:rPr>
                <w:rFonts w:ascii="Arial" w:hAnsi="Arial" w:cs="Arial"/>
                <w:b w:val="0"/>
                <w:color w:val="auto"/>
              </w:rPr>
              <w:t>with or without</w:t>
            </w:r>
            <w:r w:rsidRPr="004F1A28">
              <w:rPr>
                <w:rFonts w:ascii="Arial" w:hAnsi="Arial" w:cs="Arial"/>
                <w:b w:val="0"/>
                <w:color w:val="auto"/>
              </w:rPr>
              <w:t xml:space="preserve"> tocilizumab.</w:t>
            </w:r>
          </w:p>
        </w:tc>
      </w:tr>
      <w:bookmarkEnd w:id="13"/>
    </w:tbl>
    <w:p w14:paraId="15CAEB81" w14:textId="77777777" w:rsidR="00F50963" w:rsidRDefault="00F50963" w:rsidP="00705039">
      <w:pPr>
        <w:spacing w:line="480" w:lineRule="auto"/>
        <w:rPr>
          <w:rFonts w:ascii="Arial" w:hAnsi="Arial" w:cs="Arial"/>
        </w:rPr>
        <w:sectPr w:rsidR="00F50963" w:rsidSect="002F2932">
          <w:pgSz w:w="15840" w:h="12240" w:orient="landscape"/>
          <w:pgMar w:top="720" w:right="720" w:bottom="720" w:left="720" w:header="720" w:footer="720" w:gutter="0"/>
          <w:cols w:space="720"/>
          <w:docGrid w:linePitch="360"/>
        </w:sectPr>
      </w:pPr>
    </w:p>
    <w:p w14:paraId="27639B20" w14:textId="77777777" w:rsidR="00F31441" w:rsidRPr="00A11490" w:rsidRDefault="00F31441" w:rsidP="00F31441">
      <w:pPr>
        <w:pStyle w:val="berschrift2"/>
        <w:rPr>
          <w:i/>
          <w:iCs/>
        </w:rPr>
      </w:pPr>
      <w:bookmarkStart w:id="14" w:name="_Toc69465998"/>
      <w:bookmarkStart w:id="15" w:name="_Toc71574249"/>
      <w:r w:rsidRPr="00087AD5">
        <w:rPr>
          <w:bCs/>
        </w:rPr>
        <w:lastRenderedPageBreak/>
        <w:t>Supplemental Table 2.</w:t>
      </w:r>
      <w:r w:rsidRPr="00087AD5">
        <w:t xml:space="preserve"> </w:t>
      </w:r>
      <w:r>
        <w:t>Baseline l</w:t>
      </w:r>
      <w:r w:rsidRPr="00087AD5">
        <w:t>aboratory values</w:t>
      </w:r>
      <w:r>
        <w:t xml:space="preserve"> and most recent IGRT administration for the pre- and post-CAR-T-cell therapy cohorts</w:t>
      </w:r>
      <w:bookmarkEnd w:id="14"/>
      <w:bookmarkEnd w:id="15"/>
    </w:p>
    <w:tbl>
      <w:tblPr>
        <w:tblStyle w:val="Gitternetztabelle6farbigAkzent3"/>
        <w:tblW w:w="13143" w:type="dxa"/>
        <w:tblLayout w:type="fixed"/>
        <w:tblCellMar>
          <w:top w:w="28" w:type="dxa"/>
        </w:tblCellMar>
        <w:tblLook w:val="04A0" w:firstRow="1" w:lastRow="0" w:firstColumn="1" w:lastColumn="0" w:noHBand="0" w:noVBand="1"/>
      </w:tblPr>
      <w:tblGrid>
        <w:gridCol w:w="1267"/>
        <w:gridCol w:w="1272"/>
        <w:gridCol w:w="1554"/>
        <w:gridCol w:w="1838"/>
        <w:gridCol w:w="1554"/>
        <w:gridCol w:w="1554"/>
        <w:gridCol w:w="1838"/>
        <w:gridCol w:w="2266"/>
      </w:tblGrid>
      <w:tr w:rsidR="00A32491" w:rsidRPr="004058A4" w14:paraId="3A5433D9" w14:textId="77777777" w:rsidTr="00C82D93">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267" w:type="dxa"/>
          </w:tcPr>
          <w:p w14:paraId="3342F4FD" w14:textId="77777777" w:rsidR="00F31441" w:rsidRPr="004058A4" w:rsidRDefault="00F31441" w:rsidP="00E91A6C">
            <w:pPr>
              <w:rPr>
                <w:rFonts w:ascii="Arial" w:hAnsi="Arial" w:cs="Arial"/>
                <w:color w:val="auto"/>
              </w:rPr>
            </w:pPr>
            <w:r w:rsidRPr="004058A4">
              <w:rPr>
                <w:rFonts w:ascii="Arial" w:hAnsi="Arial" w:cs="Arial"/>
                <w:color w:val="auto"/>
              </w:rPr>
              <w:t>Study-ID</w:t>
            </w:r>
            <w:r w:rsidRPr="00F379CD">
              <w:rPr>
                <w:rFonts w:ascii="Arial" w:hAnsi="Arial" w:cs="Arial"/>
                <w:b w:val="0"/>
                <w:color w:val="auto"/>
                <w:vertAlign w:val="superscript"/>
              </w:rPr>
              <w:t>1</w:t>
            </w:r>
          </w:p>
        </w:tc>
        <w:tc>
          <w:tcPr>
            <w:tcW w:w="1272" w:type="dxa"/>
          </w:tcPr>
          <w:p w14:paraId="2ABD6A00" w14:textId="77777777" w:rsidR="00F31441" w:rsidRPr="004058A4" w:rsidRDefault="00F31441" w:rsidP="00E91A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CD8</w:t>
            </w:r>
            <w:r w:rsidRPr="004058A4">
              <w:rPr>
                <w:rFonts w:ascii="Arial" w:hAnsi="Arial" w:cs="Arial"/>
                <w:color w:val="auto"/>
                <w:vertAlign w:val="superscript"/>
              </w:rPr>
              <w:t>+</w:t>
            </w:r>
            <w:r w:rsidRPr="004058A4">
              <w:rPr>
                <w:rFonts w:ascii="Arial" w:hAnsi="Arial" w:cs="Arial"/>
                <w:color w:val="auto"/>
              </w:rPr>
              <w:t xml:space="preserve"> T-cells/µL</w:t>
            </w:r>
          </w:p>
        </w:tc>
        <w:tc>
          <w:tcPr>
            <w:tcW w:w="1554" w:type="dxa"/>
          </w:tcPr>
          <w:p w14:paraId="3F983E8B" w14:textId="77777777" w:rsidR="00F31441" w:rsidRPr="004058A4" w:rsidRDefault="00F31441" w:rsidP="00E91A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 naïve of all CD19</w:t>
            </w:r>
            <w:r w:rsidRPr="004058A4">
              <w:rPr>
                <w:rFonts w:ascii="Arial" w:hAnsi="Arial" w:cs="Arial"/>
                <w:color w:val="auto"/>
                <w:vertAlign w:val="superscript"/>
              </w:rPr>
              <w:t>+</w:t>
            </w:r>
            <w:r w:rsidRPr="004058A4">
              <w:rPr>
                <w:rFonts w:ascii="Arial" w:hAnsi="Arial" w:cs="Arial"/>
                <w:color w:val="auto"/>
              </w:rPr>
              <w:t xml:space="preserve"> B-cells</w:t>
            </w:r>
            <w:r w:rsidRPr="00F379CD">
              <w:rPr>
                <w:rFonts w:ascii="Arial" w:hAnsi="Arial" w:cs="Arial"/>
                <w:b w:val="0"/>
                <w:color w:val="auto"/>
                <w:vertAlign w:val="superscript"/>
              </w:rPr>
              <w:t>2</w:t>
            </w:r>
          </w:p>
        </w:tc>
        <w:tc>
          <w:tcPr>
            <w:tcW w:w="1838" w:type="dxa"/>
          </w:tcPr>
          <w:p w14:paraId="4EA42B58" w14:textId="77777777" w:rsidR="00F31441" w:rsidRPr="004058A4" w:rsidRDefault="00F31441" w:rsidP="00E91A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 switched memory of all CD19</w:t>
            </w:r>
            <w:r w:rsidRPr="004058A4">
              <w:rPr>
                <w:rFonts w:ascii="Arial" w:hAnsi="Arial" w:cs="Arial"/>
                <w:color w:val="auto"/>
                <w:vertAlign w:val="superscript"/>
              </w:rPr>
              <w:t>+</w:t>
            </w:r>
            <w:r w:rsidRPr="004058A4">
              <w:rPr>
                <w:rFonts w:ascii="Arial" w:hAnsi="Arial" w:cs="Arial"/>
                <w:color w:val="auto"/>
              </w:rPr>
              <w:t xml:space="preserve"> B-cells</w:t>
            </w:r>
            <w:r w:rsidRPr="00F379CD">
              <w:rPr>
                <w:rFonts w:ascii="Arial" w:hAnsi="Arial" w:cs="Arial"/>
                <w:b w:val="0"/>
                <w:color w:val="auto"/>
                <w:vertAlign w:val="superscript"/>
              </w:rPr>
              <w:t>2</w:t>
            </w:r>
          </w:p>
        </w:tc>
        <w:tc>
          <w:tcPr>
            <w:tcW w:w="1554" w:type="dxa"/>
          </w:tcPr>
          <w:p w14:paraId="0B1FA870" w14:textId="77777777" w:rsidR="00F31441" w:rsidRPr="004058A4" w:rsidRDefault="00F31441" w:rsidP="00E91A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IgA, mg/dL</w:t>
            </w:r>
            <w:r w:rsidRPr="00F379CD">
              <w:rPr>
                <w:rFonts w:ascii="Arial" w:hAnsi="Arial" w:cs="Arial"/>
                <w:b w:val="0"/>
                <w:color w:val="auto"/>
                <w:vertAlign w:val="superscript"/>
              </w:rPr>
              <w:t>3</w:t>
            </w:r>
          </w:p>
        </w:tc>
        <w:tc>
          <w:tcPr>
            <w:tcW w:w="1554" w:type="dxa"/>
          </w:tcPr>
          <w:p w14:paraId="588D7F84" w14:textId="77777777" w:rsidR="00F31441" w:rsidRPr="004058A4" w:rsidRDefault="00F31441" w:rsidP="00E91A6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IgM, mg/dL</w:t>
            </w:r>
            <w:r w:rsidRPr="00F379CD">
              <w:rPr>
                <w:rFonts w:ascii="Arial" w:hAnsi="Arial" w:cs="Arial"/>
                <w:b w:val="0"/>
                <w:color w:val="auto"/>
                <w:vertAlign w:val="superscript"/>
              </w:rPr>
              <w:t>3</w:t>
            </w:r>
          </w:p>
        </w:tc>
        <w:tc>
          <w:tcPr>
            <w:tcW w:w="1838" w:type="dxa"/>
          </w:tcPr>
          <w:p w14:paraId="4761D8F3" w14:textId="70496FE7" w:rsidR="00F31441" w:rsidRPr="004058A4" w:rsidRDefault="00F31441" w:rsidP="00C82D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IGRT</w:t>
            </w:r>
            <w:r w:rsidRPr="004058A4">
              <w:rPr>
                <w:rFonts w:ascii="Arial" w:hAnsi="Arial" w:cs="Arial"/>
                <w:color w:val="auto"/>
              </w:rPr>
              <w:t xml:space="preserve"> </w:t>
            </w:r>
            <w:r w:rsidR="00C82D93">
              <w:rPr>
                <w:rFonts w:ascii="Arial" w:hAnsi="Arial" w:cs="Arial"/>
                <w:color w:val="auto"/>
              </w:rPr>
              <w:t xml:space="preserve">between 2 and 4 months prior to </w:t>
            </w:r>
            <w:r w:rsidRPr="004058A4">
              <w:rPr>
                <w:rFonts w:ascii="Arial" w:hAnsi="Arial" w:cs="Arial"/>
                <w:color w:val="auto"/>
              </w:rPr>
              <w:t>baseline</w:t>
            </w:r>
            <w:r w:rsidRPr="00F379CD">
              <w:rPr>
                <w:rFonts w:ascii="Arial" w:hAnsi="Arial" w:cs="Arial"/>
                <w:b w:val="0"/>
                <w:color w:val="auto"/>
                <w:vertAlign w:val="superscript"/>
              </w:rPr>
              <w:t>4</w:t>
            </w:r>
          </w:p>
        </w:tc>
        <w:tc>
          <w:tcPr>
            <w:tcW w:w="2261" w:type="dxa"/>
          </w:tcPr>
          <w:p w14:paraId="0FCCAEA2" w14:textId="594EEE14" w:rsidR="00F31441" w:rsidRPr="004058A4" w:rsidRDefault="00F31441" w:rsidP="00C82D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IGRT</w:t>
            </w:r>
            <w:r w:rsidRPr="004058A4">
              <w:rPr>
                <w:rFonts w:ascii="Arial" w:hAnsi="Arial" w:cs="Arial"/>
                <w:color w:val="auto"/>
              </w:rPr>
              <w:t xml:space="preserve"> </w:t>
            </w:r>
            <w:r w:rsidR="00C82D93">
              <w:rPr>
                <w:rFonts w:ascii="Arial" w:hAnsi="Arial" w:cs="Arial"/>
                <w:color w:val="auto"/>
              </w:rPr>
              <w:t>between vaccination and first</w:t>
            </w:r>
            <w:r w:rsidRPr="004058A4">
              <w:rPr>
                <w:rFonts w:ascii="Arial" w:hAnsi="Arial" w:cs="Arial"/>
                <w:color w:val="auto"/>
              </w:rPr>
              <w:t xml:space="preserve"> post vaccine timepoint</w:t>
            </w:r>
          </w:p>
        </w:tc>
      </w:tr>
      <w:tr w:rsidR="00F31441" w:rsidRPr="004058A4" w14:paraId="3B35F3B0" w14:textId="77777777" w:rsidTr="00C82D93">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3143" w:type="dxa"/>
            <w:gridSpan w:val="8"/>
            <w:vAlign w:val="center"/>
          </w:tcPr>
          <w:p w14:paraId="4B55F21C" w14:textId="77777777" w:rsidR="00F31441" w:rsidRPr="004058A4" w:rsidRDefault="00F31441" w:rsidP="00E91A6C">
            <w:pPr>
              <w:rPr>
                <w:rFonts w:ascii="Arial" w:hAnsi="Arial" w:cs="Arial"/>
                <w:color w:val="auto"/>
              </w:rPr>
            </w:pPr>
            <w:r w:rsidRPr="004058A4">
              <w:rPr>
                <w:rFonts w:ascii="Arial" w:hAnsi="Arial" w:cs="Arial"/>
                <w:color w:val="auto"/>
              </w:rPr>
              <w:t>Pre-CAR-T cohort</w:t>
            </w:r>
          </w:p>
        </w:tc>
      </w:tr>
      <w:tr w:rsidR="00A32491" w:rsidRPr="004058A4" w14:paraId="094C7968" w14:textId="77777777" w:rsidTr="00C82D93">
        <w:trPr>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1FD286C6" w14:textId="77777777" w:rsidR="00F31441" w:rsidRPr="004058A4" w:rsidRDefault="00F31441" w:rsidP="00E91A6C">
            <w:pPr>
              <w:rPr>
                <w:rFonts w:ascii="Arial" w:hAnsi="Arial" w:cs="Arial"/>
                <w:color w:val="auto"/>
              </w:rPr>
            </w:pPr>
            <w:r w:rsidRPr="004058A4">
              <w:rPr>
                <w:rFonts w:ascii="Arial" w:hAnsi="Arial" w:cs="Arial"/>
                <w:b w:val="0"/>
                <w:bCs w:val="0"/>
                <w:color w:val="auto"/>
              </w:rPr>
              <w:t>Pre-1</w:t>
            </w:r>
          </w:p>
        </w:tc>
        <w:tc>
          <w:tcPr>
            <w:tcW w:w="1272" w:type="dxa"/>
            <w:vAlign w:val="center"/>
          </w:tcPr>
          <w:p w14:paraId="6A89199E"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224</w:t>
            </w:r>
          </w:p>
        </w:tc>
        <w:tc>
          <w:tcPr>
            <w:tcW w:w="1554" w:type="dxa"/>
            <w:vAlign w:val="center"/>
          </w:tcPr>
          <w:p w14:paraId="28A8AB60"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69C347B5"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03A2CFB0"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38</w:t>
            </w:r>
          </w:p>
        </w:tc>
        <w:tc>
          <w:tcPr>
            <w:tcW w:w="1554" w:type="dxa"/>
            <w:vAlign w:val="center"/>
          </w:tcPr>
          <w:p w14:paraId="180639C1"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&lt;10</w:t>
            </w:r>
          </w:p>
        </w:tc>
        <w:tc>
          <w:tcPr>
            <w:tcW w:w="1838" w:type="dxa"/>
            <w:vAlign w:val="center"/>
          </w:tcPr>
          <w:p w14:paraId="41E25809"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23583095"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56FCEEC5"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55DA43E0" w14:textId="77777777" w:rsidR="00F31441" w:rsidRPr="004058A4" w:rsidRDefault="00F31441" w:rsidP="00E91A6C">
            <w:pPr>
              <w:rPr>
                <w:rFonts w:ascii="Arial" w:hAnsi="Arial" w:cs="Arial"/>
                <w:color w:val="auto"/>
              </w:rPr>
            </w:pPr>
            <w:r w:rsidRPr="004058A4">
              <w:rPr>
                <w:rFonts w:ascii="Arial" w:hAnsi="Arial" w:cs="Arial"/>
                <w:b w:val="0"/>
                <w:bCs w:val="0"/>
                <w:color w:val="auto"/>
              </w:rPr>
              <w:t>Pre-2</w:t>
            </w:r>
          </w:p>
        </w:tc>
        <w:tc>
          <w:tcPr>
            <w:tcW w:w="1272" w:type="dxa"/>
            <w:vAlign w:val="center"/>
          </w:tcPr>
          <w:p w14:paraId="316AD1F3"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399</w:t>
            </w:r>
          </w:p>
        </w:tc>
        <w:tc>
          <w:tcPr>
            <w:tcW w:w="1554" w:type="dxa"/>
            <w:vAlign w:val="center"/>
          </w:tcPr>
          <w:p w14:paraId="6A052E7E"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63D58218"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10ECC942"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67</w:t>
            </w:r>
          </w:p>
        </w:tc>
        <w:tc>
          <w:tcPr>
            <w:tcW w:w="1554" w:type="dxa"/>
            <w:vAlign w:val="center"/>
          </w:tcPr>
          <w:p w14:paraId="66F1AA16"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27</w:t>
            </w:r>
          </w:p>
        </w:tc>
        <w:tc>
          <w:tcPr>
            <w:tcW w:w="1838" w:type="dxa"/>
            <w:vAlign w:val="center"/>
          </w:tcPr>
          <w:p w14:paraId="60170846"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6EA5500D"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7B186A1B" w14:textId="77777777" w:rsidTr="00C82D93">
        <w:trPr>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4060D2B5" w14:textId="77777777" w:rsidR="00F31441" w:rsidRPr="004058A4" w:rsidRDefault="00F31441" w:rsidP="00E91A6C">
            <w:pPr>
              <w:rPr>
                <w:rFonts w:ascii="Arial" w:hAnsi="Arial" w:cs="Arial"/>
                <w:color w:val="auto"/>
              </w:rPr>
            </w:pPr>
            <w:r w:rsidRPr="004058A4">
              <w:rPr>
                <w:rFonts w:ascii="Arial" w:hAnsi="Arial" w:cs="Arial"/>
                <w:b w:val="0"/>
                <w:bCs w:val="0"/>
                <w:color w:val="auto"/>
              </w:rPr>
              <w:t>Pre-3</w:t>
            </w:r>
          </w:p>
        </w:tc>
        <w:tc>
          <w:tcPr>
            <w:tcW w:w="1272" w:type="dxa"/>
            <w:vAlign w:val="center"/>
          </w:tcPr>
          <w:p w14:paraId="5D804D1B"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616</w:t>
            </w:r>
          </w:p>
        </w:tc>
        <w:tc>
          <w:tcPr>
            <w:tcW w:w="1554" w:type="dxa"/>
            <w:vAlign w:val="center"/>
          </w:tcPr>
          <w:p w14:paraId="1E1AFF7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0CC75F5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57A1175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74</w:t>
            </w:r>
          </w:p>
        </w:tc>
        <w:tc>
          <w:tcPr>
            <w:tcW w:w="1554" w:type="dxa"/>
            <w:vAlign w:val="center"/>
          </w:tcPr>
          <w:p w14:paraId="5A087DA7"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&lt;10</w:t>
            </w:r>
          </w:p>
        </w:tc>
        <w:tc>
          <w:tcPr>
            <w:tcW w:w="1838" w:type="dxa"/>
            <w:vAlign w:val="center"/>
          </w:tcPr>
          <w:p w14:paraId="12C959D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518875B4"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4D6C38A1" w14:textId="77777777" w:rsidTr="00C82D93">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72AB8757" w14:textId="77777777" w:rsidR="00F31441" w:rsidRPr="004058A4" w:rsidRDefault="00F31441" w:rsidP="00E91A6C">
            <w:pPr>
              <w:rPr>
                <w:rFonts w:ascii="Arial" w:hAnsi="Arial" w:cs="Arial"/>
                <w:color w:val="auto"/>
              </w:rPr>
            </w:pPr>
            <w:r w:rsidRPr="004058A4">
              <w:rPr>
                <w:rFonts w:ascii="Arial" w:hAnsi="Arial" w:cs="Arial"/>
                <w:b w:val="0"/>
                <w:bCs w:val="0"/>
                <w:color w:val="auto"/>
              </w:rPr>
              <w:t>Pre-4</w:t>
            </w:r>
          </w:p>
        </w:tc>
        <w:tc>
          <w:tcPr>
            <w:tcW w:w="1272" w:type="dxa"/>
            <w:vAlign w:val="center"/>
          </w:tcPr>
          <w:p w14:paraId="3974066C"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350</w:t>
            </w:r>
          </w:p>
        </w:tc>
        <w:tc>
          <w:tcPr>
            <w:tcW w:w="1554" w:type="dxa"/>
            <w:vAlign w:val="center"/>
          </w:tcPr>
          <w:p w14:paraId="332733C7"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01FA2B4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755A9E9A"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26</w:t>
            </w:r>
          </w:p>
        </w:tc>
        <w:tc>
          <w:tcPr>
            <w:tcW w:w="1554" w:type="dxa"/>
            <w:vAlign w:val="center"/>
          </w:tcPr>
          <w:p w14:paraId="30835E0E"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13</w:t>
            </w:r>
          </w:p>
        </w:tc>
        <w:tc>
          <w:tcPr>
            <w:tcW w:w="1838" w:type="dxa"/>
            <w:vAlign w:val="center"/>
          </w:tcPr>
          <w:p w14:paraId="3ABBFD0D"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58E7BDE1"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12949079" w14:textId="77777777" w:rsidTr="00C82D93">
        <w:trPr>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4BC554CD" w14:textId="77777777" w:rsidR="00F31441" w:rsidRPr="004058A4" w:rsidRDefault="00F31441" w:rsidP="00E91A6C">
            <w:pPr>
              <w:rPr>
                <w:rFonts w:ascii="Arial" w:hAnsi="Arial" w:cs="Arial"/>
                <w:color w:val="auto"/>
              </w:rPr>
            </w:pPr>
            <w:r w:rsidRPr="004058A4">
              <w:rPr>
                <w:rFonts w:ascii="Arial" w:hAnsi="Arial" w:cs="Arial"/>
                <w:b w:val="0"/>
                <w:bCs w:val="0"/>
                <w:color w:val="auto"/>
              </w:rPr>
              <w:t>Pre-5</w:t>
            </w:r>
          </w:p>
        </w:tc>
        <w:tc>
          <w:tcPr>
            <w:tcW w:w="1272" w:type="dxa"/>
            <w:vAlign w:val="center"/>
          </w:tcPr>
          <w:p w14:paraId="6C530DEB"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217</w:t>
            </w:r>
          </w:p>
        </w:tc>
        <w:tc>
          <w:tcPr>
            <w:tcW w:w="1554" w:type="dxa"/>
            <w:vAlign w:val="center"/>
          </w:tcPr>
          <w:p w14:paraId="4949DB3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29</w:t>
            </w:r>
          </w:p>
        </w:tc>
        <w:tc>
          <w:tcPr>
            <w:tcW w:w="1838" w:type="dxa"/>
            <w:vAlign w:val="center"/>
          </w:tcPr>
          <w:p w14:paraId="316BCE15"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4</w:t>
            </w:r>
          </w:p>
        </w:tc>
        <w:tc>
          <w:tcPr>
            <w:tcW w:w="1554" w:type="dxa"/>
            <w:vAlign w:val="center"/>
          </w:tcPr>
          <w:p w14:paraId="0FCDD433"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&lt;2</w:t>
            </w:r>
          </w:p>
        </w:tc>
        <w:tc>
          <w:tcPr>
            <w:tcW w:w="1554" w:type="dxa"/>
            <w:vAlign w:val="center"/>
          </w:tcPr>
          <w:p w14:paraId="6652507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&lt;10</w:t>
            </w:r>
          </w:p>
        </w:tc>
        <w:tc>
          <w:tcPr>
            <w:tcW w:w="1838" w:type="dxa"/>
            <w:vAlign w:val="center"/>
          </w:tcPr>
          <w:p w14:paraId="7EE5B7F3"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4DCED37F"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3DCCC270"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6877238F" w14:textId="77777777" w:rsidR="00F31441" w:rsidRPr="004058A4" w:rsidRDefault="00F31441" w:rsidP="00E91A6C">
            <w:pPr>
              <w:rPr>
                <w:rFonts w:ascii="Arial" w:hAnsi="Arial" w:cs="Arial"/>
                <w:color w:val="auto"/>
              </w:rPr>
            </w:pPr>
            <w:r w:rsidRPr="004058A4">
              <w:rPr>
                <w:rFonts w:ascii="Arial" w:hAnsi="Arial" w:cs="Arial"/>
                <w:b w:val="0"/>
                <w:bCs w:val="0"/>
                <w:color w:val="auto"/>
              </w:rPr>
              <w:t>Pre-6*</w:t>
            </w:r>
          </w:p>
        </w:tc>
        <w:tc>
          <w:tcPr>
            <w:tcW w:w="1272" w:type="dxa"/>
            <w:vAlign w:val="center"/>
          </w:tcPr>
          <w:p w14:paraId="3D9C083B"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359</w:t>
            </w:r>
          </w:p>
        </w:tc>
        <w:tc>
          <w:tcPr>
            <w:tcW w:w="1554" w:type="dxa"/>
            <w:vAlign w:val="center"/>
          </w:tcPr>
          <w:p w14:paraId="25F48CC3"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41</w:t>
            </w:r>
          </w:p>
        </w:tc>
        <w:tc>
          <w:tcPr>
            <w:tcW w:w="1838" w:type="dxa"/>
            <w:vAlign w:val="center"/>
          </w:tcPr>
          <w:p w14:paraId="31C8D9B3"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w:t>
            </w:r>
            <w:r>
              <w:rPr>
                <w:rFonts w:ascii="Arial" w:hAnsi="Arial" w:cs="Arial"/>
                <w:color w:val="auto"/>
              </w:rPr>
              <w:t>3</w:t>
            </w:r>
          </w:p>
        </w:tc>
        <w:tc>
          <w:tcPr>
            <w:tcW w:w="1554" w:type="dxa"/>
            <w:vAlign w:val="center"/>
          </w:tcPr>
          <w:p w14:paraId="01547F19"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5</w:t>
            </w:r>
          </w:p>
        </w:tc>
        <w:tc>
          <w:tcPr>
            <w:tcW w:w="1554" w:type="dxa"/>
            <w:vAlign w:val="center"/>
          </w:tcPr>
          <w:p w14:paraId="219C981C"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&lt;10</w:t>
            </w:r>
          </w:p>
        </w:tc>
        <w:tc>
          <w:tcPr>
            <w:tcW w:w="1838" w:type="dxa"/>
            <w:vAlign w:val="center"/>
          </w:tcPr>
          <w:p w14:paraId="0F841C3A"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5A3BA8EF"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73A344CB" w14:textId="77777777" w:rsidTr="00C82D93">
        <w:trPr>
          <w:trHeight w:val="12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734C0A2B" w14:textId="77777777" w:rsidR="00F31441" w:rsidRPr="004058A4" w:rsidRDefault="00F31441" w:rsidP="00E91A6C">
            <w:pPr>
              <w:rPr>
                <w:rFonts w:ascii="Arial" w:hAnsi="Arial" w:cs="Arial"/>
                <w:color w:val="auto"/>
              </w:rPr>
            </w:pPr>
            <w:r w:rsidRPr="004058A4">
              <w:rPr>
                <w:rFonts w:ascii="Arial" w:hAnsi="Arial" w:cs="Arial"/>
                <w:b w:val="0"/>
                <w:bCs w:val="0"/>
                <w:color w:val="auto"/>
              </w:rPr>
              <w:t>Pre-7*</w:t>
            </w:r>
          </w:p>
        </w:tc>
        <w:tc>
          <w:tcPr>
            <w:tcW w:w="1272" w:type="dxa"/>
            <w:vAlign w:val="center"/>
          </w:tcPr>
          <w:p w14:paraId="472EF86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801</w:t>
            </w:r>
          </w:p>
        </w:tc>
        <w:tc>
          <w:tcPr>
            <w:tcW w:w="1554" w:type="dxa"/>
            <w:vAlign w:val="center"/>
          </w:tcPr>
          <w:p w14:paraId="6FFC46BB"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52</w:t>
            </w:r>
          </w:p>
        </w:tc>
        <w:tc>
          <w:tcPr>
            <w:tcW w:w="1838" w:type="dxa"/>
            <w:vAlign w:val="center"/>
          </w:tcPr>
          <w:p w14:paraId="3C32606E"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8</w:t>
            </w:r>
          </w:p>
        </w:tc>
        <w:tc>
          <w:tcPr>
            <w:tcW w:w="1554" w:type="dxa"/>
            <w:vAlign w:val="center"/>
          </w:tcPr>
          <w:p w14:paraId="73AA366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21</w:t>
            </w:r>
          </w:p>
        </w:tc>
        <w:tc>
          <w:tcPr>
            <w:tcW w:w="1554" w:type="dxa"/>
            <w:vAlign w:val="center"/>
          </w:tcPr>
          <w:p w14:paraId="63F5CA1C"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24</w:t>
            </w:r>
          </w:p>
        </w:tc>
        <w:tc>
          <w:tcPr>
            <w:tcW w:w="1838" w:type="dxa"/>
            <w:vAlign w:val="center"/>
          </w:tcPr>
          <w:p w14:paraId="6757731B"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20E7B1F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F31441" w:rsidRPr="004058A4" w14:paraId="7891893C"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3143" w:type="dxa"/>
            <w:gridSpan w:val="8"/>
            <w:vAlign w:val="center"/>
          </w:tcPr>
          <w:p w14:paraId="59930772" w14:textId="77777777" w:rsidR="00F31441" w:rsidRPr="004058A4" w:rsidRDefault="00F31441" w:rsidP="00E91A6C">
            <w:pPr>
              <w:rPr>
                <w:rFonts w:ascii="Arial" w:hAnsi="Arial" w:cs="Arial"/>
                <w:color w:val="auto"/>
              </w:rPr>
            </w:pPr>
            <w:r w:rsidRPr="004058A4">
              <w:rPr>
                <w:rFonts w:ascii="Arial" w:hAnsi="Arial" w:cs="Arial"/>
                <w:color w:val="auto"/>
              </w:rPr>
              <w:t>Post-CAR-T cohort</w:t>
            </w:r>
          </w:p>
        </w:tc>
      </w:tr>
      <w:tr w:rsidR="00A32491" w:rsidRPr="004058A4" w14:paraId="7938DA7D" w14:textId="77777777" w:rsidTr="00C82D93">
        <w:trPr>
          <w:trHeight w:val="10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024AC76D" w14:textId="77777777" w:rsidR="00F31441" w:rsidRPr="004058A4" w:rsidRDefault="00F31441" w:rsidP="00E91A6C">
            <w:pPr>
              <w:rPr>
                <w:rFonts w:ascii="Arial" w:hAnsi="Arial" w:cs="Arial"/>
                <w:color w:val="auto"/>
              </w:rPr>
            </w:pPr>
            <w:r w:rsidRPr="004058A4">
              <w:rPr>
                <w:rFonts w:ascii="Arial" w:hAnsi="Arial" w:cs="Arial"/>
                <w:b w:val="0"/>
                <w:bCs w:val="0"/>
                <w:color w:val="auto"/>
              </w:rPr>
              <w:t>Post-1*</w:t>
            </w:r>
          </w:p>
        </w:tc>
        <w:tc>
          <w:tcPr>
            <w:tcW w:w="1272" w:type="dxa"/>
            <w:vAlign w:val="center"/>
          </w:tcPr>
          <w:p w14:paraId="09D1413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450</w:t>
            </w:r>
          </w:p>
        </w:tc>
        <w:tc>
          <w:tcPr>
            <w:tcW w:w="1554" w:type="dxa"/>
            <w:vAlign w:val="center"/>
          </w:tcPr>
          <w:p w14:paraId="3BBECF2B"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221E7157"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04EEE12A"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&lt;2</w:t>
            </w:r>
          </w:p>
        </w:tc>
        <w:tc>
          <w:tcPr>
            <w:tcW w:w="1554" w:type="dxa"/>
            <w:vAlign w:val="center"/>
          </w:tcPr>
          <w:p w14:paraId="5B40B17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&lt;10</w:t>
            </w:r>
          </w:p>
        </w:tc>
        <w:tc>
          <w:tcPr>
            <w:tcW w:w="1838" w:type="dxa"/>
            <w:vAlign w:val="center"/>
          </w:tcPr>
          <w:p w14:paraId="5BE51EAF" w14:textId="572A78EB" w:rsidR="00F31441" w:rsidRPr="004058A4" w:rsidRDefault="00C82D93"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yes</w:t>
            </w:r>
          </w:p>
        </w:tc>
        <w:tc>
          <w:tcPr>
            <w:tcW w:w="2261" w:type="dxa"/>
            <w:vAlign w:val="center"/>
          </w:tcPr>
          <w:p w14:paraId="7FD71475" w14:textId="64A2E8D5" w:rsidR="00F31441" w:rsidRPr="004058A4" w:rsidRDefault="00C82D93"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yes</w:t>
            </w:r>
          </w:p>
        </w:tc>
      </w:tr>
      <w:tr w:rsidR="00A32491" w:rsidRPr="004058A4" w14:paraId="61673AF4"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1522F5B5" w14:textId="77777777" w:rsidR="00F31441" w:rsidRPr="004058A4" w:rsidRDefault="00F31441" w:rsidP="00E91A6C">
            <w:pPr>
              <w:rPr>
                <w:rFonts w:ascii="Arial" w:hAnsi="Arial" w:cs="Arial"/>
                <w:color w:val="auto"/>
              </w:rPr>
            </w:pPr>
            <w:r w:rsidRPr="004058A4">
              <w:rPr>
                <w:rFonts w:ascii="Arial" w:hAnsi="Arial" w:cs="Arial"/>
                <w:b w:val="0"/>
                <w:bCs w:val="0"/>
                <w:color w:val="auto"/>
              </w:rPr>
              <w:t>Post-2*</w:t>
            </w:r>
          </w:p>
        </w:tc>
        <w:tc>
          <w:tcPr>
            <w:tcW w:w="1272" w:type="dxa"/>
            <w:vAlign w:val="center"/>
          </w:tcPr>
          <w:p w14:paraId="7938E3D0"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537</w:t>
            </w:r>
          </w:p>
        </w:tc>
        <w:tc>
          <w:tcPr>
            <w:tcW w:w="1554" w:type="dxa"/>
            <w:vAlign w:val="center"/>
          </w:tcPr>
          <w:p w14:paraId="1688923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70</w:t>
            </w:r>
          </w:p>
        </w:tc>
        <w:tc>
          <w:tcPr>
            <w:tcW w:w="1838" w:type="dxa"/>
            <w:vAlign w:val="center"/>
          </w:tcPr>
          <w:p w14:paraId="105DC79C"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5</w:t>
            </w:r>
          </w:p>
        </w:tc>
        <w:tc>
          <w:tcPr>
            <w:tcW w:w="1554" w:type="dxa"/>
            <w:vAlign w:val="center"/>
          </w:tcPr>
          <w:p w14:paraId="78BF62AB"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74</w:t>
            </w:r>
          </w:p>
        </w:tc>
        <w:tc>
          <w:tcPr>
            <w:tcW w:w="1554" w:type="dxa"/>
            <w:vAlign w:val="center"/>
          </w:tcPr>
          <w:p w14:paraId="61392066"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69</w:t>
            </w:r>
          </w:p>
        </w:tc>
        <w:tc>
          <w:tcPr>
            <w:tcW w:w="1838" w:type="dxa"/>
            <w:vAlign w:val="center"/>
          </w:tcPr>
          <w:p w14:paraId="679CC0A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039760BF"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354D0614" w14:textId="77777777" w:rsidTr="00C82D93">
        <w:trPr>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504D8BFD" w14:textId="77777777" w:rsidR="00F31441" w:rsidRPr="004058A4" w:rsidRDefault="00F31441" w:rsidP="00E91A6C">
            <w:pPr>
              <w:rPr>
                <w:rFonts w:ascii="Arial" w:hAnsi="Arial" w:cs="Arial"/>
                <w:color w:val="auto"/>
              </w:rPr>
            </w:pPr>
            <w:r w:rsidRPr="004058A4">
              <w:rPr>
                <w:rFonts w:ascii="Arial" w:hAnsi="Arial" w:cs="Arial"/>
                <w:b w:val="0"/>
                <w:bCs w:val="0"/>
                <w:color w:val="auto"/>
              </w:rPr>
              <w:t>Post-3*</w:t>
            </w:r>
          </w:p>
        </w:tc>
        <w:tc>
          <w:tcPr>
            <w:tcW w:w="1272" w:type="dxa"/>
            <w:vAlign w:val="center"/>
          </w:tcPr>
          <w:p w14:paraId="4A00519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759</w:t>
            </w:r>
          </w:p>
        </w:tc>
        <w:tc>
          <w:tcPr>
            <w:tcW w:w="1554" w:type="dxa"/>
            <w:vAlign w:val="center"/>
          </w:tcPr>
          <w:p w14:paraId="0946B7D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47</w:t>
            </w:r>
          </w:p>
        </w:tc>
        <w:tc>
          <w:tcPr>
            <w:tcW w:w="1838" w:type="dxa"/>
            <w:vAlign w:val="center"/>
          </w:tcPr>
          <w:p w14:paraId="79069BF9"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w:t>
            </w:r>
          </w:p>
        </w:tc>
        <w:tc>
          <w:tcPr>
            <w:tcW w:w="1554" w:type="dxa"/>
            <w:vAlign w:val="center"/>
          </w:tcPr>
          <w:p w14:paraId="0D9A9180"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7</w:t>
            </w:r>
          </w:p>
        </w:tc>
        <w:tc>
          <w:tcPr>
            <w:tcW w:w="1554" w:type="dxa"/>
            <w:vAlign w:val="center"/>
          </w:tcPr>
          <w:p w14:paraId="7DCCA0A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126</w:t>
            </w:r>
          </w:p>
        </w:tc>
        <w:tc>
          <w:tcPr>
            <w:tcW w:w="1838" w:type="dxa"/>
            <w:vAlign w:val="center"/>
          </w:tcPr>
          <w:p w14:paraId="2E3C3FF9"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586EFF8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606D2CC8"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66EEFDA9" w14:textId="77777777" w:rsidR="00F31441" w:rsidRPr="004058A4" w:rsidRDefault="00F31441" w:rsidP="00E91A6C">
            <w:pPr>
              <w:rPr>
                <w:rFonts w:ascii="Arial" w:hAnsi="Arial" w:cs="Arial"/>
                <w:color w:val="auto"/>
              </w:rPr>
            </w:pPr>
            <w:r w:rsidRPr="004058A4">
              <w:rPr>
                <w:rFonts w:ascii="Arial" w:hAnsi="Arial" w:cs="Arial"/>
                <w:b w:val="0"/>
                <w:bCs w:val="0"/>
                <w:color w:val="auto"/>
              </w:rPr>
              <w:t>Post-4</w:t>
            </w:r>
          </w:p>
        </w:tc>
        <w:tc>
          <w:tcPr>
            <w:tcW w:w="1272" w:type="dxa"/>
            <w:vAlign w:val="center"/>
          </w:tcPr>
          <w:p w14:paraId="798638C6"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147</w:t>
            </w:r>
          </w:p>
        </w:tc>
        <w:tc>
          <w:tcPr>
            <w:tcW w:w="1554" w:type="dxa"/>
            <w:vAlign w:val="center"/>
          </w:tcPr>
          <w:p w14:paraId="2D3CF1DA"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1616FDA8"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0B0DD81F"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2</w:t>
            </w:r>
          </w:p>
        </w:tc>
        <w:tc>
          <w:tcPr>
            <w:tcW w:w="1554" w:type="dxa"/>
            <w:vAlign w:val="center"/>
          </w:tcPr>
          <w:p w14:paraId="2D28D8AE"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130D66A0" w14:textId="4D2CBC3E" w:rsidR="00F31441" w:rsidRPr="004058A4" w:rsidRDefault="00C82D93"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yes</w:t>
            </w:r>
          </w:p>
        </w:tc>
        <w:tc>
          <w:tcPr>
            <w:tcW w:w="2261" w:type="dxa"/>
            <w:vAlign w:val="center"/>
          </w:tcPr>
          <w:p w14:paraId="0426D2AF" w14:textId="02F495EE" w:rsidR="00F31441" w:rsidRPr="004058A4" w:rsidRDefault="00C82D93"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yes</w:t>
            </w:r>
          </w:p>
        </w:tc>
      </w:tr>
      <w:tr w:rsidR="00A32491" w:rsidRPr="004058A4" w14:paraId="4036C3CD" w14:textId="77777777" w:rsidTr="00C82D93">
        <w:trPr>
          <w:trHeight w:val="10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575BF11C" w14:textId="77777777" w:rsidR="00F31441" w:rsidRPr="004058A4" w:rsidRDefault="00F31441" w:rsidP="00E91A6C">
            <w:pPr>
              <w:rPr>
                <w:rFonts w:ascii="Arial" w:hAnsi="Arial" w:cs="Arial"/>
                <w:color w:val="auto"/>
              </w:rPr>
            </w:pPr>
            <w:r w:rsidRPr="004058A4">
              <w:rPr>
                <w:rFonts w:ascii="Arial" w:hAnsi="Arial" w:cs="Arial"/>
                <w:b w:val="0"/>
                <w:bCs w:val="0"/>
                <w:color w:val="auto"/>
              </w:rPr>
              <w:t>Post-5</w:t>
            </w:r>
          </w:p>
        </w:tc>
        <w:tc>
          <w:tcPr>
            <w:tcW w:w="1272" w:type="dxa"/>
            <w:vAlign w:val="center"/>
          </w:tcPr>
          <w:p w14:paraId="7D3DB40E"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104</w:t>
            </w:r>
          </w:p>
        </w:tc>
        <w:tc>
          <w:tcPr>
            <w:tcW w:w="1554" w:type="dxa"/>
            <w:vAlign w:val="center"/>
          </w:tcPr>
          <w:p w14:paraId="43318B13"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5EB139D5"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500489BA"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3</w:t>
            </w:r>
          </w:p>
        </w:tc>
        <w:tc>
          <w:tcPr>
            <w:tcW w:w="1554" w:type="dxa"/>
            <w:vAlign w:val="center"/>
          </w:tcPr>
          <w:p w14:paraId="59248D3E"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6A4B7A35" w14:textId="1CDFA32D" w:rsidR="00F31441" w:rsidRPr="004058A4" w:rsidRDefault="00C82D93"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yes</w:t>
            </w:r>
          </w:p>
        </w:tc>
        <w:tc>
          <w:tcPr>
            <w:tcW w:w="2261" w:type="dxa"/>
            <w:vAlign w:val="center"/>
          </w:tcPr>
          <w:p w14:paraId="6C9C38AA" w14:textId="39750509" w:rsidR="00F31441" w:rsidRPr="004058A4" w:rsidRDefault="00C82D93"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yes</w:t>
            </w:r>
          </w:p>
        </w:tc>
      </w:tr>
      <w:tr w:rsidR="00A32491" w:rsidRPr="004058A4" w14:paraId="1112BF8A"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100254A2" w14:textId="77777777" w:rsidR="00F31441" w:rsidRPr="004058A4" w:rsidRDefault="00F31441" w:rsidP="00E91A6C">
            <w:pPr>
              <w:rPr>
                <w:rFonts w:ascii="Arial" w:hAnsi="Arial" w:cs="Arial"/>
                <w:color w:val="auto"/>
              </w:rPr>
            </w:pPr>
            <w:r w:rsidRPr="004058A4">
              <w:rPr>
                <w:rFonts w:ascii="Arial" w:hAnsi="Arial" w:cs="Arial"/>
                <w:b w:val="0"/>
                <w:bCs w:val="0"/>
                <w:color w:val="auto"/>
              </w:rPr>
              <w:t>Post-6*</w:t>
            </w:r>
          </w:p>
        </w:tc>
        <w:tc>
          <w:tcPr>
            <w:tcW w:w="1272" w:type="dxa"/>
            <w:vAlign w:val="center"/>
          </w:tcPr>
          <w:p w14:paraId="4475976E"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262</w:t>
            </w:r>
          </w:p>
        </w:tc>
        <w:tc>
          <w:tcPr>
            <w:tcW w:w="1554" w:type="dxa"/>
            <w:vAlign w:val="center"/>
          </w:tcPr>
          <w:p w14:paraId="6E3F22DC"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07295234"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5743472B"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w:t>
            </w:r>
          </w:p>
        </w:tc>
        <w:tc>
          <w:tcPr>
            <w:tcW w:w="1554" w:type="dxa"/>
            <w:vAlign w:val="center"/>
          </w:tcPr>
          <w:p w14:paraId="4B0E11E4"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21</w:t>
            </w:r>
          </w:p>
        </w:tc>
        <w:tc>
          <w:tcPr>
            <w:tcW w:w="1838" w:type="dxa"/>
            <w:vAlign w:val="center"/>
          </w:tcPr>
          <w:p w14:paraId="75D1266D"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73BC1230"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53BBC246" w14:textId="77777777" w:rsidTr="00C82D93">
        <w:trPr>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174ACD9A" w14:textId="77777777" w:rsidR="00F31441" w:rsidRPr="004058A4" w:rsidRDefault="00F31441" w:rsidP="00E91A6C">
            <w:pPr>
              <w:rPr>
                <w:rFonts w:ascii="Arial" w:hAnsi="Arial" w:cs="Arial"/>
                <w:color w:val="auto"/>
              </w:rPr>
            </w:pPr>
            <w:r w:rsidRPr="004058A4">
              <w:rPr>
                <w:rFonts w:ascii="Arial" w:hAnsi="Arial" w:cs="Arial"/>
                <w:b w:val="0"/>
                <w:bCs w:val="0"/>
                <w:color w:val="auto"/>
              </w:rPr>
              <w:t>Post-7</w:t>
            </w:r>
          </w:p>
        </w:tc>
        <w:tc>
          <w:tcPr>
            <w:tcW w:w="1272" w:type="dxa"/>
            <w:vAlign w:val="center"/>
          </w:tcPr>
          <w:p w14:paraId="2BBE56D4"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223</w:t>
            </w:r>
          </w:p>
        </w:tc>
        <w:tc>
          <w:tcPr>
            <w:tcW w:w="1554" w:type="dxa"/>
            <w:vAlign w:val="center"/>
          </w:tcPr>
          <w:p w14:paraId="4015BA3D"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1C968AFB"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565E8A5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3</w:t>
            </w:r>
          </w:p>
        </w:tc>
        <w:tc>
          <w:tcPr>
            <w:tcW w:w="1554" w:type="dxa"/>
            <w:vAlign w:val="center"/>
          </w:tcPr>
          <w:p w14:paraId="03EDE634"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58A50E03"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4F1780F9"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46E133EB" w14:textId="77777777" w:rsidTr="00C82D9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6518CDE5" w14:textId="77777777" w:rsidR="00F31441" w:rsidRPr="004058A4" w:rsidRDefault="00F31441" w:rsidP="00E91A6C">
            <w:pPr>
              <w:rPr>
                <w:rFonts w:ascii="Arial" w:hAnsi="Arial" w:cs="Arial"/>
                <w:color w:val="auto"/>
              </w:rPr>
            </w:pPr>
            <w:r w:rsidRPr="004058A4">
              <w:rPr>
                <w:rFonts w:ascii="Arial" w:hAnsi="Arial" w:cs="Arial"/>
                <w:b w:val="0"/>
                <w:bCs w:val="0"/>
                <w:color w:val="auto"/>
              </w:rPr>
              <w:t>Post-8</w:t>
            </w:r>
          </w:p>
        </w:tc>
        <w:tc>
          <w:tcPr>
            <w:tcW w:w="1272" w:type="dxa"/>
            <w:vAlign w:val="center"/>
          </w:tcPr>
          <w:p w14:paraId="039FBB90"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401</w:t>
            </w:r>
          </w:p>
        </w:tc>
        <w:tc>
          <w:tcPr>
            <w:tcW w:w="1554" w:type="dxa"/>
            <w:vAlign w:val="center"/>
          </w:tcPr>
          <w:p w14:paraId="21EB2FF9"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569C20D2"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3EA40F6D"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34</w:t>
            </w:r>
          </w:p>
        </w:tc>
        <w:tc>
          <w:tcPr>
            <w:tcW w:w="1554" w:type="dxa"/>
            <w:vAlign w:val="center"/>
          </w:tcPr>
          <w:p w14:paraId="36F09B18"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477AC108"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4B4C3D87"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49DC80CC" w14:textId="77777777" w:rsidTr="00C82D93">
        <w:trPr>
          <w:trHeight w:val="10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489189F9" w14:textId="77777777" w:rsidR="00F31441" w:rsidRPr="004058A4" w:rsidRDefault="00F31441" w:rsidP="00E91A6C">
            <w:pPr>
              <w:rPr>
                <w:rFonts w:ascii="Arial" w:hAnsi="Arial" w:cs="Arial"/>
                <w:color w:val="auto"/>
              </w:rPr>
            </w:pPr>
            <w:r w:rsidRPr="004058A4">
              <w:rPr>
                <w:rFonts w:ascii="Arial" w:hAnsi="Arial" w:cs="Arial"/>
                <w:b w:val="0"/>
                <w:bCs w:val="0"/>
                <w:color w:val="auto"/>
              </w:rPr>
              <w:t>Post-9</w:t>
            </w:r>
          </w:p>
        </w:tc>
        <w:tc>
          <w:tcPr>
            <w:tcW w:w="1272" w:type="dxa"/>
            <w:vAlign w:val="center"/>
          </w:tcPr>
          <w:p w14:paraId="1266F9DD"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531</w:t>
            </w:r>
          </w:p>
        </w:tc>
        <w:tc>
          <w:tcPr>
            <w:tcW w:w="1554" w:type="dxa"/>
            <w:vAlign w:val="center"/>
          </w:tcPr>
          <w:p w14:paraId="138C560D"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09CDDE2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39CF74AD"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37</w:t>
            </w:r>
          </w:p>
        </w:tc>
        <w:tc>
          <w:tcPr>
            <w:tcW w:w="1554" w:type="dxa"/>
            <w:vAlign w:val="center"/>
          </w:tcPr>
          <w:p w14:paraId="66BBDEC5"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19</w:t>
            </w:r>
          </w:p>
        </w:tc>
        <w:tc>
          <w:tcPr>
            <w:tcW w:w="1838" w:type="dxa"/>
            <w:vAlign w:val="center"/>
          </w:tcPr>
          <w:p w14:paraId="505E282C"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4737FC7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3B0EF656" w14:textId="77777777" w:rsidTr="00C82D93">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2B45F4B7" w14:textId="77777777" w:rsidR="00F31441" w:rsidRPr="004058A4" w:rsidRDefault="00F31441" w:rsidP="00E91A6C">
            <w:pPr>
              <w:rPr>
                <w:rFonts w:ascii="Arial" w:hAnsi="Arial" w:cs="Arial"/>
                <w:color w:val="auto"/>
              </w:rPr>
            </w:pPr>
            <w:r w:rsidRPr="004058A4">
              <w:rPr>
                <w:rFonts w:ascii="Arial" w:hAnsi="Arial" w:cs="Arial"/>
                <w:b w:val="0"/>
                <w:bCs w:val="0"/>
                <w:color w:val="auto"/>
              </w:rPr>
              <w:t>Post-10</w:t>
            </w:r>
          </w:p>
        </w:tc>
        <w:tc>
          <w:tcPr>
            <w:tcW w:w="1272" w:type="dxa"/>
            <w:vAlign w:val="center"/>
          </w:tcPr>
          <w:p w14:paraId="35C9EBD2"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247</w:t>
            </w:r>
          </w:p>
        </w:tc>
        <w:tc>
          <w:tcPr>
            <w:tcW w:w="1554" w:type="dxa"/>
            <w:vAlign w:val="center"/>
          </w:tcPr>
          <w:p w14:paraId="1E689AE0"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2E0A5712"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5DBB2341"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33</w:t>
            </w:r>
          </w:p>
        </w:tc>
        <w:tc>
          <w:tcPr>
            <w:tcW w:w="1554" w:type="dxa"/>
            <w:vAlign w:val="center"/>
          </w:tcPr>
          <w:p w14:paraId="6F446D0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2F17550D" w14:textId="3BFE29A3" w:rsidR="00F31441" w:rsidRPr="004058A4" w:rsidRDefault="00C82D93"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yes</w:t>
            </w:r>
          </w:p>
        </w:tc>
        <w:tc>
          <w:tcPr>
            <w:tcW w:w="2261" w:type="dxa"/>
            <w:vAlign w:val="center"/>
          </w:tcPr>
          <w:p w14:paraId="2D268D7E"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19290B03" w14:textId="77777777" w:rsidTr="00C82D93">
        <w:trPr>
          <w:trHeight w:val="114"/>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480D19BB" w14:textId="77777777" w:rsidR="00F31441" w:rsidRPr="004058A4" w:rsidRDefault="00F31441" w:rsidP="00E91A6C">
            <w:pPr>
              <w:rPr>
                <w:rFonts w:ascii="Arial" w:hAnsi="Arial" w:cs="Arial"/>
                <w:color w:val="auto"/>
              </w:rPr>
            </w:pPr>
            <w:r w:rsidRPr="004058A4">
              <w:rPr>
                <w:rFonts w:ascii="Arial" w:hAnsi="Arial" w:cs="Arial"/>
                <w:b w:val="0"/>
                <w:bCs w:val="0"/>
                <w:color w:val="auto"/>
              </w:rPr>
              <w:t>Post-11</w:t>
            </w:r>
          </w:p>
        </w:tc>
        <w:tc>
          <w:tcPr>
            <w:tcW w:w="1272" w:type="dxa"/>
            <w:vAlign w:val="center"/>
          </w:tcPr>
          <w:p w14:paraId="39A108A1"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346</w:t>
            </w:r>
          </w:p>
        </w:tc>
        <w:tc>
          <w:tcPr>
            <w:tcW w:w="1554" w:type="dxa"/>
            <w:vAlign w:val="center"/>
          </w:tcPr>
          <w:p w14:paraId="71D4DF54"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6</w:t>
            </w:r>
            <w:r>
              <w:rPr>
                <w:rFonts w:ascii="Arial" w:hAnsi="Arial" w:cs="Arial"/>
                <w:color w:val="auto"/>
              </w:rPr>
              <w:t>4</w:t>
            </w:r>
          </w:p>
        </w:tc>
        <w:tc>
          <w:tcPr>
            <w:tcW w:w="1838" w:type="dxa"/>
            <w:vAlign w:val="center"/>
          </w:tcPr>
          <w:p w14:paraId="0E88875D"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w:t>
            </w:r>
          </w:p>
        </w:tc>
        <w:tc>
          <w:tcPr>
            <w:tcW w:w="1554" w:type="dxa"/>
            <w:vAlign w:val="center"/>
          </w:tcPr>
          <w:p w14:paraId="26BDB95A"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w:t>
            </w:r>
          </w:p>
        </w:tc>
        <w:tc>
          <w:tcPr>
            <w:tcW w:w="1554" w:type="dxa"/>
            <w:vAlign w:val="center"/>
          </w:tcPr>
          <w:p w14:paraId="577C7EDF"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34</w:t>
            </w:r>
          </w:p>
        </w:tc>
        <w:tc>
          <w:tcPr>
            <w:tcW w:w="1838" w:type="dxa"/>
            <w:vAlign w:val="center"/>
          </w:tcPr>
          <w:p w14:paraId="5E1C0E4C"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755D58EA"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1D69F541" w14:textId="77777777" w:rsidTr="00C82D93">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56982B42" w14:textId="77777777" w:rsidR="00F31441" w:rsidRPr="004058A4" w:rsidRDefault="00F31441" w:rsidP="00E91A6C">
            <w:pPr>
              <w:rPr>
                <w:rFonts w:ascii="Arial" w:hAnsi="Arial" w:cs="Arial"/>
                <w:color w:val="auto"/>
              </w:rPr>
            </w:pPr>
            <w:r w:rsidRPr="004058A4">
              <w:rPr>
                <w:rFonts w:ascii="Arial" w:hAnsi="Arial" w:cs="Arial"/>
                <w:b w:val="0"/>
                <w:bCs w:val="0"/>
                <w:color w:val="auto"/>
              </w:rPr>
              <w:t>Post-12</w:t>
            </w:r>
          </w:p>
        </w:tc>
        <w:tc>
          <w:tcPr>
            <w:tcW w:w="1272" w:type="dxa"/>
            <w:vAlign w:val="center"/>
          </w:tcPr>
          <w:p w14:paraId="26C0738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181</w:t>
            </w:r>
          </w:p>
        </w:tc>
        <w:tc>
          <w:tcPr>
            <w:tcW w:w="1554" w:type="dxa"/>
            <w:vAlign w:val="center"/>
          </w:tcPr>
          <w:p w14:paraId="401C886A"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79</w:t>
            </w:r>
          </w:p>
        </w:tc>
        <w:tc>
          <w:tcPr>
            <w:tcW w:w="1838" w:type="dxa"/>
            <w:vAlign w:val="center"/>
          </w:tcPr>
          <w:p w14:paraId="21AA0ED8"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1</w:t>
            </w:r>
          </w:p>
        </w:tc>
        <w:tc>
          <w:tcPr>
            <w:tcW w:w="1554" w:type="dxa"/>
            <w:vAlign w:val="center"/>
          </w:tcPr>
          <w:p w14:paraId="14084120"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53</w:t>
            </w:r>
          </w:p>
        </w:tc>
        <w:tc>
          <w:tcPr>
            <w:tcW w:w="1554" w:type="dxa"/>
            <w:vAlign w:val="center"/>
          </w:tcPr>
          <w:p w14:paraId="1BB71523"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18</w:t>
            </w:r>
          </w:p>
        </w:tc>
        <w:tc>
          <w:tcPr>
            <w:tcW w:w="1838" w:type="dxa"/>
            <w:vAlign w:val="center"/>
          </w:tcPr>
          <w:p w14:paraId="59B28F2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322A5775"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43A24F10" w14:textId="77777777" w:rsidTr="00C82D93">
        <w:trPr>
          <w:trHeight w:val="107"/>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04F2789D" w14:textId="77777777" w:rsidR="00F31441" w:rsidRPr="004058A4" w:rsidRDefault="00F31441" w:rsidP="00E91A6C">
            <w:pPr>
              <w:rPr>
                <w:rFonts w:ascii="Arial" w:hAnsi="Arial" w:cs="Arial"/>
                <w:color w:val="auto"/>
              </w:rPr>
            </w:pPr>
            <w:r w:rsidRPr="004058A4">
              <w:rPr>
                <w:rFonts w:ascii="Arial" w:hAnsi="Arial" w:cs="Arial"/>
                <w:b w:val="0"/>
                <w:bCs w:val="0"/>
                <w:color w:val="auto"/>
              </w:rPr>
              <w:t>Post-13*</w:t>
            </w:r>
          </w:p>
        </w:tc>
        <w:tc>
          <w:tcPr>
            <w:tcW w:w="1272" w:type="dxa"/>
            <w:vAlign w:val="center"/>
          </w:tcPr>
          <w:p w14:paraId="6509C2C6"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138</w:t>
            </w:r>
          </w:p>
        </w:tc>
        <w:tc>
          <w:tcPr>
            <w:tcW w:w="1554" w:type="dxa"/>
            <w:vAlign w:val="center"/>
          </w:tcPr>
          <w:p w14:paraId="4282186C"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38" w:type="dxa"/>
            <w:vAlign w:val="center"/>
          </w:tcPr>
          <w:p w14:paraId="13EFAFB1"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554" w:type="dxa"/>
            <w:vAlign w:val="center"/>
          </w:tcPr>
          <w:p w14:paraId="6D33E593"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14</w:t>
            </w:r>
          </w:p>
        </w:tc>
        <w:tc>
          <w:tcPr>
            <w:tcW w:w="1554" w:type="dxa"/>
            <w:vAlign w:val="center"/>
          </w:tcPr>
          <w:p w14:paraId="7AFB3528"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12332A02"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4FDF468C"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32491" w:rsidRPr="004058A4" w14:paraId="678EF885" w14:textId="77777777" w:rsidTr="00C82D93">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44BFE95C" w14:textId="77777777" w:rsidR="00F31441" w:rsidRPr="004058A4" w:rsidRDefault="00F31441" w:rsidP="00E91A6C">
            <w:pPr>
              <w:rPr>
                <w:rFonts w:ascii="Arial" w:hAnsi="Arial" w:cs="Arial"/>
                <w:color w:val="auto"/>
              </w:rPr>
            </w:pPr>
            <w:r w:rsidRPr="004058A4">
              <w:rPr>
                <w:rFonts w:ascii="Arial" w:hAnsi="Arial" w:cs="Arial"/>
                <w:b w:val="0"/>
                <w:bCs w:val="0"/>
                <w:color w:val="auto"/>
              </w:rPr>
              <w:t>Post-14</w:t>
            </w:r>
          </w:p>
        </w:tc>
        <w:tc>
          <w:tcPr>
            <w:tcW w:w="1272" w:type="dxa"/>
            <w:vAlign w:val="center"/>
          </w:tcPr>
          <w:p w14:paraId="11685261"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167</w:t>
            </w:r>
          </w:p>
        </w:tc>
        <w:tc>
          <w:tcPr>
            <w:tcW w:w="1554" w:type="dxa"/>
            <w:vAlign w:val="center"/>
          </w:tcPr>
          <w:p w14:paraId="6A2D128D"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38" w:type="dxa"/>
            <w:vAlign w:val="center"/>
          </w:tcPr>
          <w:p w14:paraId="5E2D97B8"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54" w:type="dxa"/>
            <w:vAlign w:val="center"/>
          </w:tcPr>
          <w:p w14:paraId="16224849"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37</w:t>
            </w:r>
          </w:p>
        </w:tc>
        <w:tc>
          <w:tcPr>
            <w:tcW w:w="1554" w:type="dxa"/>
            <w:vAlign w:val="center"/>
          </w:tcPr>
          <w:p w14:paraId="3C3BD536"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058A4">
              <w:rPr>
                <w:rFonts w:ascii="Arial" w:hAnsi="Arial" w:cs="Arial"/>
                <w:color w:val="auto"/>
              </w:rPr>
              <w:t>10</w:t>
            </w:r>
          </w:p>
        </w:tc>
        <w:tc>
          <w:tcPr>
            <w:tcW w:w="1838" w:type="dxa"/>
            <w:vAlign w:val="center"/>
          </w:tcPr>
          <w:p w14:paraId="5E6F5766"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261" w:type="dxa"/>
            <w:vAlign w:val="center"/>
          </w:tcPr>
          <w:p w14:paraId="7078DBA3" w14:textId="77777777" w:rsidR="00F31441" w:rsidRPr="004058A4" w:rsidRDefault="00F31441" w:rsidP="00E91A6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32491" w:rsidRPr="004058A4" w14:paraId="6688FA4E" w14:textId="77777777" w:rsidTr="00C82D93">
        <w:trPr>
          <w:trHeight w:val="4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72E0ED57" w14:textId="77777777" w:rsidR="00F31441" w:rsidRPr="004058A4" w:rsidRDefault="00F31441" w:rsidP="00E91A6C">
            <w:pPr>
              <w:rPr>
                <w:rFonts w:ascii="Arial" w:hAnsi="Arial" w:cs="Arial"/>
                <w:color w:val="auto"/>
              </w:rPr>
            </w:pPr>
            <w:r w:rsidRPr="004058A4">
              <w:rPr>
                <w:rFonts w:ascii="Arial" w:hAnsi="Arial" w:cs="Arial"/>
                <w:b w:val="0"/>
                <w:bCs w:val="0"/>
                <w:color w:val="auto"/>
              </w:rPr>
              <w:t>Post-15*</w:t>
            </w:r>
          </w:p>
        </w:tc>
        <w:tc>
          <w:tcPr>
            <w:tcW w:w="1272" w:type="dxa"/>
            <w:vAlign w:val="center"/>
          </w:tcPr>
          <w:p w14:paraId="39FE1971"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189</w:t>
            </w:r>
          </w:p>
        </w:tc>
        <w:tc>
          <w:tcPr>
            <w:tcW w:w="1554" w:type="dxa"/>
            <w:vAlign w:val="center"/>
          </w:tcPr>
          <w:p w14:paraId="6422E12F"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63</w:t>
            </w:r>
          </w:p>
        </w:tc>
        <w:tc>
          <w:tcPr>
            <w:tcW w:w="1838" w:type="dxa"/>
            <w:vAlign w:val="center"/>
          </w:tcPr>
          <w:p w14:paraId="2925BFD0"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w:t>
            </w:r>
          </w:p>
        </w:tc>
        <w:tc>
          <w:tcPr>
            <w:tcW w:w="1554" w:type="dxa"/>
            <w:vAlign w:val="center"/>
          </w:tcPr>
          <w:p w14:paraId="283C4C15"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59</w:t>
            </w:r>
          </w:p>
        </w:tc>
        <w:tc>
          <w:tcPr>
            <w:tcW w:w="1554" w:type="dxa"/>
            <w:vAlign w:val="center"/>
          </w:tcPr>
          <w:p w14:paraId="2C3F79FA"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058A4">
              <w:rPr>
                <w:rFonts w:ascii="Arial" w:hAnsi="Arial" w:cs="Arial"/>
                <w:color w:val="auto"/>
              </w:rPr>
              <w:t>223</w:t>
            </w:r>
          </w:p>
        </w:tc>
        <w:tc>
          <w:tcPr>
            <w:tcW w:w="1838" w:type="dxa"/>
            <w:vAlign w:val="center"/>
          </w:tcPr>
          <w:p w14:paraId="1A373614"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261" w:type="dxa"/>
            <w:vAlign w:val="center"/>
          </w:tcPr>
          <w:p w14:paraId="532250F7" w14:textId="77777777" w:rsidR="00F31441" w:rsidRPr="004058A4" w:rsidRDefault="00F31441" w:rsidP="00E91A6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F31441" w:rsidRPr="004058A4" w14:paraId="70DA75C2" w14:textId="77777777" w:rsidTr="00C82D93">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13143" w:type="dxa"/>
            <w:gridSpan w:val="8"/>
            <w:vAlign w:val="center"/>
          </w:tcPr>
          <w:p w14:paraId="2FF775BA" w14:textId="77777777" w:rsidR="00F31441" w:rsidRDefault="00F31441" w:rsidP="00E91A6C">
            <w:pPr>
              <w:rPr>
                <w:rFonts w:ascii="Arial" w:hAnsi="Arial" w:cs="Arial"/>
                <w:b w:val="0"/>
                <w:bCs w:val="0"/>
                <w:color w:val="auto"/>
                <w:vertAlign w:val="superscript"/>
              </w:rPr>
            </w:pPr>
            <w:r>
              <w:rPr>
                <w:rFonts w:ascii="Arial" w:hAnsi="Arial" w:cs="Arial"/>
                <w:b w:val="0"/>
                <w:bCs w:val="0"/>
                <w:color w:val="auto"/>
              </w:rPr>
              <w:t>IGRT</w:t>
            </w:r>
            <w:r w:rsidRPr="004058A4">
              <w:rPr>
                <w:rFonts w:ascii="Arial" w:hAnsi="Arial" w:cs="Arial"/>
                <w:b w:val="0"/>
                <w:bCs w:val="0"/>
                <w:color w:val="auto"/>
              </w:rPr>
              <w:t xml:space="preserve"> indicated </w:t>
            </w:r>
            <w:r>
              <w:rPr>
                <w:rFonts w:ascii="Arial" w:hAnsi="Arial" w:cs="Arial"/>
                <w:b w:val="0"/>
                <w:bCs w:val="0"/>
                <w:color w:val="auto"/>
              </w:rPr>
              <w:t>IgG replacement therapy.</w:t>
            </w:r>
          </w:p>
          <w:p w14:paraId="436C2FEB" w14:textId="77777777" w:rsidR="00F31441" w:rsidRPr="004058A4" w:rsidRDefault="00F31441" w:rsidP="00E91A6C">
            <w:pPr>
              <w:rPr>
                <w:rFonts w:ascii="Arial" w:hAnsi="Arial" w:cs="Arial"/>
                <w:b w:val="0"/>
                <w:bCs w:val="0"/>
                <w:color w:val="auto"/>
                <w:vertAlign w:val="superscript"/>
              </w:rPr>
            </w:pPr>
            <w:r w:rsidRPr="004058A4">
              <w:rPr>
                <w:rFonts w:ascii="Arial" w:hAnsi="Arial" w:cs="Arial"/>
                <w:b w:val="0"/>
                <w:bCs w:val="0"/>
                <w:color w:val="auto"/>
                <w:vertAlign w:val="superscript"/>
              </w:rPr>
              <w:lastRenderedPageBreak/>
              <w:t xml:space="preserve">1 </w:t>
            </w:r>
            <w:r w:rsidRPr="004058A4">
              <w:rPr>
                <w:rFonts w:ascii="Arial" w:hAnsi="Arial" w:cs="Arial"/>
                <w:b w:val="0"/>
                <w:bCs w:val="0"/>
                <w:color w:val="auto"/>
              </w:rPr>
              <w:t>Individuals with an antibody response to at least one vaccine strain are indicated with a *.</w:t>
            </w:r>
          </w:p>
          <w:p w14:paraId="287731EC" w14:textId="77777777" w:rsidR="00F31441" w:rsidRPr="004058A4" w:rsidRDefault="00F31441" w:rsidP="00E91A6C">
            <w:pPr>
              <w:rPr>
                <w:rFonts w:ascii="Arial" w:hAnsi="Arial" w:cs="Arial"/>
                <w:b w:val="0"/>
                <w:bCs w:val="0"/>
                <w:color w:val="auto"/>
                <w:vertAlign w:val="superscript"/>
              </w:rPr>
            </w:pPr>
            <w:r w:rsidRPr="004058A4">
              <w:rPr>
                <w:rFonts w:ascii="Arial" w:hAnsi="Arial" w:cs="Arial"/>
                <w:b w:val="0"/>
                <w:bCs w:val="0"/>
                <w:color w:val="auto"/>
                <w:vertAlign w:val="superscript"/>
              </w:rPr>
              <w:t xml:space="preserve">2 </w:t>
            </w:r>
            <w:r w:rsidRPr="004058A4">
              <w:rPr>
                <w:rFonts w:ascii="Arial" w:hAnsi="Arial" w:cs="Arial"/>
                <w:b w:val="0"/>
                <w:bCs w:val="0"/>
                <w:color w:val="auto"/>
              </w:rPr>
              <w:t xml:space="preserve">No values are missing. Percentage of B-cell subpopulations are only displayed among individuals with </w:t>
            </w:r>
            <w:r w:rsidRPr="004058A4">
              <w:rPr>
                <w:rFonts w:ascii="Calibri" w:hAnsi="Calibri" w:cs="Calibri"/>
                <w:b w:val="0"/>
                <w:bCs w:val="0"/>
                <w:color w:val="auto"/>
              </w:rPr>
              <w:t>≥</w:t>
            </w:r>
            <w:r w:rsidRPr="004058A4">
              <w:rPr>
                <w:rFonts w:ascii="Arial" w:hAnsi="Arial" w:cs="Arial"/>
                <w:b w:val="0"/>
                <w:bCs w:val="0"/>
                <w:color w:val="auto"/>
              </w:rPr>
              <w:t>20 CD19</w:t>
            </w:r>
            <w:r w:rsidRPr="004058A4">
              <w:rPr>
                <w:rFonts w:ascii="Arial" w:hAnsi="Arial" w:cs="Arial"/>
                <w:b w:val="0"/>
                <w:bCs w:val="0"/>
                <w:color w:val="auto"/>
                <w:vertAlign w:val="superscript"/>
              </w:rPr>
              <w:t>+</w:t>
            </w:r>
            <w:r w:rsidRPr="004058A4">
              <w:rPr>
                <w:rFonts w:ascii="Arial" w:hAnsi="Arial" w:cs="Arial"/>
                <w:b w:val="0"/>
                <w:bCs w:val="0"/>
                <w:color w:val="auto"/>
              </w:rPr>
              <w:t xml:space="preserve"> B-cells/µL.</w:t>
            </w:r>
          </w:p>
          <w:p w14:paraId="7FC3059E" w14:textId="77777777" w:rsidR="00F31441" w:rsidRDefault="00F31441" w:rsidP="00E91A6C">
            <w:pPr>
              <w:rPr>
                <w:rFonts w:ascii="Arial" w:hAnsi="Arial" w:cs="Arial"/>
                <w:b w:val="0"/>
                <w:bCs w:val="0"/>
                <w:color w:val="auto"/>
              </w:rPr>
            </w:pPr>
            <w:r w:rsidRPr="004058A4">
              <w:rPr>
                <w:rFonts w:ascii="Arial" w:hAnsi="Arial" w:cs="Arial"/>
                <w:b w:val="0"/>
                <w:bCs w:val="0"/>
                <w:color w:val="auto"/>
                <w:vertAlign w:val="superscript"/>
              </w:rPr>
              <w:t xml:space="preserve">3 </w:t>
            </w:r>
            <w:r w:rsidRPr="004058A4">
              <w:rPr>
                <w:rFonts w:ascii="Arial" w:hAnsi="Arial" w:cs="Arial"/>
                <w:b w:val="0"/>
                <w:bCs w:val="0"/>
                <w:color w:val="auto"/>
              </w:rPr>
              <w:t xml:space="preserve">Lower limits of normal; </w:t>
            </w:r>
            <w:r>
              <w:rPr>
                <w:rFonts w:ascii="Arial" w:hAnsi="Arial" w:cs="Arial"/>
                <w:b w:val="0"/>
                <w:bCs w:val="0"/>
                <w:color w:val="auto"/>
              </w:rPr>
              <w:t>IgA, 84 mg/dL; IgM, 40 mg/dL.</w:t>
            </w:r>
          </w:p>
          <w:p w14:paraId="77BB8B43" w14:textId="77777777" w:rsidR="00F31441" w:rsidRPr="00286DB0" w:rsidRDefault="00F31441" w:rsidP="00E91A6C">
            <w:pPr>
              <w:rPr>
                <w:rFonts w:ascii="Arial" w:hAnsi="Arial" w:cs="Arial"/>
                <w:b w:val="0"/>
                <w:bCs w:val="0"/>
                <w:color w:val="auto"/>
              </w:rPr>
            </w:pPr>
            <w:r w:rsidRPr="00422AED">
              <w:rPr>
                <w:rFonts w:ascii="Arial" w:hAnsi="Arial" w:cs="Arial"/>
                <w:b w:val="0"/>
                <w:bCs w:val="0"/>
                <w:color w:val="auto"/>
                <w:vertAlign w:val="superscript"/>
              </w:rPr>
              <w:t>4</w:t>
            </w:r>
            <w:r>
              <w:rPr>
                <w:rFonts w:ascii="Arial" w:hAnsi="Arial" w:cs="Arial"/>
                <w:b w:val="0"/>
                <w:bCs w:val="0"/>
                <w:color w:val="auto"/>
              </w:rPr>
              <w:t xml:space="preserve">IGRT within 4 months </w:t>
            </w:r>
            <w:r w:rsidRPr="00B82DCA">
              <w:rPr>
                <w:rFonts w:ascii="Arial" w:hAnsi="Arial" w:cs="Arial"/>
                <w:b w:val="0"/>
                <w:bCs w:val="0"/>
                <w:color w:val="auto"/>
              </w:rPr>
              <w:t xml:space="preserve">(≥4 half-lives of circulating IgG) before any of the study sample collections </w:t>
            </w:r>
            <w:r>
              <w:rPr>
                <w:rFonts w:ascii="Arial" w:hAnsi="Arial" w:cs="Arial"/>
                <w:b w:val="0"/>
                <w:bCs w:val="0"/>
                <w:color w:val="auto"/>
              </w:rPr>
              <w:t>is displayed. IGRT within 2 months prior to baseline was an exclusion criteria.</w:t>
            </w:r>
          </w:p>
        </w:tc>
      </w:tr>
    </w:tbl>
    <w:p w14:paraId="17DCB8E3" w14:textId="77777777" w:rsidR="00F31441" w:rsidRDefault="00F31441" w:rsidP="00705039">
      <w:pPr>
        <w:pStyle w:val="berschrift2"/>
      </w:pPr>
    </w:p>
    <w:p w14:paraId="09ADA66C" w14:textId="77777777" w:rsidR="00F31441" w:rsidRDefault="00F31441" w:rsidP="00F31441"/>
    <w:p w14:paraId="65D63B6C" w14:textId="77777777" w:rsidR="00F31441" w:rsidRPr="00F31441" w:rsidRDefault="00F31441" w:rsidP="00F31441">
      <w:pPr>
        <w:sectPr w:rsidR="00F31441" w:rsidRPr="00F31441" w:rsidSect="00F31441">
          <w:pgSz w:w="15840" w:h="12240" w:orient="landscape"/>
          <w:pgMar w:top="1440" w:right="1440" w:bottom="1440" w:left="1440" w:header="720" w:footer="720" w:gutter="0"/>
          <w:cols w:space="720"/>
          <w:docGrid w:linePitch="360"/>
        </w:sectPr>
      </w:pPr>
    </w:p>
    <w:p w14:paraId="32906984" w14:textId="2C4FD85E" w:rsidR="00ED1D99" w:rsidRPr="003731CF" w:rsidRDefault="00F04967" w:rsidP="000E78B5">
      <w:pPr>
        <w:pStyle w:val="berschrift1"/>
      </w:pPr>
      <w:bookmarkStart w:id="16" w:name="_Toc71574250"/>
      <w:r w:rsidRPr="00787F0E">
        <w:lastRenderedPageBreak/>
        <w:t>REFERENCES</w:t>
      </w:r>
      <w:bookmarkEnd w:id="16"/>
    </w:p>
    <w:p w14:paraId="66AB8C71" w14:textId="67443AAC" w:rsidR="009F06F6" w:rsidRPr="009F06F6" w:rsidRDefault="00F04967" w:rsidP="009F06F6">
      <w:pPr>
        <w:widowControl w:val="0"/>
        <w:autoSpaceDE w:val="0"/>
        <w:autoSpaceDN w:val="0"/>
        <w:adjustRightInd w:val="0"/>
        <w:spacing w:line="480" w:lineRule="auto"/>
        <w:ind w:left="640" w:hanging="640"/>
        <w:rPr>
          <w:rFonts w:ascii="Arial" w:hAnsi="Arial" w:cs="Arial"/>
          <w:noProof/>
          <w:szCs w:val="24"/>
        </w:rPr>
      </w:pPr>
      <w:r w:rsidRPr="00787F0E">
        <w:rPr>
          <w:rFonts w:ascii="Arial" w:hAnsi="Arial" w:cs="Arial"/>
        </w:rPr>
        <w:fldChar w:fldCharType="begin" w:fldLock="1"/>
      </w:r>
      <w:r w:rsidRPr="00787F0E">
        <w:rPr>
          <w:rFonts w:ascii="Arial" w:hAnsi="Arial" w:cs="Arial"/>
        </w:rPr>
        <w:instrText xml:space="preserve">ADDIN Mendeley Bibliography CSL_BIBLIOGRAPHY </w:instrText>
      </w:r>
      <w:r w:rsidRPr="00787F0E">
        <w:rPr>
          <w:rFonts w:ascii="Arial" w:hAnsi="Arial" w:cs="Arial"/>
        </w:rPr>
        <w:fldChar w:fldCharType="separate"/>
      </w:r>
      <w:r w:rsidR="009F06F6" w:rsidRPr="009F06F6">
        <w:rPr>
          <w:rFonts w:ascii="Arial" w:hAnsi="Arial" w:cs="Arial"/>
          <w:noProof/>
          <w:szCs w:val="24"/>
        </w:rPr>
        <w:t>1.</w:t>
      </w:r>
      <w:r w:rsidR="009F06F6" w:rsidRPr="009F06F6">
        <w:rPr>
          <w:rFonts w:ascii="Arial" w:hAnsi="Arial" w:cs="Arial"/>
          <w:noProof/>
          <w:szCs w:val="24"/>
        </w:rPr>
        <w:tab/>
        <w:t xml:space="preserve">Doud MB, Hensley SE, Bloom JD. Complete mapping of viral escape from neutralizing antibodies. </w:t>
      </w:r>
      <w:r w:rsidR="009F06F6" w:rsidRPr="009F06F6">
        <w:rPr>
          <w:rFonts w:ascii="Arial" w:hAnsi="Arial" w:cs="Arial"/>
          <w:i/>
          <w:iCs/>
          <w:noProof/>
          <w:szCs w:val="24"/>
        </w:rPr>
        <w:t>PLOS Pathog.</w:t>
      </w:r>
      <w:r w:rsidR="009F06F6" w:rsidRPr="009F06F6">
        <w:rPr>
          <w:rFonts w:ascii="Arial" w:hAnsi="Arial" w:cs="Arial"/>
          <w:noProof/>
          <w:szCs w:val="24"/>
        </w:rPr>
        <w:t xml:space="preserve"> 2017;13(3):e1006271. </w:t>
      </w:r>
    </w:p>
    <w:p w14:paraId="5E37CABA" w14:textId="77777777" w:rsidR="009F06F6" w:rsidRPr="00DB7D14" w:rsidRDefault="009F06F6" w:rsidP="009F06F6">
      <w:pPr>
        <w:widowControl w:val="0"/>
        <w:autoSpaceDE w:val="0"/>
        <w:autoSpaceDN w:val="0"/>
        <w:adjustRightInd w:val="0"/>
        <w:spacing w:line="480" w:lineRule="auto"/>
        <w:ind w:left="640" w:hanging="640"/>
        <w:rPr>
          <w:rFonts w:ascii="Arial" w:hAnsi="Arial" w:cs="Arial"/>
          <w:noProof/>
          <w:szCs w:val="24"/>
          <w:lang w:val="fr-CH"/>
        </w:rPr>
      </w:pPr>
      <w:r w:rsidRPr="009F06F6">
        <w:rPr>
          <w:rFonts w:ascii="Arial" w:hAnsi="Arial" w:cs="Arial"/>
          <w:noProof/>
          <w:szCs w:val="24"/>
        </w:rPr>
        <w:t>2.</w:t>
      </w:r>
      <w:r w:rsidRPr="009F06F6">
        <w:rPr>
          <w:rFonts w:ascii="Arial" w:hAnsi="Arial" w:cs="Arial"/>
          <w:noProof/>
          <w:szCs w:val="24"/>
        </w:rPr>
        <w:tab/>
        <w:t xml:space="preserve">Hooper KA, Bloom JD. A mutant influenza virus that uses an N1 neuraminidase as the receptor-binding protein. </w:t>
      </w:r>
      <w:r w:rsidRPr="00DB7D14">
        <w:rPr>
          <w:rFonts w:ascii="Arial" w:hAnsi="Arial" w:cs="Arial"/>
          <w:i/>
          <w:iCs/>
          <w:noProof/>
          <w:szCs w:val="24"/>
          <w:lang w:val="fr-CH"/>
        </w:rPr>
        <w:t>J. Virol.</w:t>
      </w:r>
      <w:r w:rsidRPr="00DB7D14">
        <w:rPr>
          <w:rFonts w:ascii="Arial" w:hAnsi="Arial" w:cs="Arial"/>
          <w:noProof/>
          <w:szCs w:val="24"/>
          <w:lang w:val="fr-CH"/>
        </w:rPr>
        <w:t xml:space="preserve"> 2013;87(23):12531–40. </w:t>
      </w:r>
    </w:p>
    <w:p w14:paraId="1D692F31" w14:textId="77777777" w:rsidR="009F06F6" w:rsidRPr="009F06F6" w:rsidRDefault="009F06F6" w:rsidP="009F06F6">
      <w:pPr>
        <w:widowControl w:val="0"/>
        <w:autoSpaceDE w:val="0"/>
        <w:autoSpaceDN w:val="0"/>
        <w:adjustRightInd w:val="0"/>
        <w:spacing w:line="480" w:lineRule="auto"/>
        <w:ind w:left="640" w:hanging="640"/>
        <w:rPr>
          <w:rFonts w:ascii="Arial" w:hAnsi="Arial" w:cs="Arial"/>
          <w:noProof/>
        </w:rPr>
      </w:pPr>
      <w:r w:rsidRPr="00DB7D14">
        <w:rPr>
          <w:rFonts w:ascii="Arial" w:hAnsi="Arial" w:cs="Arial"/>
          <w:noProof/>
          <w:szCs w:val="24"/>
          <w:lang w:val="fr-CH"/>
        </w:rPr>
        <w:t>3.</w:t>
      </w:r>
      <w:r w:rsidRPr="00DB7D14">
        <w:rPr>
          <w:rFonts w:ascii="Arial" w:hAnsi="Arial" w:cs="Arial"/>
          <w:noProof/>
          <w:szCs w:val="24"/>
          <w:lang w:val="fr-CH"/>
        </w:rPr>
        <w:tab/>
        <w:t xml:space="preserve">Lee JM, Eguia R, Zost SJ, et al. </w:t>
      </w:r>
      <w:r w:rsidRPr="009F06F6">
        <w:rPr>
          <w:rFonts w:ascii="Arial" w:hAnsi="Arial" w:cs="Arial"/>
          <w:noProof/>
          <w:szCs w:val="24"/>
        </w:rPr>
        <w:t xml:space="preserve">Mapping person-to-person variation in viral mutations that escape polyclonal serum targeting influenza hemagglutinin. </w:t>
      </w:r>
      <w:r w:rsidRPr="009F06F6">
        <w:rPr>
          <w:rFonts w:ascii="Arial" w:hAnsi="Arial" w:cs="Arial"/>
          <w:i/>
          <w:iCs/>
          <w:noProof/>
          <w:szCs w:val="24"/>
        </w:rPr>
        <w:t>Elife</w:t>
      </w:r>
      <w:r w:rsidRPr="009F06F6">
        <w:rPr>
          <w:rFonts w:ascii="Arial" w:hAnsi="Arial" w:cs="Arial"/>
          <w:noProof/>
          <w:szCs w:val="24"/>
        </w:rPr>
        <w:t xml:space="preserve">. 2019;8:. </w:t>
      </w:r>
    </w:p>
    <w:p w14:paraId="048C4BCA" w14:textId="77777777" w:rsidR="00F04967" w:rsidRPr="00787F0E" w:rsidRDefault="00F04967" w:rsidP="00705039">
      <w:pPr>
        <w:spacing w:line="480" w:lineRule="auto"/>
        <w:rPr>
          <w:rFonts w:ascii="Arial" w:hAnsi="Arial" w:cs="Arial"/>
        </w:rPr>
      </w:pPr>
      <w:r w:rsidRPr="00787F0E">
        <w:rPr>
          <w:rFonts w:ascii="Arial" w:hAnsi="Arial" w:cs="Arial"/>
        </w:rPr>
        <w:fldChar w:fldCharType="end"/>
      </w:r>
    </w:p>
    <w:sectPr w:rsidR="00F04967" w:rsidRPr="00787F0E" w:rsidSect="000E78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5A3A3" w14:textId="77777777" w:rsidR="00B55D9E" w:rsidRDefault="00B55D9E" w:rsidP="00FC4BBB">
      <w:pPr>
        <w:spacing w:after="0" w:line="240" w:lineRule="auto"/>
      </w:pPr>
      <w:r>
        <w:separator/>
      </w:r>
    </w:p>
  </w:endnote>
  <w:endnote w:type="continuationSeparator" w:id="0">
    <w:p w14:paraId="2755F63A" w14:textId="77777777" w:rsidR="00B55D9E" w:rsidRDefault="00B55D9E" w:rsidP="00FC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909920"/>
      <w:docPartObj>
        <w:docPartGallery w:val="Page Numbers (Bottom of Page)"/>
        <w:docPartUnique/>
      </w:docPartObj>
    </w:sdtPr>
    <w:sdtEndPr/>
    <w:sdtContent>
      <w:p w14:paraId="0F10CC5F" w14:textId="649A7F8D" w:rsidR="00B55D9E" w:rsidRDefault="00B55D9E">
        <w:pPr>
          <w:pStyle w:val="Fuzeile"/>
          <w:jc w:val="center"/>
        </w:pPr>
        <w:r>
          <w:fldChar w:fldCharType="begin"/>
        </w:r>
        <w:r>
          <w:instrText>PAGE   \* MERGEFORMAT</w:instrText>
        </w:r>
        <w:r>
          <w:fldChar w:fldCharType="separate"/>
        </w:r>
        <w:r w:rsidR="00540DCF" w:rsidRPr="00540DCF">
          <w:rPr>
            <w:noProof/>
            <w:lang w:val="de-DE"/>
          </w:rPr>
          <w:t>1</w:t>
        </w:r>
        <w:r>
          <w:fldChar w:fldCharType="end"/>
        </w:r>
      </w:p>
    </w:sdtContent>
  </w:sdt>
  <w:p w14:paraId="0354191B" w14:textId="77777777" w:rsidR="00B55D9E" w:rsidRDefault="00B55D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5215" w14:textId="77777777" w:rsidR="00B55D9E" w:rsidRDefault="00B55D9E" w:rsidP="00FC4BBB">
      <w:pPr>
        <w:spacing w:after="0" w:line="240" w:lineRule="auto"/>
      </w:pPr>
      <w:r>
        <w:separator/>
      </w:r>
    </w:p>
  </w:footnote>
  <w:footnote w:type="continuationSeparator" w:id="0">
    <w:p w14:paraId="238196BE" w14:textId="77777777" w:rsidR="00B55D9E" w:rsidRDefault="00B55D9E" w:rsidP="00FC4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F0852"/>
    <w:multiLevelType w:val="hybridMultilevel"/>
    <w:tmpl w:val="9BAA37AC"/>
    <w:lvl w:ilvl="0" w:tplc="14E4CEF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D9"/>
    <w:rsid w:val="00011A48"/>
    <w:rsid w:val="00014484"/>
    <w:rsid w:val="00017776"/>
    <w:rsid w:val="0002079B"/>
    <w:rsid w:val="00070E18"/>
    <w:rsid w:val="0008416E"/>
    <w:rsid w:val="00087AD5"/>
    <w:rsid w:val="0009067F"/>
    <w:rsid w:val="000A1155"/>
    <w:rsid w:val="000B20A6"/>
    <w:rsid w:val="000B3CA3"/>
    <w:rsid w:val="000B6DE8"/>
    <w:rsid w:val="000C3861"/>
    <w:rsid w:val="000E03CB"/>
    <w:rsid w:val="000E0F7C"/>
    <w:rsid w:val="000E4411"/>
    <w:rsid w:val="000E78B5"/>
    <w:rsid w:val="00120CAA"/>
    <w:rsid w:val="001434BD"/>
    <w:rsid w:val="0014586E"/>
    <w:rsid w:val="0015638C"/>
    <w:rsid w:val="00163189"/>
    <w:rsid w:val="00170D47"/>
    <w:rsid w:val="00171EFF"/>
    <w:rsid w:val="001807AB"/>
    <w:rsid w:val="001B3E4B"/>
    <w:rsid w:val="001B6480"/>
    <w:rsid w:val="001D2D0F"/>
    <w:rsid w:val="001E376F"/>
    <w:rsid w:val="001E4947"/>
    <w:rsid w:val="001F0003"/>
    <w:rsid w:val="002075D9"/>
    <w:rsid w:val="002138BD"/>
    <w:rsid w:val="00222987"/>
    <w:rsid w:val="002249CF"/>
    <w:rsid w:val="0024693D"/>
    <w:rsid w:val="002508E1"/>
    <w:rsid w:val="002708CF"/>
    <w:rsid w:val="00286DB0"/>
    <w:rsid w:val="002911FF"/>
    <w:rsid w:val="00296229"/>
    <w:rsid w:val="00296DD9"/>
    <w:rsid w:val="002A19F6"/>
    <w:rsid w:val="002A5C15"/>
    <w:rsid w:val="002B25E9"/>
    <w:rsid w:val="002C15D8"/>
    <w:rsid w:val="002D5462"/>
    <w:rsid w:val="002E574D"/>
    <w:rsid w:val="002F2932"/>
    <w:rsid w:val="002F3D82"/>
    <w:rsid w:val="002F42A6"/>
    <w:rsid w:val="0030509C"/>
    <w:rsid w:val="00321A2D"/>
    <w:rsid w:val="00334723"/>
    <w:rsid w:val="0033630D"/>
    <w:rsid w:val="00341E73"/>
    <w:rsid w:val="00351551"/>
    <w:rsid w:val="003731CF"/>
    <w:rsid w:val="003732CE"/>
    <w:rsid w:val="0037567B"/>
    <w:rsid w:val="00393DA5"/>
    <w:rsid w:val="003C1A29"/>
    <w:rsid w:val="003D16D3"/>
    <w:rsid w:val="003D42B7"/>
    <w:rsid w:val="003F1CDA"/>
    <w:rsid w:val="003F5EDC"/>
    <w:rsid w:val="0040372A"/>
    <w:rsid w:val="004058A4"/>
    <w:rsid w:val="00414645"/>
    <w:rsid w:val="00415097"/>
    <w:rsid w:val="00422AED"/>
    <w:rsid w:val="004264C2"/>
    <w:rsid w:val="00467A38"/>
    <w:rsid w:val="00471617"/>
    <w:rsid w:val="00474A37"/>
    <w:rsid w:val="0047704F"/>
    <w:rsid w:val="004907E2"/>
    <w:rsid w:val="00495813"/>
    <w:rsid w:val="004C095E"/>
    <w:rsid w:val="004C78CA"/>
    <w:rsid w:val="004D0B3F"/>
    <w:rsid w:val="004E2FBE"/>
    <w:rsid w:val="004E3827"/>
    <w:rsid w:val="004E653A"/>
    <w:rsid w:val="004F1A28"/>
    <w:rsid w:val="00501591"/>
    <w:rsid w:val="00501EFC"/>
    <w:rsid w:val="00540DCF"/>
    <w:rsid w:val="00571E35"/>
    <w:rsid w:val="00573894"/>
    <w:rsid w:val="00577EF2"/>
    <w:rsid w:val="005925FC"/>
    <w:rsid w:val="005A08F7"/>
    <w:rsid w:val="005A4776"/>
    <w:rsid w:val="005B4431"/>
    <w:rsid w:val="005C04C6"/>
    <w:rsid w:val="005C3227"/>
    <w:rsid w:val="005E38E9"/>
    <w:rsid w:val="005E5EFF"/>
    <w:rsid w:val="005E777E"/>
    <w:rsid w:val="00605CA8"/>
    <w:rsid w:val="006172F7"/>
    <w:rsid w:val="00617748"/>
    <w:rsid w:val="00625E47"/>
    <w:rsid w:val="00637298"/>
    <w:rsid w:val="006574CB"/>
    <w:rsid w:val="006642FF"/>
    <w:rsid w:val="0066764D"/>
    <w:rsid w:val="006911F8"/>
    <w:rsid w:val="006A2D4B"/>
    <w:rsid w:val="006A5458"/>
    <w:rsid w:val="006A7F8F"/>
    <w:rsid w:val="006B2968"/>
    <w:rsid w:val="006C4E01"/>
    <w:rsid w:val="006D14F3"/>
    <w:rsid w:val="006E3A88"/>
    <w:rsid w:val="006F1D48"/>
    <w:rsid w:val="006F6213"/>
    <w:rsid w:val="00705039"/>
    <w:rsid w:val="00711C99"/>
    <w:rsid w:val="00713C56"/>
    <w:rsid w:val="00717F62"/>
    <w:rsid w:val="00781A3E"/>
    <w:rsid w:val="00781D2E"/>
    <w:rsid w:val="0078508F"/>
    <w:rsid w:val="00787F0E"/>
    <w:rsid w:val="0079081C"/>
    <w:rsid w:val="007D07D6"/>
    <w:rsid w:val="007E0D05"/>
    <w:rsid w:val="007E21EA"/>
    <w:rsid w:val="007E6FCE"/>
    <w:rsid w:val="008111BA"/>
    <w:rsid w:val="00820526"/>
    <w:rsid w:val="00841A41"/>
    <w:rsid w:val="00851A1B"/>
    <w:rsid w:val="00862C33"/>
    <w:rsid w:val="00864295"/>
    <w:rsid w:val="0086559A"/>
    <w:rsid w:val="00866673"/>
    <w:rsid w:val="008853EB"/>
    <w:rsid w:val="00887B36"/>
    <w:rsid w:val="0089496E"/>
    <w:rsid w:val="008A4059"/>
    <w:rsid w:val="008A4723"/>
    <w:rsid w:val="008B63B5"/>
    <w:rsid w:val="008C3314"/>
    <w:rsid w:val="008E1FF8"/>
    <w:rsid w:val="00910EEA"/>
    <w:rsid w:val="00913EA5"/>
    <w:rsid w:val="0094781A"/>
    <w:rsid w:val="00955376"/>
    <w:rsid w:val="00965605"/>
    <w:rsid w:val="009730F0"/>
    <w:rsid w:val="00981A3E"/>
    <w:rsid w:val="00985B2D"/>
    <w:rsid w:val="009A0E9D"/>
    <w:rsid w:val="009A5281"/>
    <w:rsid w:val="009B0C47"/>
    <w:rsid w:val="009B4792"/>
    <w:rsid w:val="009B6FA4"/>
    <w:rsid w:val="009F06F6"/>
    <w:rsid w:val="00A119FC"/>
    <w:rsid w:val="00A24628"/>
    <w:rsid w:val="00A32491"/>
    <w:rsid w:val="00A45283"/>
    <w:rsid w:val="00A45C69"/>
    <w:rsid w:val="00A72016"/>
    <w:rsid w:val="00A72711"/>
    <w:rsid w:val="00A809D0"/>
    <w:rsid w:val="00AD5AC0"/>
    <w:rsid w:val="00AE45D6"/>
    <w:rsid w:val="00AE7FAF"/>
    <w:rsid w:val="00AF0F50"/>
    <w:rsid w:val="00B12491"/>
    <w:rsid w:val="00B20104"/>
    <w:rsid w:val="00B233CF"/>
    <w:rsid w:val="00B271A3"/>
    <w:rsid w:val="00B30C8B"/>
    <w:rsid w:val="00B34AB9"/>
    <w:rsid w:val="00B439DE"/>
    <w:rsid w:val="00B55D9E"/>
    <w:rsid w:val="00B56466"/>
    <w:rsid w:val="00B664EF"/>
    <w:rsid w:val="00B67A49"/>
    <w:rsid w:val="00B73C4B"/>
    <w:rsid w:val="00B82DCA"/>
    <w:rsid w:val="00B96D11"/>
    <w:rsid w:val="00BA439D"/>
    <w:rsid w:val="00BC0297"/>
    <w:rsid w:val="00BE4C4E"/>
    <w:rsid w:val="00BF59CB"/>
    <w:rsid w:val="00C05FE8"/>
    <w:rsid w:val="00C113F2"/>
    <w:rsid w:val="00C278E6"/>
    <w:rsid w:val="00C53639"/>
    <w:rsid w:val="00C53A1F"/>
    <w:rsid w:val="00C82D93"/>
    <w:rsid w:val="00C90F64"/>
    <w:rsid w:val="00CA4DCC"/>
    <w:rsid w:val="00CC21A4"/>
    <w:rsid w:val="00CD54F5"/>
    <w:rsid w:val="00CD6AA5"/>
    <w:rsid w:val="00CE0490"/>
    <w:rsid w:val="00CE1795"/>
    <w:rsid w:val="00D040CC"/>
    <w:rsid w:val="00D0490E"/>
    <w:rsid w:val="00D36299"/>
    <w:rsid w:val="00D41C3C"/>
    <w:rsid w:val="00D63E15"/>
    <w:rsid w:val="00D758FF"/>
    <w:rsid w:val="00D87A3A"/>
    <w:rsid w:val="00D90C31"/>
    <w:rsid w:val="00DA0283"/>
    <w:rsid w:val="00DA2A63"/>
    <w:rsid w:val="00DB5958"/>
    <w:rsid w:val="00DB7D14"/>
    <w:rsid w:val="00E15736"/>
    <w:rsid w:val="00E24A1F"/>
    <w:rsid w:val="00E2524B"/>
    <w:rsid w:val="00E258C8"/>
    <w:rsid w:val="00E25C93"/>
    <w:rsid w:val="00E93D43"/>
    <w:rsid w:val="00EB6757"/>
    <w:rsid w:val="00EC04C9"/>
    <w:rsid w:val="00ED1D99"/>
    <w:rsid w:val="00ED2E92"/>
    <w:rsid w:val="00EE2A30"/>
    <w:rsid w:val="00EE706E"/>
    <w:rsid w:val="00EF46E9"/>
    <w:rsid w:val="00F04967"/>
    <w:rsid w:val="00F31441"/>
    <w:rsid w:val="00F31CEC"/>
    <w:rsid w:val="00F379CD"/>
    <w:rsid w:val="00F50963"/>
    <w:rsid w:val="00F60E69"/>
    <w:rsid w:val="00F63B75"/>
    <w:rsid w:val="00F63E1B"/>
    <w:rsid w:val="00F676A7"/>
    <w:rsid w:val="00F70FBE"/>
    <w:rsid w:val="00F85942"/>
    <w:rsid w:val="00F877EC"/>
    <w:rsid w:val="00F93B30"/>
    <w:rsid w:val="00FA6D1A"/>
    <w:rsid w:val="00FB0AC0"/>
    <w:rsid w:val="00FC4BBB"/>
    <w:rsid w:val="00FC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B419A1"/>
  <w15:chartTrackingRefBased/>
  <w15:docId w15:val="{C3D7B572-4653-428E-9F33-BFA64BE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05039"/>
    <w:pPr>
      <w:keepNext/>
      <w:keepLines/>
      <w:spacing w:before="240" w:after="0" w:line="480" w:lineRule="auto"/>
      <w:outlineLvl w:val="0"/>
    </w:pPr>
    <w:rPr>
      <w:rFonts w:ascii="Arial" w:eastAsiaTheme="majorEastAsia" w:hAnsi="Arial" w:cstheme="majorBidi"/>
      <w:b/>
      <w:szCs w:val="32"/>
    </w:rPr>
  </w:style>
  <w:style w:type="paragraph" w:styleId="berschrift2">
    <w:name w:val="heading 2"/>
    <w:basedOn w:val="Standard"/>
    <w:next w:val="Standard"/>
    <w:link w:val="berschrift2Zchn"/>
    <w:uiPriority w:val="9"/>
    <w:unhideWhenUsed/>
    <w:qFormat/>
    <w:rsid w:val="00787F0E"/>
    <w:pPr>
      <w:keepNext/>
      <w:keepLines/>
      <w:spacing w:before="40" w:after="0" w:line="480" w:lineRule="auto"/>
      <w:outlineLvl w:val="1"/>
    </w:pPr>
    <w:rPr>
      <w:rFonts w:ascii="Arial" w:eastAsiaTheme="majorEastAsia" w:hAnsi="Arial" w:cstheme="majorBidi"/>
      <w:b/>
      <w:szCs w:val="26"/>
    </w:rPr>
  </w:style>
  <w:style w:type="paragraph" w:styleId="berschrift3">
    <w:name w:val="heading 3"/>
    <w:basedOn w:val="Standard"/>
    <w:next w:val="Standard"/>
    <w:link w:val="berschrift3Zchn"/>
    <w:uiPriority w:val="9"/>
    <w:unhideWhenUsed/>
    <w:qFormat/>
    <w:rsid w:val="00705039"/>
    <w:pPr>
      <w:spacing w:line="480" w:lineRule="auto"/>
      <w:outlineLvl w:val="2"/>
    </w:pPr>
    <w:rPr>
      <w:rFonts w:ascii="Arial" w:hAnsi="Arial" w:cs="Arial"/>
      <w:i/>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1D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D99"/>
    <w:rPr>
      <w:rFonts w:ascii="Segoe UI" w:hAnsi="Segoe UI" w:cs="Segoe UI"/>
      <w:sz w:val="18"/>
      <w:szCs w:val="18"/>
    </w:rPr>
  </w:style>
  <w:style w:type="character" w:styleId="Kommentarzeichen">
    <w:name w:val="annotation reference"/>
    <w:basedOn w:val="Absatz-Standardschriftart"/>
    <w:uiPriority w:val="99"/>
    <w:semiHidden/>
    <w:unhideWhenUsed/>
    <w:rsid w:val="00B96D11"/>
    <w:rPr>
      <w:sz w:val="16"/>
      <w:szCs w:val="16"/>
    </w:rPr>
  </w:style>
  <w:style w:type="paragraph" w:styleId="Kommentartext">
    <w:name w:val="annotation text"/>
    <w:basedOn w:val="Standard"/>
    <w:link w:val="KommentartextZchn"/>
    <w:uiPriority w:val="99"/>
    <w:unhideWhenUsed/>
    <w:rsid w:val="00B96D11"/>
    <w:pPr>
      <w:spacing w:line="240" w:lineRule="auto"/>
    </w:pPr>
    <w:rPr>
      <w:sz w:val="20"/>
      <w:szCs w:val="20"/>
    </w:rPr>
  </w:style>
  <w:style w:type="character" w:customStyle="1" w:styleId="KommentartextZchn">
    <w:name w:val="Kommentartext Zchn"/>
    <w:basedOn w:val="Absatz-Standardschriftart"/>
    <w:link w:val="Kommentartext"/>
    <w:uiPriority w:val="99"/>
    <w:rsid w:val="00B96D11"/>
    <w:rPr>
      <w:sz w:val="20"/>
      <w:szCs w:val="20"/>
    </w:rPr>
  </w:style>
  <w:style w:type="paragraph" w:styleId="Kommentarthema">
    <w:name w:val="annotation subject"/>
    <w:basedOn w:val="Kommentartext"/>
    <w:next w:val="Kommentartext"/>
    <w:link w:val="KommentarthemaZchn"/>
    <w:uiPriority w:val="99"/>
    <w:semiHidden/>
    <w:unhideWhenUsed/>
    <w:rsid w:val="00B96D11"/>
    <w:rPr>
      <w:b/>
      <w:bCs/>
    </w:rPr>
  </w:style>
  <w:style w:type="character" w:customStyle="1" w:styleId="KommentarthemaZchn">
    <w:name w:val="Kommentarthema Zchn"/>
    <w:basedOn w:val="KommentartextZchn"/>
    <w:link w:val="Kommentarthema"/>
    <w:uiPriority w:val="99"/>
    <w:semiHidden/>
    <w:rsid w:val="00B96D11"/>
    <w:rPr>
      <w:b/>
      <w:bCs/>
      <w:sz w:val="20"/>
      <w:szCs w:val="20"/>
    </w:rPr>
  </w:style>
  <w:style w:type="table" w:styleId="Gitternetztabelle6farbigAkzent3">
    <w:name w:val="Grid Table 6 Colorful Accent 3"/>
    <w:basedOn w:val="NormaleTabelle"/>
    <w:uiPriority w:val="51"/>
    <w:rsid w:val="001D2D0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enraster">
    <w:name w:val="Table Grid"/>
    <w:basedOn w:val="NormaleTabelle"/>
    <w:uiPriority w:val="39"/>
    <w:rsid w:val="002A1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6farbigAkzent3">
    <w:name w:val="List Table 6 Colorful Accent 3"/>
    <w:basedOn w:val="NormaleTabelle"/>
    <w:uiPriority w:val="51"/>
    <w:rsid w:val="00F60E6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uiPriority w:val="9"/>
    <w:rsid w:val="00705039"/>
    <w:rPr>
      <w:rFonts w:ascii="Arial" w:eastAsiaTheme="majorEastAsia" w:hAnsi="Arial" w:cstheme="majorBidi"/>
      <w:b/>
      <w:szCs w:val="32"/>
    </w:rPr>
  </w:style>
  <w:style w:type="character" w:customStyle="1" w:styleId="berschrift2Zchn">
    <w:name w:val="Überschrift 2 Zchn"/>
    <w:basedOn w:val="Absatz-Standardschriftart"/>
    <w:link w:val="berschrift2"/>
    <w:uiPriority w:val="9"/>
    <w:rsid w:val="00787F0E"/>
    <w:rPr>
      <w:rFonts w:ascii="Arial" w:eastAsiaTheme="majorEastAsia" w:hAnsi="Arial" w:cstheme="majorBidi"/>
      <w:b/>
      <w:szCs w:val="26"/>
    </w:rPr>
  </w:style>
  <w:style w:type="paragraph" w:styleId="Inhaltsverzeichnisberschrift">
    <w:name w:val="TOC Heading"/>
    <w:basedOn w:val="berschrift1"/>
    <w:next w:val="Standard"/>
    <w:uiPriority w:val="39"/>
    <w:unhideWhenUsed/>
    <w:qFormat/>
    <w:rsid w:val="00787F0E"/>
    <w:pPr>
      <w:outlineLvl w:val="9"/>
    </w:pPr>
  </w:style>
  <w:style w:type="paragraph" w:styleId="Verzeichnis1">
    <w:name w:val="toc 1"/>
    <w:basedOn w:val="Standard"/>
    <w:next w:val="Standard"/>
    <w:autoRedefine/>
    <w:uiPriority w:val="39"/>
    <w:unhideWhenUsed/>
    <w:rsid w:val="000B20A6"/>
    <w:pPr>
      <w:tabs>
        <w:tab w:val="right" w:leader="dot" w:pos="9350"/>
      </w:tabs>
      <w:spacing w:after="100" w:line="480" w:lineRule="auto"/>
    </w:pPr>
  </w:style>
  <w:style w:type="paragraph" w:styleId="Verzeichnis2">
    <w:name w:val="toc 2"/>
    <w:basedOn w:val="Standard"/>
    <w:next w:val="Standard"/>
    <w:autoRedefine/>
    <w:uiPriority w:val="39"/>
    <w:unhideWhenUsed/>
    <w:rsid w:val="00787F0E"/>
    <w:pPr>
      <w:spacing w:after="100"/>
      <w:ind w:left="220"/>
    </w:pPr>
  </w:style>
  <w:style w:type="character" w:styleId="Hyperlink">
    <w:name w:val="Hyperlink"/>
    <w:basedOn w:val="Absatz-Standardschriftart"/>
    <w:uiPriority w:val="99"/>
    <w:unhideWhenUsed/>
    <w:rsid w:val="00787F0E"/>
    <w:rPr>
      <w:color w:val="0563C1" w:themeColor="hyperlink"/>
      <w:u w:val="single"/>
    </w:rPr>
  </w:style>
  <w:style w:type="character" w:styleId="Fett">
    <w:name w:val="Strong"/>
    <w:basedOn w:val="Absatz-Standardschriftart"/>
    <w:uiPriority w:val="22"/>
    <w:qFormat/>
    <w:rsid w:val="00FC747D"/>
    <w:rPr>
      <w:b/>
      <w:bCs/>
    </w:rPr>
  </w:style>
  <w:style w:type="paragraph" w:styleId="Listenabsatz">
    <w:name w:val="List Paragraph"/>
    <w:basedOn w:val="Standard"/>
    <w:uiPriority w:val="34"/>
    <w:qFormat/>
    <w:rsid w:val="00713C56"/>
    <w:pPr>
      <w:ind w:left="720"/>
      <w:contextualSpacing/>
    </w:pPr>
  </w:style>
  <w:style w:type="table" w:styleId="EinfacheTabelle2">
    <w:name w:val="Plain Table 2"/>
    <w:basedOn w:val="NormaleTabelle"/>
    <w:uiPriority w:val="42"/>
    <w:rsid w:val="00087A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1hellAkzent3">
    <w:name w:val="Grid Table 1 Light Accent 3"/>
    <w:basedOn w:val="NormaleTabelle"/>
    <w:uiPriority w:val="46"/>
    <w:rsid w:val="00087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itel">
    <w:name w:val="Title"/>
    <w:basedOn w:val="Standard"/>
    <w:next w:val="Standard"/>
    <w:link w:val="TitelZchn"/>
    <w:uiPriority w:val="10"/>
    <w:qFormat/>
    <w:rsid w:val="00705039"/>
    <w:pPr>
      <w:spacing w:line="480" w:lineRule="auto"/>
      <w:jc w:val="center"/>
    </w:pPr>
    <w:rPr>
      <w:rFonts w:ascii="Arial" w:hAnsi="Arial" w:cs="Arial"/>
      <w:b/>
      <w:bCs/>
      <w:sz w:val="24"/>
      <w:szCs w:val="24"/>
    </w:rPr>
  </w:style>
  <w:style w:type="character" w:customStyle="1" w:styleId="TitelZchn">
    <w:name w:val="Titel Zchn"/>
    <w:basedOn w:val="Absatz-Standardschriftart"/>
    <w:link w:val="Titel"/>
    <w:uiPriority w:val="10"/>
    <w:rsid w:val="00705039"/>
    <w:rPr>
      <w:rFonts w:ascii="Arial" w:hAnsi="Arial" w:cs="Arial"/>
      <w:b/>
      <w:bCs/>
      <w:sz w:val="24"/>
      <w:szCs w:val="24"/>
    </w:rPr>
  </w:style>
  <w:style w:type="paragraph" w:styleId="Untertitel">
    <w:name w:val="Subtitle"/>
    <w:basedOn w:val="Standard"/>
    <w:next w:val="Standard"/>
    <w:link w:val="UntertitelZchn"/>
    <w:uiPriority w:val="11"/>
    <w:qFormat/>
    <w:rsid w:val="00705039"/>
    <w:pPr>
      <w:spacing w:line="480" w:lineRule="auto"/>
      <w:jc w:val="center"/>
    </w:pPr>
    <w:rPr>
      <w:rFonts w:ascii="Arial" w:hAnsi="Arial" w:cs="Arial"/>
      <w:b/>
      <w:bCs/>
    </w:rPr>
  </w:style>
  <w:style w:type="character" w:customStyle="1" w:styleId="UntertitelZchn">
    <w:name w:val="Untertitel Zchn"/>
    <w:basedOn w:val="Absatz-Standardschriftart"/>
    <w:link w:val="Untertitel"/>
    <w:uiPriority w:val="11"/>
    <w:rsid w:val="00705039"/>
    <w:rPr>
      <w:rFonts w:ascii="Arial" w:hAnsi="Arial" w:cs="Arial"/>
      <w:b/>
      <w:bCs/>
    </w:rPr>
  </w:style>
  <w:style w:type="character" w:customStyle="1" w:styleId="berschrift3Zchn">
    <w:name w:val="Überschrift 3 Zchn"/>
    <w:basedOn w:val="Absatz-Standardschriftart"/>
    <w:link w:val="berschrift3"/>
    <w:uiPriority w:val="9"/>
    <w:rsid w:val="00705039"/>
    <w:rPr>
      <w:rFonts w:ascii="Arial" w:hAnsi="Arial" w:cs="Arial"/>
      <w:i/>
      <w:lang w:val="en-GB"/>
    </w:rPr>
  </w:style>
  <w:style w:type="paragraph" w:styleId="Verzeichnis3">
    <w:name w:val="toc 3"/>
    <w:basedOn w:val="Standard"/>
    <w:next w:val="Standard"/>
    <w:autoRedefine/>
    <w:uiPriority w:val="39"/>
    <w:unhideWhenUsed/>
    <w:rsid w:val="00705039"/>
    <w:pPr>
      <w:tabs>
        <w:tab w:val="right" w:leader="dot" w:pos="9350"/>
      </w:tabs>
      <w:spacing w:after="100" w:line="480" w:lineRule="auto"/>
      <w:ind w:left="440"/>
    </w:pPr>
  </w:style>
  <w:style w:type="paragraph" w:styleId="Kopfzeile">
    <w:name w:val="header"/>
    <w:basedOn w:val="Standard"/>
    <w:link w:val="KopfzeileZchn"/>
    <w:uiPriority w:val="99"/>
    <w:unhideWhenUsed/>
    <w:rsid w:val="00FC4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4BBB"/>
  </w:style>
  <w:style w:type="paragraph" w:styleId="Fuzeile">
    <w:name w:val="footer"/>
    <w:basedOn w:val="Standard"/>
    <w:link w:val="FuzeileZchn"/>
    <w:uiPriority w:val="99"/>
    <w:unhideWhenUsed/>
    <w:rsid w:val="00FC4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5359">
      <w:bodyDiv w:val="1"/>
      <w:marLeft w:val="0"/>
      <w:marRight w:val="0"/>
      <w:marTop w:val="0"/>
      <w:marBottom w:val="0"/>
      <w:divBdr>
        <w:top w:val="none" w:sz="0" w:space="0" w:color="auto"/>
        <w:left w:val="none" w:sz="0" w:space="0" w:color="auto"/>
        <w:bottom w:val="none" w:sz="0" w:space="0" w:color="auto"/>
        <w:right w:val="none" w:sz="0" w:space="0" w:color="auto"/>
      </w:divBdr>
    </w:div>
    <w:div w:id="608703291">
      <w:bodyDiv w:val="1"/>
      <w:marLeft w:val="0"/>
      <w:marRight w:val="0"/>
      <w:marTop w:val="0"/>
      <w:marBottom w:val="0"/>
      <w:divBdr>
        <w:top w:val="none" w:sz="0" w:space="0" w:color="auto"/>
        <w:left w:val="none" w:sz="0" w:space="0" w:color="auto"/>
        <w:bottom w:val="none" w:sz="0" w:space="0" w:color="auto"/>
        <w:right w:val="none" w:sz="0" w:space="0" w:color="auto"/>
      </w:divBdr>
    </w:div>
    <w:div w:id="686561324">
      <w:bodyDiv w:val="1"/>
      <w:marLeft w:val="0"/>
      <w:marRight w:val="0"/>
      <w:marTop w:val="0"/>
      <w:marBottom w:val="0"/>
      <w:divBdr>
        <w:top w:val="none" w:sz="0" w:space="0" w:color="auto"/>
        <w:left w:val="none" w:sz="0" w:space="0" w:color="auto"/>
        <w:bottom w:val="none" w:sz="0" w:space="0" w:color="auto"/>
        <w:right w:val="none" w:sz="0" w:space="0" w:color="auto"/>
      </w:divBdr>
    </w:div>
    <w:div w:id="776678822">
      <w:bodyDiv w:val="1"/>
      <w:marLeft w:val="0"/>
      <w:marRight w:val="0"/>
      <w:marTop w:val="0"/>
      <w:marBottom w:val="0"/>
      <w:divBdr>
        <w:top w:val="none" w:sz="0" w:space="0" w:color="auto"/>
        <w:left w:val="none" w:sz="0" w:space="0" w:color="auto"/>
        <w:bottom w:val="none" w:sz="0" w:space="0" w:color="auto"/>
        <w:right w:val="none" w:sz="0" w:space="0" w:color="auto"/>
      </w:divBdr>
    </w:div>
    <w:div w:id="801076041">
      <w:bodyDiv w:val="1"/>
      <w:marLeft w:val="0"/>
      <w:marRight w:val="0"/>
      <w:marTop w:val="0"/>
      <w:marBottom w:val="0"/>
      <w:divBdr>
        <w:top w:val="none" w:sz="0" w:space="0" w:color="auto"/>
        <w:left w:val="none" w:sz="0" w:space="0" w:color="auto"/>
        <w:bottom w:val="none" w:sz="0" w:space="0" w:color="auto"/>
        <w:right w:val="none" w:sz="0" w:space="0" w:color="auto"/>
      </w:divBdr>
    </w:div>
    <w:div w:id="1088620059">
      <w:bodyDiv w:val="1"/>
      <w:marLeft w:val="0"/>
      <w:marRight w:val="0"/>
      <w:marTop w:val="0"/>
      <w:marBottom w:val="0"/>
      <w:divBdr>
        <w:top w:val="none" w:sz="0" w:space="0" w:color="auto"/>
        <w:left w:val="none" w:sz="0" w:space="0" w:color="auto"/>
        <w:bottom w:val="none" w:sz="0" w:space="0" w:color="auto"/>
        <w:right w:val="none" w:sz="0" w:space="0" w:color="auto"/>
      </w:divBdr>
    </w:div>
    <w:div w:id="1221940457">
      <w:bodyDiv w:val="1"/>
      <w:marLeft w:val="0"/>
      <w:marRight w:val="0"/>
      <w:marTop w:val="0"/>
      <w:marBottom w:val="0"/>
      <w:divBdr>
        <w:top w:val="none" w:sz="0" w:space="0" w:color="auto"/>
        <w:left w:val="none" w:sz="0" w:space="0" w:color="auto"/>
        <w:bottom w:val="none" w:sz="0" w:space="0" w:color="auto"/>
        <w:right w:val="none" w:sz="0" w:space="0" w:color="auto"/>
      </w:divBdr>
    </w:div>
    <w:div w:id="1392657094">
      <w:bodyDiv w:val="1"/>
      <w:marLeft w:val="0"/>
      <w:marRight w:val="0"/>
      <w:marTop w:val="0"/>
      <w:marBottom w:val="0"/>
      <w:divBdr>
        <w:top w:val="none" w:sz="0" w:space="0" w:color="auto"/>
        <w:left w:val="none" w:sz="0" w:space="0" w:color="auto"/>
        <w:bottom w:val="none" w:sz="0" w:space="0" w:color="auto"/>
        <w:right w:val="none" w:sz="0" w:space="0" w:color="auto"/>
      </w:divBdr>
    </w:div>
    <w:div w:id="1448239449">
      <w:bodyDiv w:val="1"/>
      <w:marLeft w:val="0"/>
      <w:marRight w:val="0"/>
      <w:marTop w:val="0"/>
      <w:marBottom w:val="0"/>
      <w:divBdr>
        <w:top w:val="none" w:sz="0" w:space="0" w:color="auto"/>
        <w:left w:val="none" w:sz="0" w:space="0" w:color="auto"/>
        <w:bottom w:val="none" w:sz="0" w:space="0" w:color="auto"/>
        <w:right w:val="none" w:sz="0" w:space="0" w:color="auto"/>
      </w:divBdr>
    </w:div>
    <w:div w:id="1701927451">
      <w:bodyDiv w:val="1"/>
      <w:marLeft w:val="0"/>
      <w:marRight w:val="0"/>
      <w:marTop w:val="0"/>
      <w:marBottom w:val="0"/>
      <w:divBdr>
        <w:top w:val="none" w:sz="0" w:space="0" w:color="auto"/>
        <w:left w:val="none" w:sz="0" w:space="0" w:color="auto"/>
        <w:bottom w:val="none" w:sz="0" w:space="0" w:color="auto"/>
        <w:right w:val="none" w:sz="0" w:space="0" w:color="auto"/>
      </w:divBdr>
    </w:div>
    <w:div w:id="19254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1BF1-62AB-4B08-8315-D48887A0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2673</Words>
  <Characters>16847</Characters>
  <Application>Microsoft Office Word</Application>
  <DocSecurity>0</DocSecurity>
  <Lines>140</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Walti, Carla</dc:creator>
  <cp:keywords/>
  <dc:description/>
  <cp:lastModifiedBy>Carla Walti</cp:lastModifiedBy>
  <cp:revision>2</cp:revision>
  <dcterms:created xsi:type="dcterms:W3CDTF">2021-05-10T19:24:00Z</dcterms:created>
  <dcterms:modified xsi:type="dcterms:W3CDTF">2021-05-10T19:24:00Z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http://www.zotero.org/styles/blood</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http://www.zotero.org/styles/blood</vt:lpwstr>
  </property>
  <property fmtid="{D5CDD505-2E9C-101B-9397-08002B2CF9AE}" pid="11" name="Mendeley Recent Style Name 3_1">
    <vt:lpwstr>Blood</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http://www.zotero.org/styles/the-journal-of-clinical-investigation</vt:lpwstr>
  </property>
  <property fmtid="{D5CDD505-2E9C-101B-9397-08002B2CF9AE}" pid="21" name="Mendeley Recent Style Name 8_1">
    <vt:lpwstr>The Journal of Clinical Investigation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5e558d73-a6f7-3a9a-a94d-c0c1db19fdb3</vt:lpwstr>
  </property>
</Properties>
</file>