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D4420F" w14:textId="77777777" w:rsidR="00CC1618" w:rsidRDefault="00232E39">
      <w:pPr>
        <w:pStyle w:val="Heading1"/>
      </w:pPr>
      <w:bookmarkStart w:id="0" w:name="_8a0dpt8s3wkd" w:colFirst="0" w:colLast="0"/>
      <w:bookmarkEnd w:id="0"/>
      <w:r>
        <w:t>Appendix 2: Studies Excluded at Full Paper Stage</w:t>
      </w:r>
    </w:p>
    <w:tbl>
      <w:tblPr>
        <w:tblStyle w:val="a9"/>
        <w:tblW w:w="10545" w:type="dxa"/>
        <w:tblInd w:w="-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2565"/>
        <w:gridCol w:w="2265"/>
        <w:gridCol w:w="930"/>
        <w:gridCol w:w="3645"/>
      </w:tblGrid>
      <w:tr w:rsidR="00CC1618" w14:paraId="50D6ED9D" w14:textId="77777777" w:rsidTr="000D157A">
        <w:trPr>
          <w:trHeight w:val="420"/>
        </w:trPr>
        <w:tc>
          <w:tcPr>
            <w:tcW w:w="10545" w:type="dxa"/>
            <w:gridSpan w:val="5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1469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Table S2.1: Studies excluded at global quality assessment</w:t>
            </w:r>
          </w:p>
        </w:tc>
      </w:tr>
      <w:tr w:rsidR="00CC1618" w14:paraId="7179FD3A" w14:textId="77777777" w:rsidTr="000D157A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68869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Study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BFEF5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this study compare outcomes at a major trauma centre and a non-trauma centre?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0DC8A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this study report outcomes in patients with low-energy trauma?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6450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Decision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A2429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Justification</w:t>
            </w:r>
          </w:p>
        </w:tc>
      </w:tr>
      <w:tr w:rsidR="00CC1618" w14:paraId="0CE93027" w14:textId="77777777" w:rsidTr="000D157A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8D15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</w:t>
            </w:r>
          </w:p>
          <w:p w14:paraId="13D557F1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2019b</w:t>
            </w:r>
          </w:p>
          <w:p w14:paraId="7A9B6F05" w14:textId="77777777" w:rsidR="00CC1618" w:rsidRDefault="004D1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hyperlink r:id="rId6">
              <w:r w:rsidR="00232E39">
                <w:t>(28)</w:t>
              </w:r>
            </w:hyperlink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F150B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1525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31798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Exclude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CCBF4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study cohort comprises all the 40,800 patients in Ahmed 2019 </w:t>
            </w:r>
            <w:hyperlink r:id="rId7">
              <w:r>
                <w:rPr>
                  <w:sz w:val="16"/>
                  <w:szCs w:val="16"/>
                </w:rPr>
                <w:t>(30)</w:t>
              </w:r>
            </w:hyperlink>
            <w:r>
              <w:rPr>
                <w:sz w:val="16"/>
                <w:szCs w:val="16"/>
              </w:rPr>
              <w:t>.  Whilst outcomes at different levels of trauma centre are reported, the aim of the paper is to produce a risk-stratification model. The findings are better described in the included paper.</w:t>
            </w:r>
          </w:p>
        </w:tc>
      </w:tr>
      <w:tr w:rsidR="00CC1618" w14:paraId="10BC86CA" w14:textId="77777777" w:rsidTr="000D157A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8F9D8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</w:t>
            </w:r>
          </w:p>
          <w:p w14:paraId="4CC5BDB7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2019c</w:t>
            </w:r>
          </w:p>
          <w:p w14:paraId="590C050C" w14:textId="77777777" w:rsidR="00CC1618" w:rsidRDefault="004D1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hyperlink r:id="rId8">
              <w:r w:rsidR="00232E39">
                <w:t>(29)</w:t>
              </w:r>
            </w:hyperlink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A88F5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4F28D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D301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Exclude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A7A6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study is a cohort of 15,256 patients with thoracic injuries drawn from the same cohort as Ahmed 2019 </w:t>
            </w:r>
            <w:hyperlink r:id="rId9">
              <w:r>
                <w:rPr>
                  <w:sz w:val="16"/>
                  <w:szCs w:val="16"/>
                </w:rPr>
                <w:t>(30)</w:t>
              </w:r>
            </w:hyperlink>
            <w:r>
              <w:rPr>
                <w:sz w:val="16"/>
                <w:szCs w:val="16"/>
              </w:rPr>
              <w:t xml:space="preserve">. After propensity matching the authors found no mortality difference between patients treated at ACS-verified level 1 &amp; 2 </w:t>
            </w:r>
            <w:proofErr w:type="spellStart"/>
            <w:r>
              <w:rPr>
                <w:sz w:val="16"/>
                <w:szCs w:val="16"/>
              </w:rPr>
              <w:t>cantres</w:t>
            </w:r>
            <w:proofErr w:type="spellEnd"/>
            <w:r>
              <w:rPr>
                <w:sz w:val="16"/>
                <w:szCs w:val="16"/>
              </w:rPr>
              <w:t xml:space="preserve"> compared to ACS-verified level 3 &amp; 4 centres (mortality 4.4% vs 3.9%, p = 0.14).  </w:t>
            </w:r>
          </w:p>
        </w:tc>
      </w:tr>
      <w:tr w:rsidR="00CC1618" w14:paraId="355D1407" w14:textId="77777777" w:rsidTr="000D157A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BB40C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Scheetz</w:t>
            </w:r>
          </w:p>
          <w:p w14:paraId="298700D6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  <w:p w14:paraId="3B37C85E" w14:textId="77777777" w:rsidR="00CC1618" w:rsidRDefault="004D1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hyperlink r:id="rId10">
              <w:r w:rsidR="00232E39">
                <w:t>(31)</w:t>
              </w:r>
            </w:hyperlink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8195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E1D40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FE36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Exclude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92EEB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retrospective cohort identified 3,331 patients with traumatic brain injury following same-level falls using a New York State healthcare database.  Among other goals, it aimed to identify predictors of </w:t>
            </w:r>
            <w:proofErr w:type="gramStart"/>
            <w:r>
              <w:rPr>
                <w:sz w:val="16"/>
                <w:szCs w:val="16"/>
              </w:rPr>
              <w:t>short term</w:t>
            </w:r>
            <w:proofErr w:type="gramEnd"/>
            <w:r>
              <w:rPr>
                <w:sz w:val="16"/>
                <w:szCs w:val="16"/>
              </w:rPr>
              <w:t xml:space="preserve"> mortality.  The presented logistic regression model of mortality reported an OR for mortality of 1.49 for trauma centre admission (95% CI 1.17-1.89).</w:t>
            </w:r>
          </w:p>
          <w:p w14:paraId="49A9A3EB" w14:textId="77777777" w:rsidR="00CC1618" w:rsidRDefault="00CC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  <w:p w14:paraId="0C025135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review was excluded for the following reasons:</w:t>
            </w:r>
          </w:p>
          <w:p w14:paraId="4FF218C6" w14:textId="77777777" w:rsidR="00CC1618" w:rsidRDefault="00CC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  <w:p w14:paraId="15AD3874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Patients with missing trauma centre status were removed from the </w:t>
            </w:r>
            <w:proofErr w:type="spellStart"/>
            <w:proofErr w:type="gramStart"/>
            <w:r>
              <w:rPr>
                <w:sz w:val="16"/>
                <w:szCs w:val="16"/>
              </w:rPr>
              <w:t>analysis.The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number removed is not reported.</w:t>
            </w:r>
          </w:p>
          <w:p w14:paraId="315B696C" w14:textId="77777777" w:rsidR="00CC1618" w:rsidRDefault="00CC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  <w:p w14:paraId="1AE81F51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Interfacility transfer patients were counted only upon discharge from the initial hospital, introducing significant risk of tertiary referral bias.</w:t>
            </w:r>
          </w:p>
          <w:p w14:paraId="56061A0D" w14:textId="77777777" w:rsidR="00CC1618" w:rsidRDefault="00CC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  <w:p w14:paraId="43224455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The variables in the logistic regression model in text and table are discrepant.</w:t>
            </w:r>
          </w:p>
          <w:p w14:paraId="14A44207" w14:textId="77777777" w:rsidR="00CC1618" w:rsidRDefault="00CC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  <w:p w14:paraId="7C85D584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The referent standard used for comparison of traumatic brain injury severity was a composite of ‘unclassified’ injuries. </w:t>
            </w:r>
          </w:p>
        </w:tc>
      </w:tr>
    </w:tbl>
    <w:p w14:paraId="4ED619BF" w14:textId="77777777" w:rsidR="00CC1618" w:rsidRDefault="00CC1618"/>
    <w:p w14:paraId="06A69FFD" w14:textId="77777777" w:rsidR="00CC1618" w:rsidRDefault="00CC1618"/>
    <w:p w14:paraId="41545A18" w14:textId="77777777" w:rsidR="00CC1618" w:rsidRDefault="00CC1618"/>
    <w:p w14:paraId="5C111280" w14:textId="77777777" w:rsidR="00CC1618" w:rsidRDefault="00CC1618"/>
    <w:p w14:paraId="15FF92CB" w14:textId="77777777" w:rsidR="00CC1618" w:rsidRDefault="00CC1618"/>
    <w:p w14:paraId="08AF2481" w14:textId="77777777" w:rsidR="00CC1618" w:rsidRDefault="00CC1618"/>
    <w:p w14:paraId="42182987" w14:textId="77777777" w:rsidR="00CC1618" w:rsidRDefault="00232E39">
      <w:pPr>
        <w:pStyle w:val="Heading1"/>
      </w:pPr>
      <w:bookmarkStart w:id="1" w:name="_3bu28fvjvspx" w:colFirst="0" w:colLast="0"/>
      <w:bookmarkEnd w:id="1"/>
      <w:r>
        <w:lastRenderedPageBreak/>
        <w:t>Appendix 3: Multiple Logistic Regression Models</w:t>
      </w:r>
    </w:p>
    <w:tbl>
      <w:tblPr>
        <w:tblStyle w:val="aa"/>
        <w:tblW w:w="77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1500"/>
        <w:gridCol w:w="1500"/>
        <w:gridCol w:w="1500"/>
      </w:tblGrid>
      <w:tr w:rsidR="00CC1618" w14:paraId="3000D4F1" w14:textId="77777777" w:rsidTr="00203A5B">
        <w:trPr>
          <w:trHeight w:val="315"/>
          <w:jc w:val="center"/>
        </w:trPr>
        <w:tc>
          <w:tcPr>
            <w:tcW w:w="77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FDF084" w14:textId="77777777" w:rsidR="00CC1618" w:rsidRDefault="00232E39">
            <w:pPr>
              <w:widowControl w:val="0"/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Table S4.1: Multiple regression model from Ahmed 2019</w:t>
            </w:r>
          </w:p>
        </w:tc>
      </w:tr>
      <w:tr w:rsidR="00CC1618" w14:paraId="62EE1514" w14:textId="77777777" w:rsidTr="00203A5B">
        <w:trPr>
          <w:trHeight w:val="315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5E4FD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Calibration and discrimination</w:t>
            </w:r>
          </w:p>
        </w:tc>
        <w:tc>
          <w:tcPr>
            <w:tcW w:w="4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5E83AB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NR*</w:t>
            </w:r>
          </w:p>
        </w:tc>
      </w:tr>
      <w:tr w:rsidR="00CC1618" w14:paraId="5365908C" w14:textId="77777777" w:rsidTr="00203A5B">
        <w:trPr>
          <w:trHeight w:val="315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AB97ED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F03C02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Odds Ratio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3AFB8E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95% CI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166E7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CC1618" w14:paraId="743B4E05" w14:textId="77777777" w:rsidTr="00203A5B">
        <w:trPr>
          <w:trHeight w:val="315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72286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Age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A45C73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NR*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7B85A9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NR*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C39517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NR*</w:t>
            </w:r>
          </w:p>
        </w:tc>
      </w:tr>
      <w:tr w:rsidR="00CC1618" w14:paraId="66F8AB9E" w14:textId="77777777" w:rsidTr="00203A5B">
        <w:trPr>
          <w:trHeight w:val="315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D1EA3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Sex</w:t>
            </w:r>
          </w:p>
        </w:tc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D20C4" w14:textId="77777777" w:rsidR="00CC1618" w:rsidRDefault="00CC16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ED8F9" w14:textId="77777777" w:rsidR="00CC1618" w:rsidRDefault="00CC16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66CCB" w14:textId="77777777" w:rsidR="00CC1618" w:rsidRDefault="00CC1618">
            <w:pPr>
              <w:widowControl w:val="0"/>
              <w:rPr>
                <w:sz w:val="20"/>
                <w:szCs w:val="20"/>
              </w:rPr>
            </w:pPr>
          </w:p>
        </w:tc>
      </w:tr>
      <w:tr w:rsidR="00CC1618" w14:paraId="5F326709" w14:textId="77777777" w:rsidTr="00203A5B">
        <w:trPr>
          <w:trHeight w:val="315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CC09C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Race/ethnicity</w:t>
            </w:r>
          </w:p>
        </w:tc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6164F" w14:textId="77777777" w:rsidR="00CC1618" w:rsidRDefault="00CC16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2B56F" w14:textId="77777777" w:rsidR="00CC1618" w:rsidRDefault="00CC16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729FB" w14:textId="77777777" w:rsidR="00CC1618" w:rsidRDefault="00CC1618">
            <w:pPr>
              <w:widowControl w:val="0"/>
              <w:rPr>
                <w:sz w:val="20"/>
                <w:szCs w:val="20"/>
              </w:rPr>
            </w:pPr>
          </w:p>
        </w:tc>
      </w:tr>
      <w:tr w:rsidR="00CC1618" w14:paraId="1F5BF9CF" w14:textId="77777777" w:rsidTr="00203A5B">
        <w:trPr>
          <w:trHeight w:val="315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A7B0D8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Systolic blood pressure</w:t>
            </w:r>
          </w:p>
        </w:tc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80983" w14:textId="77777777" w:rsidR="00CC1618" w:rsidRDefault="00CC16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1C587" w14:textId="77777777" w:rsidR="00CC1618" w:rsidRDefault="00CC16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84D6" w14:textId="77777777" w:rsidR="00CC1618" w:rsidRDefault="00CC1618">
            <w:pPr>
              <w:widowControl w:val="0"/>
              <w:rPr>
                <w:sz w:val="20"/>
                <w:szCs w:val="20"/>
              </w:rPr>
            </w:pPr>
          </w:p>
        </w:tc>
      </w:tr>
      <w:tr w:rsidR="00CC1618" w14:paraId="2C51AEB8" w14:textId="77777777" w:rsidTr="00203A5B">
        <w:trPr>
          <w:trHeight w:val="315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8B3B9D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Heart rate</w:t>
            </w:r>
          </w:p>
        </w:tc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ABF77" w14:textId="77777777" w:rsidR="00CC1618" w:rsidRDefault="00CC16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0125E" w14:textId="77777777" w:rsidR="00CC1618" w:rsidRDefault="00CC16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D8DB1" w14:textId="77777777" w:rsidR="00CC1618" w:rsidRDefault="00CC1618">
            <w:pPr>
              <w:widowControl w:val="0"/>
              <w:rPr>
                <w:sz w:val="20"/>
                <w:szCs w:val="20"/>
              </w:rPr>
            </w:pPr>
          </w:p>
        </w:tc>
      </w:tr>
      <w:tr w:rsidR="00CC1618" w14:paraId="058147C3" w14:textId="77777777" w:rsidTr="00203A5B">
        <w:trPr>
          <w:trHeight w:val="315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8A694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Respiratory rate</w:t>
            </w:r>
          </w:p>
        </w:tc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B5E85" w14:textId="77777777" w:rsidR="00CC1618" w:rsidRDefault="00CC16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FD98" w14:textId="77777777" w:rsidR="00CC1618" w:rsidRDefault="00CC16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6B90" w14:textId="77777777" w:rsidR="00CC1618" w:rsidRDefault="00CC1618">
            <w:pPr>
              <w:widowControl w:val="0"/>
              <w:rPr>
                <w:sz w:val="20"/>
                <w:szCs w:val="20"/>
              </w:rPr>
            </w:pPr>
          </w:p>
        </w:tc>
      </w:tr>
      <w:tr w:rsidR="00CC1618" w14:paraId="5E19BBB1" w14:textId="77777777" w:rsidTr="00203A5B">
        <w:trPr>
          <w:trHeight w:val="315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AABA8A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Injury severity score</w:t>
            </w:r>
          </w:p>
        </w:tc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30A89" w14:textId="77777777" w:rsidR="00CC1618" w:rsidRDefault="00CC16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811C6" w14:textId="77777777" w:rsidR="00CC1618" w:rsidRDefault="00CC16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E90E7" w14:textId="77777777" w:rsidR="00CC1618" w:rsidRDefault="00CC1618">
            <w:pPr>
              <w:widowControl w:val="0"/>
              <w:rPr>
                <w:sz w:val="20"/>
                <w:szCs w:val="20"/>
              </w:rPr>
            </w:pPr>
          </w:p>
        </w:tc>
      </w:tr>
      <w:tr w:rsidR="00CC1618" w14:paraId="3A0205CC" w14:textId="77777777" w:rsidTr="00203A5B">
        <w:trPr>
          <w:trHeight w:val="315"/>
          <w:jc w:val="center"/>
        </w:trPr>
        <w:tc>
          <w:tcPr>
            <w:tcW w:w="77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4263F9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*Author contacted but information not available</w:t>
            </w:r>
          </w:p>
        </w:tc>
      </w:tr>
    </w:tbl>
    <w:p w14:paraId="7AA541BE" w14:textId="77777777" w:rsidR="00CC1618" w:rsidRDefault="00CC1618"/>
    <w:tbl>
      <w:tblPr>
        <w:tblStyle w:val="ab"/>
        <w:tblW w:w="77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1500"/>
        <w:gridCol w:w="1500"/>
        <w:gridCol w:w="1500"/>
      </w:tblGrid>
      <w:tr w:rsidR="00CC1618" w14:paraId="697847D1" w14:textId="77777777" w:rsidTr="00203A5B">
        <w:trPr>
          <w:trHeight w:val="315"/>
          <w:jc w:val="center"/>
        </w:trPr>
        <w:tc>
          <w:tcPr>
            <w:tcW w:w="77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D7FFAC" w14:textId="77777777" w:rsidR="00CC1618" w:rsidRDefault="00232E39">
            <w:pPr>
              <w:widowControl w:val="0"/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Table S4.2: Multiple regression model from Cook 2012</w:t>
            </w:r>
          </w:p>
        </w:tc>
      </w:tr>
      <w:tr w:rsidR="00CC1618" w14:paraId="016B3064" w14:textId="77777777" w:rsidTr="00203A5B">
        <w:trPr>
          <w:trHeight w:val="360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81111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Calibration and discrimination</w:t>
            </w:r>
          </w:p>
        </w:tc>
        <w:tc>
          <w:tcPr>
            <w:tcW w:w="4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63817C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AUROC 0.85, Hosmer-</w:t>
            </w:r>
            <w:proofErr w:type="spellStart"/>
            <w:r>
              <w:rPr>
                <w:sz w:val="16"/>
                <w:szCs w:val="16"/>
              </w:rPr>
              <w:t>Lemeshow</w:t>
            </w:r>
            <w:proofErr w:type="spellEnd"/>
            <w:r>
              <w:rPr>
                <w:sz w:val="16"/>
                <w:szCs w:val="16"/>
              </w:rPr>
              <w:t xml:space="preserve"> chi-square 4.98, p = 0.89</w:t>
            </w:r>
          </w:p>
        </w:tc>
      </w:tr>
      <w:tr w:rsidR="00CC1618" w14:paraId="05547DB7" w14:textId="77777777" w:rsidTr="00203A5B">
        <w:trPr>
          <w:trHeight w:val="315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2C249A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4EB3C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Odds Ratio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1201F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95% CI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7A13C0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CC1618" w14:paraId="2DBE0A73" w14:textId="77777777" w:rsidTr="00203A5B">
        <w:trPr>
          <w:trHeight w:val="315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677FDB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Hypotension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0B064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8.91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9BB486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6.09-13.05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93FB7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&lt;0.001</w:t>
            </w:r>
          </w:p>
        </w:tc>
      </w:tr>
      <w:tr w:rsidR="00CC1618" w14:paraId="2E2F2A5B" w14:textId="77777777" w:rsidTr="00203A5B">
        <w:trPr>
          <w:trHeight w:val="315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A3B5BE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Metabolic acidosis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801D4E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7.19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106BC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2.36-21.88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C4C7D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0.001</w:t>
            </w:r>
          </w:p>
        </w:tc>
      </w:tr>
      <w:tr w:rsidR="00CC1618" w14:paraId="7BF781DC" w14:textId="77777777" w:rsidTr="00203A5B">
        <w:trPr>
          <w:trHeight w:val="315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78C1D1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Comorbid cancer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B06A2F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3.83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65F33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1.57-9.35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DEDE00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0.003</w:t>
            </w:r>
          </w:p>
        </w:tc>
      </w:tr>
      <w:tr w:rsidR="00CC1618" w14:paraId="049691BA" w14:textId="77777777" w:rsidTr="00203A5B">
        <w:trPr>
          <w:trHeight w:val="315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3DC949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Comorbid renal disorder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5FD2CF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3.25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270824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1.30-8.13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704F15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0.01</w:t>
            </w:r>
          </w:p>
        </w:tc>
      </w:tr>
      <w:tr w:rsidR="00CC1618" w14:paraId="76F1F7DA" w14:textId="77777777" w:rsidTr="00203A5B">
        <w:trPr>
          <w:trHeight w:val="315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614FC9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Comorbid cardiac valve disorder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E82DF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2.53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2F8F56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1.04_6.15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9AA67D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0.04</w:t>
            </w:r>
          </w:p>
        </w:tc>
      </w:tr>
      <w:tr w:rsidR="00CC1618" w14:paraId="2A163578" w14:textId="77777777" w:rsidTr="00203A5B">
        <w:trPr>
          <w:trHeight w:val="315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BE5C82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Comorbid congestive heart failure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FB9E0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2.45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BA8743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1.58-3.79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E3FAB8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&lt;0.001</w:t>
            </w:r>
          </w:p>
        </w:tc>
      </w:tr>
      <w:tr w:rsidR="00CC1618" w14:paraId="6ACC66FC" w14:textId="77777777" w:rsidTr="00203A5B">
        <w:trPr>
          <w:trHeight w:val="315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0E0128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Comorbid cardiac arrhythmia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4F16BB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2.24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27A414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1.32-3.80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CE6A2F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0.003</w:t>
            </w:r>
          </w:p>
        </w:tc>
      </w:tr>
      <w:tr w:rsidR="00CC1618" w14:paraId="00E9A6C0" w14:textId="77777777" w:rsidTr="00203A5B">
        <w:trPr>
          <w:trHeight w:val="315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97D08D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Isolated traumatic brain injury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288690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2.24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BF3E3E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1.13_4.43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C3BAFF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0.02</w:t>
            </w:r>
          </w:p>
        </w:tc>
      </w:tr>
      <w:tr w:rsidR="00CC1618" w14:paraId="6FE25BCB" w14:textId="77777777" w:rsidTr="00203A5B">
        <w:trPr>
          <w:trHeight w:val="315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AECC9F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Any traumatic brain injury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CC46F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1.95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389F0B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1.43-2.66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3A3A7B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&lt;0.001</w:t>
            </w:r>
          </w:p>
        </w:tc>
      </w:tr>
      <w:tr w:rsidR="00CC1618" w14:paraId="0B8EECC0" w14:textId="77777777" w:rsidTr="00203A5B">
        <w:trPr>
          <w:trHeight w:val="315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87627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Male gender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09964D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1.74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D7E388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1.17-2.58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40D743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0.006</w:t>
            </w:r>
          </w:p>
        </w:tc>
      </w:tr>
      <w:tr w:rsidR="00CC1618" w14:paraId="2123AF9C" w14:textId="77777777" w:rsidTr="00203A5B">
        <w:trPr>
          <w:trHeight w:val="315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1D3933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Trauma Mortality Prediction Model score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281CE3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1.58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E9159F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1.27-1.95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EF307C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&lt;0.001</w:t>
            </w:r>
          </w:p>
        </w:tc>
      </w:tr>
      <w:tr w:rsidR="00CC1618" w14:paraId="6D07EAF9" w14:textId="77777777" w:rsidTr="00203A5B">
        <w:trPr>
          <w:trHeight w:val="315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14ADBD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Age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5A2319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1 .04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013E3D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1.02-1.05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BD80ED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&lt;0.001</w:t>
            </w:r>
          </w:p>
        </w:tc>
      </w:tr>
      <w:tr w:rsidR="00CC1618" w14:paraId="1347E5A8" w14:textId="77777777" w:rsidTr="00203A5B">
        <w:trPr>
          <w:trHeight w:val="315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CE3B5B" w14:textId="77777777" w:rsidR="00CC1618" w:rsidRDefault="00232E3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Glasgow Coma Scale score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C7F749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0.76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669493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0.71-0.82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5E71FF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&lt;0.001</w:t>
            </w:r>
          </w:p>
        </w:tc>
      </w:tr>
    </w:tbl>
    <w:p w14:paraId="48422357" w14:textId="77777777" w:rsidR="00CC1618" w:rsidRDefault="00CC1618"/>
    <w:p w14:paraId="7E1821CC" w14:textId="77777777" w:rsidR="00CC1618" w:rsidRDefault="00CC1618">
      <w:pPr>
        <w:sectPr w:rsidR="00CC1618">
          <w:pgSz w:w="11906" w:h="16838"/>
          <w:pgMar w:top="1133" w:right="1133" w:bottom="1133" w:left="1133" w:header="720" w:footer="720" w:gutter="0"/>
          <w:cols w:space="720"/>
        </w:sectPr>
      </w:pPr>
    </w:p>
    <w:p w14:paraId="7ED595E7" w14:textId="77777777" w:rsidR="00CC1618" w:rsidRDefault="00CC1618"/>
    <w:tbl>
      <w:tblPr>
        <w:tblStyle w:val="ac"/>
        <w:tblW w:w="83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1500"/>
        <w:gridCol w:w="1500"/>
        <w:gridCol w:w="1500"/>
      </w:tblGrid>
      <w:tr w:rsidR="00CC1618" w14:paraId="7B376902" w14:textId="77777777" w:rsidTr="00203A5B">
        <w:trPr>
          <w:trHeight w:val="315"/>
          <w:jc w:val="center"/>
        </w:trPr>
        <w:tc>
          <w:tcPr>
            <w:tcW w:w="8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E4B66D" w14:textId="77777777" w:rsidR="00CC1618" w:rsidRDefault="00232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Table S4.3: Multiple regression model from </w:t>
            </w:r>
            <w:proofErr w:type="spellStart"/>
            <w:r>
              <w:rPr>
                <w:b/>
                <w:sz w:val="16"/>
                <w:szCs w:val="16"/>
              </w:rPr>
              <w:t>Roubik</w:t>
            </w:r>
            <w:proofErr w:type="spellEnd"/>
            <w:r>
              <w:rPr>
                <w:b/>
                <w:sz w:val="16"/>
                <w:szCs w:val="16"/>
              </w:rPr>
              <w:t xml:space="preserve"> 2017</w:t>
            </w:r>
          </w:p>
        </w:tc>
      </w:tr>
      <w:tr w:rsidR="00CC1618" w14:paraId="43CA4926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C463C5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Calibration and discrimination</w:t>
            </w:r>
          </w:p>
        </w:tc>
        <w:tc>
          <w:tcPr>
            <w:tcW w:w="4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3441B9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AUROC 0.90</w:t>
            </w:r>
          </w:p>
        </w:tc>
      </w:tr>
      <w:tr w:rsidR="00CC1618" w14:paraId="0CCCCDC6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502B5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5B3AB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Odds Ratio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6A7FC4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95% CI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B4311C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CC1618" w14:paraId="423B56AE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FEED2A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not Resuscitate (DNR) status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DD1BA0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79D23F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(3.66-3.98)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837DF4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&lt;0.001</w:t>
            </w:r>
          </w:p>
          <w:p w14:paraId="7D839C8E" w14:textId="77777777" w:rsidR="00CC1618" w:rsidRDefault="00CC1618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14:paraId="3D19E627" w14:textId="77777777" w:rsidR="00CC1618" w:rsidRDefault="00CC1618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14:paraId="259F35AB" w14:textId="77777777" w:rsidR="00CC1618" w:rsidRDefault="00CC1618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14:paraId="67DAB03E" w14:textId="77777777" w:rsidR="00CC1618" w:rsidRDefault="00CC1618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14:paraId="4BA83388" w14:textId="77777777" w:rsidR="00CC1618" w:rsidRDefault="00CC1618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14:paraId="0ECDCFA9" w14:textId="77777777" w:rsidR="00CC1618" w:rsidRDefault="00CC1618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14:paraId="08A4456A" w14:textId="77777777" w:rsidR="00CC1618" w:rsidRDefault="00CC1618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14:paraId="21079DC5" w14:textId="77777777" w:rsidR="00CC1618" w:rsidRDefault="00CC1618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14:paraId="3C3C5320" w14:textId="77777777" w:rsidR="00CC1618" w:rsidRDefault="00CC1618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14:paraId="714DD42E" w14:textId="77777777" w:rsidR="00CC1618" w:rsidRDefault="00CC1618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14:paraId="51D1D595" w14:textId="77777777" w:rsidR="00CC1618" w:rsidRDefault="00CC1618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14:paraId="79FB8C1E" w14:textId="77777777" w:rsidR="00CC1618" w:rsidRDefault="00CC1618">
            <w:pPr>
              <w:widowControl w:val="0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CC1618" w14:paraId="77DDCC60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92DBF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Disseminated cancer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CDEBD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59D74C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(2.71-3.11)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541E4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231C548F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F66528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Ascites within 30 days/cirrhosis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9360C3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3D947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(2.59-3.23)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E35AB9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3356797D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4B46A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Chemotherapy for cancer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9FE68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D1A297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(1.72-2.57)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574748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262291FC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7F6C35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Currently requiring dialysis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66DEC9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7D7AF8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(1.67-1.92)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E34D8B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16EF8B70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4724C6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Congestive heart failure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A8A90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82667D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(1.58-1.69)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A2C1BE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0A90A954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C51370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Chronic respiratory disease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87A207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5FC794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(1.33-1.46)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7834DB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060A0C11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BCA0FA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Bleeding disorder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789021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3E1EBF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(1.20-1.28)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2E80A6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740239CB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7D9EA6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Hypertension requiring medication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C222B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0.86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F7999F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(0.84-0.88)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CD45FA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5F3C10A4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026DF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Cervical spine fracture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8FF1E2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3F3FC6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(1.36-1.49)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7E4C25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39AD987B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73E52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Thoracic spine fracture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FE81FE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CDBB93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(1.31-1.50)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A1C91F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00556FA2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F87F1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Sacral/coccyx fracture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CEF98C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485743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(1.18-1.49)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48724B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1A01242E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A838CB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Lumbar spine fracture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97C4A0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5F002D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(1.20-1.41)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966DDB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26588D7C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5C656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Lower extremity fracture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6B1F9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868A66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(1.15-1.28)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786F75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27F56D40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388772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Shoulder/upper arm injury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B0D922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1.17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6DA73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(1.12-1.23)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7333C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75F4EB66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6CEBD2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Hip injury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9F9A47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1.17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EE581B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(1.11-1.23)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B6D421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0CA5616A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F79A2B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Brain injury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25609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0B7F1F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(1.06-1.15)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1898A9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273B6953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96E711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Chest injury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2B3C90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BF1B6E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(1.03-1.13)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8C30DE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</w:tr>
      <w:tr w:rsidR="00CC1618" w14:paraId="012428CD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4633B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Facial fracture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9F8C40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D44779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(0.86-0.95)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C6A6BB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&lt;0.001</w:t>
            </w:r>
          </w:p>
          <w:p w14:paraId="3BF70922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  <w:p w14:paraId="0F2635D8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  <w:p w14:paraId="47EC66CD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  <w:p w14:paraId="53309D50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  <w:p w14:paraId="0B0FF3E9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  <w:p w14:paraId="7E0CF00E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  <w:p w14:paraId="5162550D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  <w:p w14:paraId="4465B940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  <w:p w14:paraId="0D80AAD0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  <w:p w14:paraId="1C25A9E2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  <w:p w14:paraId="6BF2FF0B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  <w:p w14:paraId="642F2ED2" w14:textId="77777777" w:rsidR="00CC1618" w:rsidRDefault="00CC1618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C1618" w14:paraId="7F5CF408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DF346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Skull fracture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AA41D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66D01D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(0.84-0.94)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4AD1BD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192483B1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0AD5D6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ICU admission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BA4131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63D576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(4.10-4.36)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0CF7B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3D7734DD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DCE742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Glasgow Coma Scale &lt;15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A08D2B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547B51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(2.84-3.00)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BC451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26E7E3D6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33C93F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Systolic blood pressure (mmHg)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BC29E3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FC58C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(1.69-1.98)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A9521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10268880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1C6235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Transfer from outside hospital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F06073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B0E368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(0.80-0.85)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0FF7E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4EA09FCA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4F5691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Alcohol on board on </w:t>
            </w:r>
            <w:proofErr w:type="spellStart"/>
            <w:r>
              <w:rPr>
                <w:sz w:val="16"/>
                <w:szCs w:val="16"/>
              </w:rPr>
              <w:t>amival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B8B7C4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6EB1CC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(0.66-0.76)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A79F8D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A5A06" w14:paraId="34B08BEA" w14:textId="77777777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1EF1BC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Cardiac arrest with cardiopulmonary resuscitation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2C7B9C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25.74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8EE000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(23.54-28.15)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41FB0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259DB219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F455D7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Stroke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8DFE08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576C86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(3.22-4.08)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EB0EA6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0B4805EE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C640F9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Severe sepsis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B76CC5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3.16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D49303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(2.87-3.48)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18C4F1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4409FFD3" w14:textId="77777777" w:rsidTr="00203A5B">
        <w:trPr>
          <w:trHeight w:val="420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82DAA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lung injury/acute respiratory distress syndrome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9CB80D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4DAB74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(2.89-3.33)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76E2A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19344535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A80ED4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kidney injury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4DB84E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2.66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A44148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(2.49-2.85)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6942CC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155694DC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4FC578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Myocardial infarction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573D72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DD28BE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(2.22-2.66)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70AAD5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4928AC30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99698E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Unplanned intubation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7337D0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310E7D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(2.13-2.52)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05A8C6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1317FC67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29BBC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Pulmonary embolism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D3D29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201AC5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(1.86-2.44)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AFDF58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083E9822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3AAF32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Pneumonia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5FD858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FB973C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(1.78-1.98)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E5CEE3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10A3E466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5F16A2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Drug/alcohol withdrawal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F42D3A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77E4E2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(0.37-0.51)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9491A2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00668E86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7DC9C9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B30EB8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8757E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(0.87-1.01)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D05C03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0.09</w:t>
            </w:r>
          </w:p>
        </w:tc>
      </w:tr>
      <w:tr w:rsidR="00CC1618" w14:paraId="037CB99E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65D54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757A0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1983F1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(0.77-0.88)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E7A732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&lt;0.001</w:t>
            </w:r>
          </w:p>
          <w:p w14:paraId="5D05D931" w14:textId="77777777" w:rsidR="00CC1618" w:rsidRDefault="00CC1618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14:paraId="446A1733" w14:textId="77777777" w:rsidR="00CC1618" w:rsidRDefault="00CC1618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14:paraId="3508D6AC" w14:textId="77777777" w:rsidR="00CC1618" w:rsidRDefault="00CC1618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14:paraId="2F20417A" w14:textId="77777777" w:rsidR="00CC1618" w:rsidRDefault="00CC1618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C1618" w14:paraId="1D89B2E3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E9A322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44D28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B0D065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(0.75-0.86)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379CDE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2EC1E333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A077D2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218676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30282C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(0.68-0.78)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1E884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1E657A2C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35EDCC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F095E2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B2D2B9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(0.64-0.74)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4AD1F5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0EF947B6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CBF7A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1A8ED4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616E1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(0.61-0.69)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08BAF5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CC1618" w14:paraId="5AF06D04" w14:textId="77777777" w:rsidTr="00203A5B">
        <w:trPr>
          <w:trHeight w:val="315"/>
          <w:jc w:val="center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0CA84" w14:textId="77777777" w:rsidR="00CC1618" w:rsidRDefault="00232E39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A5E2AD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0.67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F5CD94" w14:textId="77777777" w:rsidR="00CC1618" w:rsidRDefault="00232E39">
            <w:pPr>
              <w:widowControl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(0.63-0.72)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DC9296" w14:textId="77777777" w:rsidR="00CC1618" w:rsidRDefault="00CC1618">
            <w:pPr>
              <w:widowControl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</w:tbl>
    <w:p w14:paraId="54931B34" w14:textId="3E7E6892" w:rsidR="003776B0" w:rsidRDefault="003776B0"/>
    <w:p w14:paraId="127E7924" w14:textId="77777777" w:rsidR="003776B0" w:rsidRDefault="003776B0">
      <w:r>
        <w:br w:type="page"/>
      </w:r>
    </w:p>
    <w:p w14:paraId="18FA143A" w14:textId="77777777" w:rsidR="003776B0" w:rsidRDefault="003776B0" w:rsidP="003776B0">
      <w:pPr>
        <w:pStyle w:val="Heading1"/>
      </w:pPr>
      <w:r>
        <w:lastRenderedPageBreak/>
        <w:t>Appendix 4: Tables Including State Trauma Centre</w:t>
      </w:r>
    </w:p>
    <w:tbl>
      <w:tblPr>
        <w:tblStyle w:val="a2"/>
        <w:tblW w:w="8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4"/>
        <w:gridCol w:w="1820"/>
        <w:gridCol w:w="2229"/>
        <w:gridCol w:w="3217"/>
      </w:tblGrid>
      <w:tr w:rsidR="003776B0" w14:paraId="4797D7A3" w14:textId="77777777" w:rsidTr="00203A5B">
        <w:trPr>
          <w:trHeight w:val="313"/>
          <w:jc w:val="center"/>
        </w:trPr>
        <w:tc>
          <w:tcPr>
            <w:tcW w:w="860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A6BF" w14:textId="77777777" w:rsidR="003776B0" w:rsidRDefault="003776B0" w:rsidP="00A066EC">
            <w:pPr>
              <w:pStyle w:val="Heading3"/>
              <w:widowControl w:val="0"/>
            </w:pPr>
            <w:r>
              <w:t>Table 4: Mortality in trauma centres compared to non-trauma centres</w:t>
            </w:r>
          </w:p>
        </w:tc>
      </w:tr>
      <w:tr w:rsidR="003776B0" w14:paraId="2D475953" w14:textId="77777777" w:rsidTr="00203A5B">
        <w:trPr>
          <w:trHeight w:val="348"/>
          <w:jc w:val="center"/>
        </w:trPr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516C" w14:textId="77777777" w:rsidR="003776B0" w:rsidRDefault="003776B0" w:rsidP="00A066EC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</w:t>
            </w: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86178" w14:textId="77777777" w:rsidR="003776B0" w:rsidRDefault="003776B0" w:rsidP="00A066EC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Trauma centre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00C24" w14:textId="77777777" w:rsidR="003776B0" w:rsidRDefault="003776B0" w:rsidP="00A066EC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Unadjusted Mortality</w:t>
            </w:r>
          </w:p>
          <w:p w14:paraId="443E88DC" w14:textId="77777777" w:rsidR="003776B0" w:rsidRDefault="003776B0" w:rsidP="00A066EC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(%)</w:t>
            </w:r>
          </w:p>
        </w:tc>
        <w:tc>
          <w:tcPr>
            <w:tcW w:w="3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3A36" w14:textId="77777777" w:rsidR="003776B0" w:rsidRDefault="003776B0" w:rsidP="00A066EC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Adjusted Comparison for Mortality</w:t>
            </w:r>
          </w:p>
          <w:p w14:paraId="7F66FEBB" w14:textId="77777777" w:rsidR="003776B0" w:rsidRDefault="003776B0" w:rsidP="00A066EC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statistic (95% CI)</w:t>
            </w:r>
          </w:p>
        </w:tc>
      </w:tr>
      <w:tr w:rsidR="003776B0" w14:paraId="5037D7C7" w14:textId="77777777" w:rsidTr="00203A5B">
        <w:trPr>
          <w:trHeight w:val="298"/>
          <w:jc w:val="center"/>
        </w:trPr>
        <w:tc>
          <w:tcPr>
            <w:tcW w:w="13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A95B4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</w:t>
            </w:r>
          </w:p>
          <w:p w14:paraId="538DD7FB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14:paraId="03A39DDE" w14:textId="77777777" w:rsidR="003776B0" w:rsidRDefault="004D1ACB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hyperlink r:id="rId11">
              <w:r w:rsidR="003776B0">
                <w:t>(30)</w:t>
              </w:r>
            </w:hyperlink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BED6B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ACS 1 &amp; 2</w:t>
            </w:r>
          </w:p>
        </w:tc>
        <w:tc>
          <w:tcPr>
            <w:tcW w:w="222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FC50" w14:textId="77777777" w:rsidR="003776B0" w:rsidRDefault="003776B0" w:rsidP="00A066EC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</w:p>
          <w:p w14:paraId="5E7F45C1" w14:textId="77777777" w:rsidR="003776B0" w:rsidRDefault="003776B0" w:rsidP="00A066EC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NR*</w:t>
            </w:r>
          </w:p>
        </w:tc>
        <w:tc>
          <w:tcPr>
            <w:tcW w:w="3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3DBE6" w14:textId="77777777" w:rsidR="003776B0" w:rsidRDefault="003776B0" w:rsidP="00A066EC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AOR 0.91 (0.80-1.04)</w:t>
            </w:r>
          </w:p>
        </w:tc>
      </w:tr>
      <w:tr w:rsidR="003776B0" w14:paraId="4D99B023" w14:textId="77777777" w:rsidTr="00203A5B">
        <w:trPr>
          <w:trHeight w:val="298"/>
          <w:jc w:val="center"/>
        </w:trPr>
        <w:tc>
          <w:tcPr>
            <w:tcW w:w="13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DC33D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7BBBF" w14:textId="77777777" w:rsidR="003776B0" w:rsidRDefault="003776B0" w:rsidP="00A066EC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ACS 3 &amp; 4</w:t>
            </w:r>
          </w:p>
        </w:tc>
        <w:tc>
          <w:tcPr>
            <w:tcW w:w="22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A7E41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A64CB" w14:textId="77777777" w:rsidR="003776B0" w:rsidRDefault="003776B0" w:rsidP="00A066EC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standard</w:t>
            </w:r>
          </w:p>
        </w:tc>
      </w:tr>
      <w:tr w:rsidR="003776B0" w14:paraId="305D6291" w14:textId="77777777" w:rsidTr="00203A5B">
        <w:trPr>
          <w:trHeight w:val="298"/>
          <w:jc w:val="center"/>
        </w:trPr>
        <w:tc>
          <w:tcPr>
            <w:tcW w:w="13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71A3D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</w:t>
            </w:r>
          </w:p>
          <w:p w14:paraId="578662BC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  <w:p w14:paraId="5986B890" w14:textId="77777777" w:rsidR="003776B0" w:rsidRDefault="004D1ACB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hyperlink r:id="rId12">
              <w:r w:rsidR="003776B0">
                <w:t>(32)</w:t>
              </w:r>
            </w:hyperlink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3463B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ACS 1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F7B7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(6%)</w:t>
            </w:r>
          </w:p>
        </w:tc>
        <w:tc>
          <w:tcPr>
            <w:tcW w:w="3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0D663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AOR 0.71 (0.56-0.91)</w:t>
            </w:r>
          </w:p>
        </w:tc>
      </w:tr>
      <w:tr w:rsidR="003776B0" w14:paraId="4496B0D3" w14:textId="77777777" w:rsidTr="00203A5B">
        <w:trPr>
          <w:trHeight w:val="298"/>
          <w:jc w:val="center"/>
        </w:trPr>
        <w:tc>
          <w:tcPr>
            <w:tcW w:w="13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B1CE9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CE05" w14:textId="77777777" w:rsidR="003776B0" w:rsidRDefault="003776B0" w:rsidP="00A066EC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ACS 2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C5234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(3.1%)</w:t>
            </w:r>
          </w:p>
        </w:tc>
        <w:tc>
          <w:tcPr>
            <w:tcW w:w="3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AA487" w14:textId="77777777" w:rsidR="003776B0" w:rsidRDefault="003776B0" w:rsidP="00A066EC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AOR 1.17 (0.90 - 1.51)</w:t>
            </w:r>
          </w:p>
        </w:tc>
      </w:tr>
      <w:tr w:rsidR="003776B0" w14:paraId="26D5BA0F" w14:textId="77777777" w:rsidTr="00203A5B">
        <w:trPr>
          <w:trHeight w:val="298"/>
          <w:jc w:val="center"/>
        </w:trPr>
        <w:tc>
          <w:tcPr>
            <w:tcW w:w="13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A6A10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3D8BA" w14:textId="77777777" w:rsidR="003776B0" w:rsidRDefault="003776B0" w:rsidP="00A066EC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ACS 3 &amp; 4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E4D83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(1.1%)</w:t>
            </w:r>
          </w:p>
        </w:tc>
        <w:tc>
          <w:tcPr>
            <w:tcW w:w="3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4A78" w14:textId="77777777" w:rsidR="003776B0" w:rsidRDefault="003776B0" w:rsidP="00A066EC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AOR 1.22 (0.90 - 1.66)</w:t>
            </w:r>
          </w:p>
        </w:tc>
      </w:tr>
      <w:tr w:rsidR="003776B0" w14:paraId="3EB81ED2" w14:textId="77777777" w:rsidTr="00203A5B">
        <w:trPr>
          <w:trHeight w:val="298"/>
          <w:jc w:val="center"/>
        </w:trPr>
        <w:tc>
          <w:tcPr>
            <w:tcW w:w="13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F8A78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Roubik</w:t>
            </w:r>
            <w:proofErr w:type="spellEnd"/>
          </w:p>
          <w:p w14:paraId="36800033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14:paraId="67947FDD" w14:textId="77777777" w:rsidR="003776B0" w:rsidRDefault="004D1ACB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hyperlink r:id="rId13">
              <w:r w:rsidR="003776B0">
                <w:t>(33)</w:t>
              </w:r>
            </w:hyperlink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A2B3C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ACS 1 &amp; 2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9707F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22,382 (4.45%)</w:t>
            </w:r>
          </w:p>
        </w:tc>
        <w:tc>
          <w:tcPr>
            <w:tcW w:w="3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D677E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O:E</w:t>
            </w:r>
            <w:proofErr w:type="gramEnd"/>
            <w:r>
              <w:rPr>
                <w:sz w:val="20"/>
                <w:szCs w:val="20"/>
              </w:rPr>
              <w:t xml:space="preserve"> 1.001 (1.001-1.002)</w:t>
            </w:r>
          </w:p>
        </w:tc>
      </w:tr>
      <w:tr w:rsidR="003776B0" w14:paraId="5C5DD215" w14:textId="77777777" w:rsidTr="00203A5B">
        <w:trPr>
          <w:trHeight w:val="298"/>
          <w:jc w:val="center"/>
        </w:trPr>
        <w:tc>
          <w:tcPr>
            <w:tcW w:w="13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33428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4C284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1 &amp; 2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70F94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9,122 (4.3%)</w:t>
            </w:r>
          </w:p>
        </w:tc>
        <w:tc>
          <w:tcPr>
            <w:tcW w:w="3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D8180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O:E</w:t>
            </w:r>
            <w:proofErr w:type="gramEnd"/>
            <w:r>
              <w:rPr>
                <w:sz w:val="20"/>
                <w:szCs w:val="20"/>
              </w:rPr>
              <w:t xml:space="preserve"> 0.998 (0.998-0.999)</w:t>
            </w:r>
          </w:p>
        </w:tc>
      </w:tr>
      <w:tr w:rsidR="003776B0" w14:paraId="1E2DFF98" w14:textId="77777777" w:rsidTr="00203A5B">
        <w:trPr>
          <w:trHeight w:val="298"/>
          <w:jc w:val="center"/>
        </w:trPr>
        <w:tc>
          <w:tcPr>
            <w:tcW w:w="13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14D84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78B48" w14:textId="77777777" w:rsidR="003776B0" w:rsidRDefault="003776B0" w:rsidP="00A066EC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ACS 3 &amp; 4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72A30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1,342 (2.54%)</w:t>
            </w:r>
          </w:p>
        </w:tc>
        <w:tc>
          <w:tcPr>
            <w:tcW w:w="3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55E5" w14:textId="77777777" w:rsidR="003776B0" w:rsidRDefault="003776B0" w:rsidP="00A066EC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O:E</w:t>
            </w:r>
            <w:proofErr w:type="gramEnd"/>
            <w:r>
              <w:rPr>
                <w:sz w:val="20"/>
                <w:szCs w:val="20"/>
              </w:rPr>
              <w:t xml:space="preserve"> 0.973 (0.971-0.975)</w:t>
            </w:r>
          </w:p>
        </w:tc>
      </w:tr>
      <w:tr w:rsidR="003776B0" w14:paraId="61F395F1" w14:textId="77777777" w:rsidTr="00203A5B">
        <w:trPr>
          <w:trHeight w:val="298"/>
          <w:jc w:val="center"/>
        </w:trPr>
        <w:tc>
          <w:tcPr>
            <w:tcW w:w="13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3360B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D3D4F" w14:textId="77777777" w:rsidR="003776B0" w:rsidRDefault="003776B0" w:rsidP="00A066EC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3 &amp; 4</w:t>
            </w:r>
          </w:p>
        </w:tc>
        <w:tc>
          <w:tcPr>
            <w:tcW w:w="2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5B61A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1,418 (3.11%)</w:t>
            </w:r>
          </w:p>
        </w:tc>
        <w:tc>
          <w:tcPr>
            <w:tcW w:w="3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7B1FA" w14:textId="77777777" w:rsidR="003776B0" w:rsidRDefault="003776B0" w:rsidP="00A066EC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O:E</w:t>
            </w:r>
            <w:proofErr w:type="gramEnd"/>
            <w:r>
              <w:rPr>
                <w:sz w:val="20"/>
                <w:szCs w:val="20"/>
              </w:rPr>
              <w:t xml:space="preserve"> 1.043 (1.041-1.044)</w:t>
            </w:r>
          </w:p>
        </w:tc>
      </w:tr>
      <w:tr w:rsidR="003776B0" w14:paraId="294380D4" w14:textId="77777777" w:rsidTr="00203A5B">
        <w:trPr>
          <w:trHeight w:val="14"/>
          <w:jc w:val="center"/>
        </w:trPr>
        <w:tc>
          <w:tcPr>
            <w:tcW w:w="8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1B63" w14:textId="77777777" w:rsidR="003776B0" w:rsidRDefault="003776B0" w:rsidP="00A066EC">
            <w:pPr>
              <w:widowControl w:val="0"/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*Author contacted but information not available</w:t>
            </w:r>
          </w:p>
        </w:tc>
      </w:tr>
    </w:tbl>
    <w:p w14:paraId="1DB21305" w14:textId="77777777" w:rsidR="003776B0" w:rsidRPr="007C7201" w:rsidRDefault="003776B0" w:rsidP="003776B0"/>
    <w:p w14:paraId="24CF445D" w14:textId="77777777" w:rsidR="00CC1618" w:rsidRDefault="00CC1618"/>
    <w:sectPr w:rsidR="00CC1618">
      <w:pgSz w:w="11906" w:h="16838"/>
      <w:pgMar w:top="566" w:right="1133" w:bottom="56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0F8F"/>
    <w:multiLevelType w:val="hybridMultilevel"/>
    <w:tmpl w:val="41666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652E"/>
    <w:multiLevelType w:val="multilevel"/>
    <w:tmpl w:val="CABA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87FA5"/>
    <w:multiLevelType w:val="hybridMultilevel"/>
    <w:tmpl w:val="25F48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501F0"/>
    <w:multiLevelType w:val="hybridMultilevel"/>
    <w:tmpl w:val="00924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18"/>
    <w:rsid w:val="00004B11"/>
    <w:rsid w:val="00005F93"/>
    <w:rsid w:val="000A3E4C"/>
    <w:rsid w:val="000D157A"/>
    <w:rsid w:val="000E4E54"/>
    <w:rsid w:val="000F253F"/>
    <w:rsid w:val="000F355D"/>
    <w:rsid w:val="0015681A"/>
    <w:rsid w:val="00176844"/>
    <w:rsid w:val="001B31A3"/>
    <w:rsid w:val="00203A5B"/>
    <w:rsid w:val="00232E39"/>
    <w:rsid w:val="002533C4"/>
    <w:rsid w:val="00284C7A"/>
    <w:rsid w:val="00286FD4"/>
    <w:rsid w:val="0029421E"/>
    <w:rsid w:val="002957D7"/>
    <w:rsid w:val="00295FF4"/>
    <w:rsid w:val="002A35C2"/>
    <w:rsid w:val="002B581B"/>
    <w:rsid w:val="00311795"/>
    <w:rsid w:val="0033696F"/>
    <w:rsid w:val="003379D9"/>
    <w:rsid w:val="00347572"/>
    <w:rsid w:val="003519F8"/>
    <w:rsid w:val="003776B0"/>
    <w:rsid w:val="00386952"/>
    <w:rsid w:val="00391618"/>
    <w:rsid w:val="003C7435"/>
    <w:rsid w:val="003E3B93"/>
    <w:rsid w:val="004249E9"/>
    <w:rsid w:val="004A6F24"/>
    <w:rsid w:val="004B49BC"/>
    <w:rsid w:val="004D1ACB"/>
    <w:rsid w:val="004F667B"/>
    <w:rsid w:val="005A7CFE"/>
    <w:rsid w:val="005D1E48"/>
    <w:rsid w:val="005F6FF4"/>
    <w:rsid w:val="006053CC"/>
    <w:rsid w:val="00633C40"/>
    <w:rsid w:val="006503ED"/>
    <w:rsid w:val="006668A5"/>
    <w:rsid w:val="00726AFF"/>
    <w:rsid w:val="0073139B"/>
    <w:rsid w:val="00751E29"/>
    <w:rsid w:val="007730D2"/>
    <w:rsid w:val="007844B2"/>
    <w:rsid w:val="007C0B8E"/>
    <w:rsid w:val="007C1FDB"/>
    <w:rsid w:val="007C7201"/>
    <w:rsid w:val="007E1D6F"/>
    <w:rsid w:val="00821BD6"/>
    <w:rsid w:val="008335B5"/>
    <w:rsid w:val="00843DE5"/>
    <w:rsid w:val="00853E0E"/>
    <w:rsid w:val="00870E7F"/>
    <w:rsid w:val="00872387"/>
    <w:rsid w:val="00892BFE"/>
    <w:rsid w:val="008D0D85"/>
    <w:rsid w:val="00934F6F"/>
    <w:rsid w:val="009604C1"/>
    <w:rsid w:val="0098060D"/>
    <w:rsid w:val="00980BF4"/>
    <w:rsid w:val="009B376F"/>
    <w:rsid w:val="009E2E2F"/>
    <w:rsid w:val="009F1649"/>
    <w:rsid w:val="00A066EC"/>
    <w:rsid w:val="00A22A18"/>
    <w:rsid w:val="00AA2AE0"/>
    <w:rsid w:val="00AB359F"/>
    <w:rsid w:val="00AB5C7D"/>
    <w:rsid w:val="00AC0060"/>
    <w:rsid w:val="00AD04DE"/>
    <w:rsid w:val="00AD0762"/>
    <w:rsid w:val="00B47E58"/>
    <w:rsid w:val="00B67AF7"/>
    <w:rsid w:val="00B82E2D"/>
    <w:rsid w:val="00B86F47"/>
    <w:rsid w:val="00BB2EF1"/>
    <w:rsid w:val="00C00743"/>
    <w:rsid w:val="00C050C8"/>
    <w:rsid w:val="00C40729"/>
    <w:rsid w:val="00C40857"/>
    <w:rsid w:val="00C65FE1"/>
    <w:rsid w:val="00CA5A06"/>
    <w:rsid w:val="00CC0716"/>
    <w:rsid w:val="00CC1618"/>
    <w:rsid w:val="00D05B29"/>
    <w:rsid w:val="00D36EF9"/>
    <w:rsid w:val="00D54F52"/>
    <w:rsid w:val="00D7567A"/>
    <w:rsid w:val="00DF6875"/>
    <w:rsid w:val="00E06F37"/>
    <w:rsid w:val="00E1206B"/>
    <w:rsid w:val="00E34054"/>
    <w:rsid w:val="00E421F8"/>
    <w:rsid w:val="00E5707C"/>
    <w:rsid w:val="00EA68AC"/>
    <w:rsid w:val="00EC43CB"/>
    <w:rsid w:val="00ED101E"/>
    <w:rsid w:val="00EE6E34"/>
    <w:rsid w:val="00EE770F"/>
    <w:rsid w:val="00F34EBC"/>
    <w:rsid w:val="00FA13DF"/>
    <w:rsid w:val="00FB44C9"/>
    <w:rsid w:val="00FD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47E2"/>
  <w15:docId w15:val="{32666692-23EF-4EA9-87E0-A9C3F727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before="240"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0" w:after="0" w:line="240" w:lineRule="auto"/>
      <w:jc w:val="left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E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FD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17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17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4F6F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6503ED"/>
    <w:pPr>
      <w:tabs>
        <w:tab w:val="left" w:pos="504"/>
      </w:tabs>
      <w:spacing w:line="240" w:lineRule="auto"/>
      <w:ind w:left="504" w:hanging="504"/>
    </w:pPr>
  </w:style>
  <w:style w:type="paragraph" w:styleId="Caption">
    <w:name w:val="caption"/>
    <w:basedOn w:val="Normal"/>
    <w:next w:val="Normal"/>
    <w:uiPriority w:val="35"/>
    <w:unhideWhenUsed/>
    <w:qFormat/>
    <w:rsid w:val="004D1ACB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7684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43D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tero.org/google-docs/?RE2PC0" TargetMode="External"/><Relationship Id="rId13" Type="http://schemas.openxmlformats.org/officeDocument/2006/relationships/hyperlink" Target="https://www.zotero.org/google-docs/?V4KRe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otero.org/google-docs/?ykQOqM" TargetMode="External"/><Relationship Id="rId12" Type="http://schemas.openxmlformats.org/officeDocument/2006/relationships/hyperlink" Target="https://www.zotero.org/google-docs/?jY44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otero.org/google-docs/?kNnrVD" TargetMode="External"/><Relationship Id="rId11" Type="http://schemas.openxmlformats.org/officeDocument/2006/relationships/hyperlink" Target="https://www.zotero.org/google-docs/?w9T2a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otero.org/google-docs/?avehN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otero.org/google-docs/?2qaoL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361D3-F8E0-4614-9E35-1542CECA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Lecky</dc:creator>
  <cp:lastModifiedBy>Michael Tonkins</cp:lastModifiedBy>
  <cp:revision>3</cp:revision>
  <dcterms:created xsi:type="dcterms:W3CDTF">2021-04-19T18:36:00Z</dcterms:created>
  <dcterms:modified xsi:type="dcterms:W3CDTF">2021-04-19T18:37:00Z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id="qu8a9ilr"/&gt;&lt;style id="http://www.zotero.org/styles/vancouver-superscript" locale="en-GB" hasBibliography="1" bibliographyStyleHasBeenSet="1"/&gt;&lt;prefs&gt;&lt;pref name="fieldType" value="Field"/&gt;&lt;pref </vt:lpwstr>
  </property>
  <property fmtid="{D5CDD505-2E9C-101B-9397-08002B2CF9AE}" pid="3" name="ZOTERO_PREF_2">
    <vt:lpwstr>name="automaticJournalAbbreviations" value="true"/&gt;&lt;/prefs&gt;&lt;/data&gt;</vt:lpwstr>
  </property>
</Properties>
</file>