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CE53D" w14:textId="04393E21" w:rsidR="00F56D78" w:rsidRDefault="00CF29B1" w:rsidP="00F56D78">
      <w:pPr>
        <w:pStyle w:val="Heading2"/>
        <w:rPr>
          <w:rFonts w:ascii="Calibri" w:eastAsia="Calibri" w:hAnsi="Calibri" w:cs="Calibri"/>
          <w:color w:val="auto"/>
          <w:sz w:val="22"/>
          <w:szCs w:val="22"/>
        </w:rPr>
      </w:pPr>
      <w:r>
        <w:t>Supplementary Materials</w:t>
      </w:r>
      <w:r w:rsidR="00F56D78">
        <w:t xml:space="preserve">: </w:t>
      </w:r>
      <w:r w:rsidR="00B17774" w:rsidRPr="00B17774">
        <w:rPr>
          <w:rFonts w:ascii="Calibri" w:eastAsia="Calibri" w:hAnsi="Calibri" w:cs="Calibri"/>
          <w:color w:val="auto"/>
          <w:sz w:val="22"/>
          <w:szCs w:val="22"/>
        </w:rPr>
        <w:t>Region-based analysis of rare genomic variants in whole-genome sequencing datasets reveal two novel Alzheimer’s disease-associated genes: DTNB and DLG2</w:t>
      </w:r>
    </w:p>
    <w:p w14:paraId="551805DD" w14:textId="16BB6AC3" w:rsidR="00B17774" w:rsidRDefault="00B17774" w:rsidP="00B17774">
      <w:pPr>
        <w:pStyle w:val="Heading2"/>
      </w:pPr>
      <w:r>
        <w:t>Supplementary figures</w:t>
      </w:r>
    </w:p>
    <w:p w14:paraId="15F62D38" w14:textId="77777777" w:rsidR="00B17774" w:rsidRDefault="00B17774" w:rsidP="00B17774">
      <w:pPr>
        <w:keepNext/>
        <w:pBdr>
          <w:top w:val="nil"/>
          <w:left w:val="nil"/>
          <w:bottom w:val="nil"/>
          <w:right w:val="nil"/>
          <w:between w:val="nil"/>
        </w:pBdr>
        <w:spacing w:after="200" w:line="240" w:lineRule="auto"/>
        <w:rPr>
          <w:i/>
          <w:color w:val="44546A"/>
          <w:sz w:val="18"/>
          <w:szCs w:val="18"/>
        </w:rPr>
      </w:pPr>
      <w:r>
        <w:rPr>
          <w:i/>
          <w:color w:val="44546A"/>
          <w:sz w:val="18"/>
          <w:szCs w:val="18"/>
        </w:rPr>
        <w:t>Supplementary Figure 1: Quantile-quantile plots of rare-variant region-based analysis in the whole genome scan of the family-based discovery dataset.</w:t>
      </w:r>
    </w:p>
    <w:p w14:paraId="2031832E" w14:textId="77777777" w:rsidR="00B17774" w:rsidRDefault="00B17774" w:rsidP="00B17774">
      <w:r>
        <w:rPr>
          <w:noProof/>
        </w:rPr>
        <w:drawing>
          <wp:inline distT="0" distB="0" distL="0" distR="0" wp14:anchorId="2A8DFC7D" wp14:editId="241C0AFF">
            <wp:extent cx="5943600" cy="2967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967990"/>
                    </a:xfrm>
                    <a:prstGeom prst="rect">
                      <a:avLst/>
                    </a:prstGeom>
                    <a:noFill/>
                    <a:ln>
                      <a:noFill/>
                    </a:ln>
                  </pic:spPr>
                </pic:pic>
              </a:graphicData>
            </a:graphic>
          </wp:inline>
        </w:drawing>
      </w:r>
    </w:p>
    <w:p w14:paraId="26823A47" w14:textId="77777777" w:rsidR="00B17774" w:rsidRDefault="00B17774" w:rsidP="00B17774">
      <w:pPr>
        <w:keepNext/>
        <w:pBdr>
          <w:top w:val="nil"/>
          <w:left w:val="nil"/>
          <w:bottom w:val="nil"/>
          <w:right w:val="nil"/>
          <w:between w:val="nil"/>
        </w:pBdr>
        <w:spacing w:after="200" w:line="240" w:lineRule="auto"/>
        <w:rPr>
          <w:i/>
          <w:color w:val="44546A"/>
          <w:sz w:val="18"/>
          <w:szCs w:val="18"/>
        </w:rPr>
      </w:pPr>
      <w:r>
        <w:rPr>
          <w:i/>
          <w:color w:val="44546A"/>
          <w:sz w:val="18"/>
          <w:szCs w:val="18"/>
        </w:rPr>
        <w:t>Supplementary Figure 2: RNA c</w:t>
      </w:r>
      <w:r w:rsidRPr="00B108CE">
        <w:rPr>
          <w:i/>
          <w:color w:val="44546A"/>
          <w:sz w:val="18"/>
          <w:szCs w:val="18"/>
        </w:rPr>
        <w:t xml:space="preserve">onsensus Normalized </w:t>
      </w:r>
      <w:proofErr w:type="spellStart"/>
      <w:r w:rsidRPr="00B108CE">
        <w:rPr>
          <w:i/>
          <w:color w:val="44546A"/>
          <w:sz w:val="18"/>
          <w:szCs w:val="18"/>
        </w:rPr>
        <w:t>eXpression</w:t>
      </w:r>
      <w:proofErr w:type="spellEnd"/>
      <w:r w:rsidRPr="00B108CE">
        <w:rPr>
          <w:i/>
          <w:color w:val="44546A"/>
          <w:sz w:val="18"/>
          <w:szCs w:val="18"/>
        </w:rPr>
        <w:t xml:space="preserve"> (NX) levels for</w:t>
      </w:r>
      <w:r>
        <w:rPr>
          <w:i/>
          <w:color w:val="44546A"/>
          <w:sz w:val="18"/>
          <w:szCs w:val="18"/>
        </w:rPr>
        <w:t xml:space="preserve"> DLG2 in</w:t>
      </w:r>
      <w:r w:rsidRPr="00B108CE">
        <w:rPr>
          <w:i/>
          <w:color w:val="44546A"/>
          <w:sz w:val="18"/>
          <w:szCs w:val="18"/>
        </w:rPr>
        <w:t xml:space="preserve"> 55 tissue types and 6 blood cell types, created by combining the data from the three transcriptomics datasets (HPA, </w:t>
      </w:r>
      <w:proofErr w:type="spellStart"/>
      <w:r w:rsidRPr="00B108CE">
        <w:rPr>
          <w:i/>
          <w:color w:val="44546A"/>
          <w:sz w:val="18"/>
          <w:szCs w:val="18"/>
        </w:rPr>
        <w:t>GTEx</w:t>
      </w:r>
      <w:proofErr w:type="spellEnd"/>
      <w:r w:rsidRPr="00B108CE">
        <w:rPr>
          <w:i/>
          <w:color w:val="44546A"/>
          <w:sz w:val="18"/>
          <w:szCs w:val="18"/>
        </w:rPr>
        <w:t xml:space="preserve"> and FANTOM5)</w:t>
      </w:r>
      <w:r>
        <w:rPr>
          <w:i/>
          <w:color w:val="44546A"/>
          <w:sz w:val="18"/>
          <w:szCs w:val="18"/>
        </w:rPr>
        <w:t>. C</w:t>
      </w:r>
      <w:r w:rsidRPr="00B108CE">
        <w:rPr>
          <w:i/>
          <w:color w:val="44546A"/>
          <w:sz w:val="18"/>
          <w:szCs w:val="18"/>
        </w:rPr>
        <w:t>olor-coding is based on tissue groups, each consisting of tissues with functional features in common</w:t>
      </w:r>
      <w:r>
        <w:rPr>
          <w:i/>
          <w:color w:val="44546A"/>
          <w:sz w:val="18"/>
          <w:szCs w:val="18"/>
        </w:rPr>
        <w:t xml:space="preserve">. Image generated at Human Protein Atlas: </w:t>
      </w:r>
      <w:r w:rsidRPr="00766A07">
        <w:rPr>
          <w:i/>
          <w:color w:val="44546A"/>
          <w:sz w:val="18"/>
          <w:szCs w:val="18"/>
        </w:rPr>
        <w:t>https://www.proteinatlas.org/ENSG00000150672-DLG2/tissue</w:t>
      </w:r>
      <w:r>
        <w:rPr>
          <w:i/>
          <w:color w:val="44546A"/>
          <w:sz w:val="18"/>
          <w:szCs w:val="18"/>
        </w:rPr>
        <w:t>.</w:t>
      </w:r>
    </w:p>
    <w:p w14:paraId="6D0282F7" w14:textId="77777777" w:rsidR="00B17774" w:rsidRDefault="00B17774" w:rsidP="00B17774">
      <w:r>
        <w:rPr>
          <w:noProof/>
        </w:rPr>
        <w:drawing>
          <wp:inline distT="0" distB="0" distL="0" distR="0" wp14:anchorId="62DEAC54" wp14:editId="13860E9A">
            <wp:extent cx="5943600" cy="22072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207260"/>
                    </a:xfrm>
                    <a:prstGeom prst="rect">
                      <a:avLst/>
                    </a:prstGeom>
                    <a:noFill/>
                    <a:ln>
                      <a:noFill/>
                    </a:ln>
                  </pic:spPr>
                </pic:pic>
              </a:graphicData>
            </a:graphic>
          </wp:inline>
        </w:drawing>
      </w:r>
    </w:p>
    <w:p w14:paraId="14674162" w14:textId="77777777" w:rsidR="00B17774" w:rsidRDefault="00B17774" w:rsidP="00B17774">
      <w:pPr>
        <w:keepNext/>
        <w:pBdr>
          <w:top w:val="nil"/>
          <w:left w:val="nil"/>
          <w:bottom w:val="nil"/>
          <w:right w:val="nil"/>
          <w:between w:val="nil"/>
        </w:pBdr>
        <w:spacing w:after="200" w:line="240" w:lineRule="auto"/>
        <w:rPr>
          <w:i/>
          <w:color w:val="44546A"/>
          <w:sz w:val="18"/>
          <w:szCs w:val="18"/>
        </w:rPr>
      </w:pPr>
      <w:r>
        <w:rPr>
          <w:i/>
          <w:color w:val="44546A"/>
          <w:sz w:val="18"/>
          <w:szCs w:val="18"/>
        </w:rPr>
        <w:t>Supplementary Figure 3: RNA c</w:t>
      </w:r>
      <w:r w:rsidRPr="00B108CE">
        <w:rPr>
          <w:i/>
          <w:color w:val="44546A"/>
          <w:sz w:val="18"/>
          <w:szCs w:val="18"/>
        </w:rPr>
        <w:t xml:space="preserve">onsensus Normalized </w:t>
      </w:r>
      <w:proofErr w:type="spellStart"/>
      <w:r w:rsidRPr="00B108CE">
        <w:rPr>
          <w:i/>
          <w:color w:val="44546A"/>
          <w:sz w:val="18"/>
          <w:szCs w:val="18"/>
        </w:rPr>
        <w:t>eXpression</w:t>
      </w:r>
      <w:proofErr w:type="spellEnd"/>
      <w:r w:rsidRPr="00B108CE">
        <w:rPr>
          <w:i/>
          <w:color w:val="44546A"/>
          <w:sz w:val="18"/>
          <w:szCs w:val="18"/>
        </w:rPr>
        <w:t xml:space="preserve"> (NX) levels for</w:t>
      </w:r>
      <w:r>
        <w:rPr>
          <w:i/>
          <w:color w:val="44546A"/>
          <w:sz w:val="18"/>
          <w:szCs w:val="18"/>
        </w:rPr>
        <w:t xml:space="preserve"> DTNB in</w:t>
      </w:r>
      <w:r w:rsidRPr="00B108CE">
        <w:rPr>
          <w:i/>
          <w:color w:val="44546A"/>
          <w:sz w:val="18"/>
          <w:szCs w:val="18"/>
        </w:rPr>
        <w:t xml:space="preserve"> 55 tissue types and 6 blood cell types, created by combining the data from the three transcriptomics datasets (HPA, </w:t>
      </w:r>
      <w:proofErr w:type="spellStart"/>
      <w:r w:rsidRPr="00B108CE">
        <w:rPr>
          <w:i/>
          <w:color w:val="44546A"/>
          <w:sz w:val="18"/>
          <w:szCs w:val="18"/>
        </w:rPr>
        <w:t>GTEx</w:t>
      </w:r>
      <w:proofErr w:type="spellEnd"/>
      <w:r w:rsidRPr="00B108CE">
        <w:rPr>
          <w:i/>
          <w:color w:val="44546A"/>
          <w:sz w:val="18"/>
          <w:szCs w:val="18"/>
        </w:rPr>
        <w:t xml:space="preserve"> and FANTOM5)</w:t>
      </w:r>
      <w:r>
        <w:rPr>
          <w:i/>
          <w:color w:val="44546A"/>
          <w:sz w:val="18"/>
          <w:szCs w:val="18"/>
        </w:rPr>
        <w:t>. C</w:t>
      </w:r>
      <w:r w:rsidRPr="00B108CE">
        <w:rPr>
          <w:i/>
          <w:color w:val="44546A"/>
          <w:sz w:val="18"/>
          <w:szCs w:val="18"/>
        </w:rPr>
        <w:t xml:space="preserve">olor-coding is based on </w:t>
      </w:r>
      <w:r w:rsidRPr="00B108CE">
        <w:rPr>
          <w:i/>
          <w:color w:val="44546A"/>
          <w:sz w:val="18"/>
          <w:szCs w:val="18"/>
        </w:rPr>
        <w:lastRenderedPageBreak/>
        <w:t>tissue groups, each consisting of tissues with functional features in common</w:t>
      </w:r>
      <w:r>
        <w:rPr>
          <w:i/>
          <w:color w:val="44546A"/>
          <w:sz w:val="18"/>
          <w:szCs w:val="18"/>
        </w:rPr>
        <w:t xml:space="preserve">. Image generated at Human Protein Atlas: </w:t>
      </w:r>
      <w:r w:rsidRPr="00766A07">
        <w:rPr>
          <w:i/>
          <w:color w:val="44546A"/>
          <w:sz w:val="18"/>
          <w:szCs w:val="18"/>
        </w:rPr>
        <w:t>https://www.proteinatlas.org/ENSG00000138101-DTNB/tissue</w:t>
      </w:r>
      <w:r>
        <w:rPr>
          <w:i/>
          <w:color w:val="44546A"/>
          <w:sz w:val="18"/>
          <w:szCs w:val="18"/>
        </w:rPr>
        <w:t>.</w:t>
      </w:r>
    </w:p>
    <w:p w14:paraId="5844059F" w14:textId="77777777" w:rsidR="00B17774" w:rsidRDefault="00B17774" w:rsidP="00B17774">
      <w:pPr>
        <w:keepNext/>
        <w:pBdr>
          <w:top w:val="nil"/>
          <w:left w:val="nil"/>
          <w:bottom w:val="nil"/>
          <w:right w:val="nil"/>
          <w:between w:val="nil"/>
        </w:pBdr>
        <w:spacing w:after="200" w:line="240" w:lineRule="auto"/>
        <w:rPr>
          <w:i/>
          <w:color w:val="44546A"/>
          <w:sz w:val="18"/>
          <w:szCs w:val="18"/>
        </w:rPr>
      </w:pPr>
      <w:r>
        <w:rPr>
          <w:noProof/>
        </w:rPr>
        <w:drawing>
          <wp:inline distT="0" distB="0" distL="0" distR="0" wp14:anchorId="18EAD5A2" wp14:editId="0412575C">
            <wp:extent cx="5943600" cy="22085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208530"/>
                    </a:xfrm>
                    <a:prstGeom prst="rect">
                      <a:avLst/>
                    </a:prstGeom>
                    <a:noFill/>
                    <a:ln>
                      <a:noFill/>
                    </a:ln>
                  </pic:spPr>
                </pic:pic>
              </a:graphicData>
            </a:graphic>
          </wp:inline>
        </w:drawing>
      </w:r>
    </w:p>
    <w:p w14:paraId="4498875E" w14:textId="13FD132F" w:rsidR="00B17774" w:rsidRDefault="00B17774" w:rsidP="00B17774">
      <w:pPr>
        <w:rPr>
          <w:i/>
          <w:color w:val="44546A"/>
          <w:sz w:val="18"/>
          <w:szCs w:val="18"/>
        </w:rPr>
      </w:pPr>
      <w:r>
        <w:rPr>
          <w:i/>
          <w:color w:val="44546A"/>
          <w:sz w:val="18"/>
          <w:szCs w:val="18"/>
        </w:rPr>
        <w:t xml:space="preserve">Supplementary Figure 4: </w:t>
      </w:r>
      <w:r w:rsidRPr="00797707">
        <w:rPr>
          <w:i/>
          <w:color w:val="44546A"/>
          <w:sz w:val="18"/>
          <w:szCs w:val="18"/>
        </w:rPr>
        <w:t xml:space="preserve">Direct interaction and co-expression of proteins with DLG2 (red border), channel-associated protein of synapse-110 (chapsyn-110), and DTNB (red border), </w:t>
      </w:r>
      <w:proofErr w:type="spellStart"/>
      <w:r w:rsidRPr="00797707">
        <w:rPr>
          <w:i/>
          <w:color w:val="44546A"/>
          <w:sz w:val="18"/>
          <w:szCs w:val="18"/>
        </w:rPr>
        <w:t>dystrobrevin</w:t>
      </w:r>
      <w:proofErr w:type="spellEnd"/>
      <w:r w:rsidRPr="00797707">
        <w:rPr>
          <w:i/>
          <w:color w:val="44546A"/>
          <w:sz w:val="18"/>
          <w:szCs w:val="18"/>
        </w:rPr>
        <w:t xml:space="preserve"> beta, a component of the dystrophin-associated protein complex. Members of KEGG Alzheimer’s pathway (teal nodes). SNV AD-associated genes identified in </w:t>
      </w:r>
      <w:proofErr w:type="spellStart"/>
      <w:r w:rsidRPr="00797707">
        <w:rPr>
          <w:i/>
          <w:color w:val="44546A"/>
          <w:sz w:val="18"/>
          <w:szCs w:val="18"/>
        </w:rPr>
        <w:t>Prokopenko</w:t>
      </w:r>
      <w:proofErr w:type="spellEnd"/>
      <w:r w:rsidRPr="00797707">
        <w:rPr>
          <w:i/>
          <w:color w:val="44546A"/>
          <w:sz w:val="18"/>
          <w:szCs w:val="18"/>
        </w:rPr>
        <w:t xml:space="preserve"> et al. (green nodes), and/or regional analyses of AD-associated genes (dark blue nodes).  DLG2 and DTNB share interactions with KIF1B, MLC1, and SH3D19</w:t>
      </w:r>
      <w:r>
        <w:rPr>
          <w:i/>
          <w:color w:val="44546A"/>
          <w:sz w:val="18"/>
          <w:szCs w:val="18"/>
        </w:rPr>
        <w:t>.</w:t>
      </w:r>
    </w:p>
    <w:p w14:paraId="6ED59D88" w14:textId="1409601A" w:rsidR="002070FD" w:rsidRDefault="002070FD" w:rsidP="00B17774">
      <w:pPr>
        <w:rPr>
          <w:i/>
          <w:sz w:val="18"/>
          <w:szCs w:val="18"/>
        </w:rPr>
      </w:pPr>
      <w:r>
        <w:rPr>
          <w:noProof/>
          <w:sz w:val="24"/>
          <w:szCs w:val="24"/>
        </w:rPr>
        <w:lastRenderedPageBreak/>
        <w:drawing>
          <wp:inline distT="114300" distB="114300" distL="114300" distR="114300" wp14:anchorId="46B88E80" wp14:editId="500AC3C7">
            <wp:extent cx="5943600" cy="476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4762500"/>
                    </a:xfrm>
                    <a:prstGeom prst="rect">
                      <a:avLst/>
                    </a:prstGeom>
                    <a:ln/>
                  </pic:spPr>
                </pic:pic>
              </a:graphicData>
            </a:graphic>
          </wp:inline>
        </w:drawing>
      </w:r>
    </w:p>
    <w:p w14:paraId="5453917E" w14:textId="779F3384" w:rsidR="00F56D78" w:rsidRDefault="00F56D78" w:rsidP="00F56D78">
      <w:pPr>
        <w:pStyle w:val="Heading2"/>
      </w:pPr>
      <w:r>
        <w:t>Acknowledgments</w:t>
      </w:r>
    </w:p>
    <w:p w14:paraId="24A38A26" w14:textId="77777777" w:rsidR="00B17774" w:rsidRDefault="00B17774" w:rsidP="00B17774">
      <w:pPr>
        <w:rPr>
          <w:color w:val="000000"/>
        </w:rPr>
      </w:pPr>
      <w:r>
        <w:rPr>
          <w:color w:val="000000"/>
        </w:rPr>
        <w:t xml:space="preserve">The authors would like to thank the staff from the National Institute of Mental Health (NIMH) Divisions of Clinical and Treatment Research (DCTR) and Epidemiology and Services Research (DESR), including David Shore, MD, Mary Farmer, MD, MPH, Debra Wynne, MSW, Steven 0. </w:t>
      </w:r>
      <w:proofErr w:type="spellStart"/>
      <w:r>
        <w:rPr>
          <w:color w:val="000000"/>
        </w:rPr>
        <w:t>Moldin</w:t>
      </w:r>
      <w:proofErr w:type="spellEnd"/>
      <w:r>
        <w:rPr>
          <w:color w:val="000000"/>
        </w:rPr>
        <w:t xml:space="preserve">, PhD, Darrell G. </w:t>
      </w:r>
      <w:proofErr w:type="spellStart"/>
      <w:r>
        <w:rPr>
          <w:color w:val="000000"/>
        </w:rPr>
        <w:t>Kirch</w:t>
      </w:r>
      <w:proofErr w:type="spellEnd"/>
      <w:r>
        <w:rPr>
          <w:color w:val="000000"/>
        </w:rPr>
        <w:t xml:space="preserve">, MD (1989-1994), Nancy E. </w:t>
      </w:r>
      <w:proofErr w:type="spellStart"/>
      <w:r>
        <w:rPr>
          <w:color w:val="000000"/>
        </w:rPr>
        <w:t>Maestri</w:t>
      </w:r>
      <w:proofErr w:type="spellEnd"/>
      <w:r>
        <w:rPr>
          <w:color w:val="000000"/>
        </w:rPr>
        <w:t xml:space="preserve">, PhD (1992-1994), William Huber (1989-1995), Pamela Wexler (1995-), and Darrel A. </w:t>
      </w:r>
      <w:proofErr w:type="spellStart"/>
      <w:r>
        <w:rPr>
          <w:color w:val="000000"/>
        </w:rPr>
        <w:t>Regier</w:t>
      </w:r>
      <w:proofErr w:type="spellEnd"/>
      <w:r>
        <w:rPr>
          <w:color w:val="000000"/>
        </w:rPr>
        <w:t>, MD, MPH. They would also like to thank the study staff at all three sites and the data management staff at SRA Technologies, Inc., particularly Cheryl McDonnell, PhD, for the care and attention that they paid to all aspects of the study. The authors are also extremely grateful to the families whose participation made this work possible.</w:t>
      </w:r>
    </w:p>
    <w:p w14:paraId="30F7ACF8" w14:textId="77777777" w:rsidR="00B17774" w:rsidRDefault="00B17774" w:rsidP="00B17774">
      <w:pPr>
        <w:rPr>
          <w:color w:val="000000"/>
        </w:rPr>
      </w:pPr>
      <w:r w:rsidRPr="00087EB3">
        <w:rPr>
          <w:color w:val="000000"/>
        </w:rPr>
        <w:t xml:space="preserve">Data collection and sharing for this project was funded by the Alzheimer's Disease Neuroimaging Initiative (ADNI) (National Institutes of Health Grant U01 AG024904) and DOD ADNI (Department of Defense award </w:t>
      </w:r>
      <w:proofErr w:type="gramStart"/>
      <w:r w:rsidRPr="00087EB3">
        <w:rPr>
          <w:color w:val="000000"/>
        </w:rPr>
        <w:t>number  W</w:t>
      </w:r>
      <w:proofErr w:type="gramEnd"/>
      <w:r w:rsidRPr="00087EB3">
        <w:rPr>
          <w:color w:val="000000"/>
        </w:rPr>
        <w:t xml:space="preserve">81XWH-12-2-0012). ADNI  is  funded  by  the  National  Institute  on  Aging,  the  National  Institute  of Biomedical  Imaging  and  Bioengineering,  and  through  generous  contributions  from  the  following:  AbbVie, Alzheimer’s Association; Alzheimer’s Drug Discovery Foundation; </w:t>
      </w:r>
      <w:proofErr w:type="spellStart"/>
      <w:r w:rsidRPr="00087EB3">
        <w:rPr>
          <w:color w:val="000000"/>
        </w:rPr>
        <w:t>Araclon</w:t>
      </w:r>
      <w:proofErr w:type="spellEnd"/>
      <w:r w:rsidRPr="00087EB3">
        <w:rPr>
          <w:color w:val="000000"/>
        </w:rPr>
        <w:t xml:space="preserve"> Biotech; </w:t>
      </w:r>
      <w:proofErr w:type="spellStart"/>
      <w:r w:rsidRPr="00087EB3">
        <w:rPr>
          <w:color w:val="000000"/>
        </w:rPr>
        <w:t>BioClinica</w:t>
      </w:r>
      <w:proofErr w:type="spellEnd"/>
      <w:r w:rsidRPr="00087EB3">
        <w:rPr>
          <w:color w:val="000000"/>
        </w:rPr>
        <w:t xml:space="preserve">, Inc.; Biogen; Bristol-Myers Squibb Company; </w:t>
      </w:r>
      <w:proofErr w:type="spellStart"/>
      <w:r w:rsidRPr="00087EB3">
        <w:rPr>
          <w:color w:val="000000"/>
        </w:rPr>
        <w:t>CereSpir</w:t>
      </w:r>
      <w:proofErr w:type="spellEnd"/>
      <w:r w:rsidRPr="00087EB3">
        <w:rPr>
          <w:color w:val="000000"/>
        </w:rPr>
        <w:t>, Inc.;</w:t>
      </w:r>
      <w:proofErr w:type="spellStart"/>
      <w:r w:rsidRPr="00087EB3">
        <w:rPr>
          <w:color w:val="000000"/>
        </w:rPr>
        <w:t>Cogstate;Eisai</w:t>
      </w:r>
      <w:proofErr w:type="spellEnd"/>
      <w:r w:rsidRPr="00087EB3">
        <w:rPr>
          <w:color w:val="000000"/>
        </w:rPr>
        <w:t xml:space="preserve"> Inc.; Elan Pharmaceuticals, Inc.; Eli Lilly and Company; </w:t>
      </w:r>
      <w:proofErr w:type="spellStart"/>
      <w:r w:rsidRPr="00087EB3">
        <w:rPr>
          <w:color w:val="000000"/>
        </w:rPr>
        <w:t>EuroImmun</w:t>
      </w:r>
      <w:proofErr w:type="spellEnd"/>
      <w:r w:rsidRPr="00087EB3">
        <w:rPr>
          <w:color w:val="000000"/>
        </w:rPr>
        <w:t xml:space="preserve">; F. Hoffmann-La Roche Ltd and its affiliated company Genentech, Inc.; </w:t>
      </w:r>
      <w:proofErr w:type="spellStart"/>
      <w:r w:rsidRPr="00087EB3">
        <w:rPr>
          <w:color w:val="000000"/>
        </w:rPr>
        <w:t>Fujirebio</w:t>
      </w:r>
      <w:proofErr w:type="spellEnd"/>
      <w:r w:rsidRPr="00087EB3">
        <w:rPr>
          <w:color w:val="000000"/>
        </w:rPr>
        <w:t xml:space="preserve">; GE Healthcare;  IXICO  Ltd.;  Janssen  </w:t>
      </w:r>
      <w:r w:rsidRPr="00087EB3">
        <w:rPr>
          <w:color w:val="000000"/>
        </w:rPr>
        <w:lastRenderedPageBreak/>
        <w:t>Alzheimer  Immunotherapy  Research  &amp;  Development,  LLC.;  Johnson  &amp; Johnson  Pharmaceutical  Research  &amp;  Development  LLC.;  Lumosity;  Lundbeck;  Merck  &amp;  Co.,  Inc.;  Meso Scale   Diagnostics,   LLC.;</w:t>
      </w:r>
      <w:proofErr w:type="spellStart"/>
      <w:r w:rsidRPr="00087EB3">
        <w:rPr>
          <w:color w:val="000000"/>
        </w:rPr>
        <w:t>NeuroRx</w:t>
      </w:r>
      <w:proofErr w:type="spellEnd"/>
      <w:r w:rsidRPr="00087EB3">
        <w:rPr>
          <w:color w:val="000000"/>
        </w:rPr>
        <w:t xml:space="preserve">   Research;   </w:t>
      </w:r>
      <w:proofErr w:type="spellStart"/>
      <w:r w:rsidRPr="00087EB3">
        <w:rPr>
          <w:color w:val="000000"/>
        </w:rPr>
        <w:t>Neurotrack</w:t>
      </w:r>
      <w:proofErr w:type="spellEnd"/>
      <w:r w:rsidRPr="00087EB3">
        <w:rPr>
          <w:color w:val="000000"/>
        </w:rPr>
        <w:t xml:space="preserve">   </w:t>
      </w:r>
      <w:proofErr w:type="spellStart"/>
      <w:r w:rsidRPr="00087EB3">
        <w:rPr>
          <w:color w:val="000000"/>
        </w:rPr>
        <w:t>Technologies;Novartis</w:t>
      </w:r>
      <w:proofErr w:type="spellEnd"/>
      <w:r w:rsidRPr="00087EB3">
        <w:rPr>
          <w:color w:val="000000"/>
        </w:rPr>
        <w:t xml:space="preserve">   Pharmaceuticals Corporation;  Pfizer  Inc.;  Piramal  Imaging;  </w:t>
      </w:r>
      <w:proofErr w:type="spellStart"/>
      <w:r w:rsidRPr="00087EB3">
        <w:rPr>
          <w:color w:val="000000"/>
        </w:rPr>
        <w:t>Servier</w:t>
      </w:r>
      <w:proofErr w:type="spellEnd"/>
      <w:r w:rsidRPr="00087EB3">
        <w:rPr>
          <w:color w:val="000000"/>
        </w:rPr>
        <w:t xml:space="preserve">;  Takeda Pharmaceutical  Company;  and  Transition </w:t>
      </w:r>
      <w:proofErr w:type="spellStart"/>
      <w:r w:rsidRPr="00087EB3">
        <w:rPr>
          <w:color w:val="000000"/>
        </w:rPr>
        <w:t>Therapeutics.The</w:t>
      </w:r>
      <w:proofErr w:type="spellEnd"/>
      <w:r w:rsidRPr="00087EB3">
        <w:rPr>
          <w:color w:val="000000"/>
        </w:rPr>
        <w:t xml:space="preserve"> Canadian Institutes of Health Research is providing funds to support ADNI clinical sites in Canada. Private sector contributions are facilitated by the Foundation for the National Institutes of Health (www.fnih.org).  </w:t>
      </w:r>
      <w:proofErr w:type="gramStart"/>
      <w:r w:rsidRPr="00087EB3">
        <w:rPr>
          <w:color w:val="000000"/>
        </w:rPr>
        <w:t>The  grantee</w:t>
      </w:r>
      <w:proofErr w:type="gramEnd"/>
      <w:r w:rsidRPr="00087EB3">
        <w:rPr>
          <w:color w:val="000000"/>
        </w:rPr>
        <w:t xml:space="preserve">  organization  is  the  Northern  California  Institute  for  Research  and  Education, and the study is coordinated by the Alzheimer’s Therapeutic Research Institute at the University of Southern California.  </w:t>
      </w:r>
      <w:proofErr w:type="gramStart"/>
      <w:r w:rsidRPr="00087EB3">
        <w:rPr>
          <w:color w:val="000000"/>
        </w:rPr>
        <w:t>ADNI  data</w:t>
      </w:r>
      <w:proofErr w:type="gramEnd"/>
      <w:r w:rsidRPr="00087EB3">
        <w:rPr>
          <w:color w:val="000000"/>
        </w:rPr>
        <w:t xml:space="preserve">  are  disseminated  by  the  Laboratory  for Neuro Imaging at the University of Southern California.</w:t>
      </w:r>
      <w:r>
        <w:rPr>
          <w:color w:val="000000"/>
        </w:rPr>
        <w:t xml:space="preserve"> A complete list of acknowledgements for the use of ADNI dataset can be found here: </w:t>
      </w:r>
      <w:hyperlink r:id="rId10" w:history="1">
        <w:r>
          <w:rPr>
            <w:rStyle w:val="Hyperlink"/>
          </w:rPr>
          <w:t>http://adni.loni.usc.edu/wp-content/uploads/how_to_apply/ADNI_Acknowledgement_List.pdf</w:t>
        </w:r>
      </w:hyperlink>
      <w:r>
        <w:t>.</w:t>
      </w:r>
    </w:p>
    <w:p w14:paraId="28B385C7" w14:textId="77777777" w:rsidR="00B17774" w:rsidRPr="00605E54" w:rsidRDefault="00B17774" w:rsidP="00B17774">
      <w:r w:rsidRPr="00605E54">
        <w:t>Data for this study were prepared, archived, and distributed by the National Institute on Aging Alzheimer’s Disease Data Storage Site (NIAGADS) at the University of Pennsylvania (U24-AG041689), funded by the National Institute on Aging.</w:t>
      </w:r>
    </w:p>
    <w:p w14:paraId="0A1FFB6A" w14:textId="77777777" w:rsidR="00B17774" w:rsidRDefault="00B17774" w:rsidP="00B17774">
      <w:r>
        <w:t xml:space="preserve">The Alzheimer’s Disease Sequencing Project (ADSP) is comprised of two Alzheimer’s Disease (AD) genetics consortia and three National Human Genome Research Institute (NHGRI) funded Large Scale Sequencing and Analysis Centers (LSAC). The two AD genetics consortia are the Alzheimer’s Disease Genetics Consortium (ADGC) funded by NIA (U01 AG032984), and the Cohorts for Heart and Aging Research in Genomic Epidemiology (CHARGE) funded by NIA (R01 AG033193), the National Heart, Lung, and Blood Institute (NHLBI), other National Institute of Health (NIH) institutes and other foreign governmental and non-governmental organizations. The Discovery Phase analysis of sequence data is supported through UF1AG047133 (to Drs. Schellenberg, Farrer, Pericak-Vance, Mayeux, and Haines); U01AG049505 to Dr. Seshadri; U01AG049506 to Dr. Boerwinkle; U01AG049507 to Dr. </w:t>
      </w:r>
      <w:proofErr w:type="spellStart"/>
      <w:r>
        <w:t>Wijsman</w:t>
      </w:r>
      <w:proofErr w:type="spellEnd"/>
      <w:r>
        <w:t xml:space="preserve">; and U01AG049508 to Dr. </w:t>
      </w:r>
      <w:proofErr w:type="spellStart"/>
      <w:r>
        <w:t>Goate</w:t>
      </w:r>
      <w:proofErr w:type="spellEnd"/>
      <w:r>
        <w:t xml:space="preserve"> and the Discovery Extension Phase analysis is supported through U01AG052411 to Dr. </w:t>
      </w:r>
      <w:proofErr w:type="spellStart"/>
      <w:r>
        <w:t>Goate</w:t>
      </w:r>
      <w:proofErr w:type="spellEnd"/>
      <w:r>
        <w:t xml:space="preserve">, U01AG052410 to Dr. Pericak-Vance and U01 AG052409 to Drs. Seshadri and </w:t>
      </w:r>
      <w:proofErr w:type="spellStart"/>
      <w:r>
        <w:t>Fornage</w:t>
      </w:r>
      <w:proofErr w:type="spellEnd"/>
      <w:r>
        <w:t>. Data generation and harmonization in the Follow-up Phases is supported by U54AG052427 (to Drs. Schellenberg and Wang).</w:t>
      </w:r>
    </w:p>
    <w:p w14:paraId="07FCB600" w14:textId="77777777" w:rsidR="00B17774" w:rsidRDefault="00B17774" w:rsidP="00B17774">
      <w:r>
        <w:t xml:space="preserve">The ADGC cohorts include: Adult Changes in Thought (ACT), the Alzheimer’s Disease Centers (ADC), the Chicago Health and Aging Project (CHAP), the Memory and Aging Project (MAP), Mayo Clinic (MAYO), Mayo Parkinson’s Disease controls, University of Miami, the Multi-Institutional Research in Alzheimer’s Genetic Epidemiology Study (MIRAGE), the National Cell Repository for Alzheimer’s Disease (NCRAD), the National Institute on Aging Late Onset Alzheimer's Disease Family Study (NIA-LOAD), the Religious Orders Study (ROS), the Texas Alzheimer’s Research and Care Consortium (TARC), Vanderbilt University/Case Western Reserve University (VAN/CWRU), the Washington Heights-Inwood Columbia Aging Project (WHICAP) and the Washington University Sequencing Project (WUSP), the Columbia University Hispanic- </w:t>
      </w:r>
      <w:proofErr w:type="spellStart"/>
      <w:r>
        <w:t>Estudio</w:t>
      </w:r>
      <w:proofErr w:type="spellEnd"/>
      <w:r>
        <w:t xml:space="preserve"> Familiar de </w:t>
      </w:r>
      <w:proofErr w:type="spellStart"/>
      <w:r>
        <w:t>Influencia</w:t>
      </w:r>
      <w:proofErr w:type="spellEnd"/>
      <w:r>
        <w:t xml:space="preserve"> </w:t>
      </w:r>
      <w:proofErr w:type="spellStart"/>
      <w:r>
        <w:t>Genetica</w:t>
      </w:r>
      <w:proofErr w:type="spellEnd"/>
      <w:r>
        <w:t xml:space="preserve"> de Alzheimer (EFIGA), the University of Toronto (UT), and Genetic Differences (GD).</w:t>
      </w:r>
    </w:p>
    <w:p w14:paraId="04DEE316" w14:textId="77777777" w:rsidR="00B17774" w:rsidRDefault="00B17774" w:rsidP="00B17774">
      <w:r>
        <w:t>The CHARGE cohorts are supported in part by National Heart, Lung, and Blood Institute (NHLBI) infrastructure grant HL105756 (</w:t>
      </w:r>
      <w:proofErr w:type="spellStart"/>
      <w:r>
        <w:t>Psaty</w:t>
      </w:r>
      <w:proofErr w:type="spellEnd"/>
      <w:r>
        <w:t xml:space="preserve">), RC2HL102419 (Boerwinkle) and the neurology working group is supported by the National Institute on Aging (NIA) R01 grant AG033193. The CHARGE cohorts participating in the ADSP include the following: Austrian Stroke Prevention Study (ASPS), ASPS-Family </w:t>
      </w:r>
      <w:r>
        <w:lastRenderedPageBreak/>
        <w:t>study, and the Prospective Dementia Registry-Austria (ASPS/PRODEM-</w:t>
      </w:r>
      <w:proofErr w:type="spellStart"/>
      <w:r>
        <w:t>Aus</w:t>
      </w:r>
      <w:proofErr w:type="spellEnd"/>
      <w:r>
        <w:t xml:space="preserve">), the Atherosclerosis Risk in Communities (ARIC) Study, the Cardiovascular Health Study (CHS), the Erasmus </w:t>
      </w:r>
      <w:proofErr w:type="spellStart"/>
      <w:r>
        <w:t>Rucphen</w:t>
      </w:r>
      <w:proofErr w:type="spellEnd"/>
      <w:r>
        <w:t xml:space="preserve"> Family Study (ERF), the Framingham Heart Study (FHS), and the Rotterdam Study (RS). ASPS is funded by the Austrian Science Fond (FWF) grant number P20545-P05 and P13180 and the Medical University of Graz. The ASPS-Fam is funded by the Austrian Science Fund (FWF) project I904),the EU Joint </w:t>
      </w:r>
      <w:proofErr w:type="spellStart"/>
      <w:r>
        <w:t>Programme</w:t>
      </w:r>
      <w:proofErr w:type="spellEnd"/>
      <w:r>
        <w:t xml:space="preserve"> - Neurodegenerative Disease Research (JPND) in frame of the BRIDGET project (Austria, Ministry of Science) and the Medical University of Graz and the </w:t>
      </w:r>
      <w:proofErr w:type="spellStart"/>
      <w:r>
        <w:t>Steiermärkische</w:t>
      </w:r>
      <w:proofErr w:type="spellEnd"/>
      <w:r>
        <w:t xml:space="preserve"> </w:t>
      </w:r>
      <w:proofErr w:type="spellStart"/>
      <w:r>
        <w:t>Krankenanstalten</w:t>
      </w:r>
      <w:proofErr w:type="spellEnd"/>
      <w:r>
        <w:t xml:space="preserve"> Gesellschaft. PRODEM-Austria is supported by the Austrian Research Promotion agency (FFG) (Project No. 827462) and by the Austrian National Bank (Anniversary Fund, project 15435. ARIC research is carried out as a collaborative study supported by NHLBI contracts (HHSN268201100005C, HHSN268201100006C, HHSN268201100007C, HHSN268201100008C, HHSN268201100009C, HHSN268201100010C, HHSN268201100011C, and HHSN268201100012C). Neurocognitive data in ARIC is collected by U01 2U01HL096812, 2U01HL096814, 2U01HL096899, 2U01HL096902, 2U01HL096917 from the NIH (NHLBI, NINDS, NIA and NIDCD), and with previous brain MRI examinations funded by R01-HL70825 from the NHLBI. CHS research was supported by contracts HHSN268201200036C, HHSN268200800007C, N01HC55222, N01HC85079, N01HC85080, N01HC85081, N01HC85082, N01HC85083, N01HC85086, and grants U01HL080295 and U01HL130114 from the NHLBI with additional contribution from the National Institute of Neurological Disorders and Stroke (NINDS). Additional support was provided by R01AG023629, R01AG15928, and R01AG20098 from the NIA. FHS research is supported by NHLBI contracts N01-HC-25195 and HHSN268201500001I. This study was also supported by additional grants from the NIA (R01s AG054076, AG049607 and AG033040 and NINDS (R01 NS017950). The ERF study as a part of EUROSPAN (European Special Populations Research Network) was supported by European Commission FP6 STRP grant number 018947 (LSHG-CT-2006-01947) and also received funding from the European Community's Seventh Framework </w:t>
      </w:r>
      <w:proofErr w:type="spellStart"/>
      <w:r>
        <w:t>Programme</w:t>
      </w:r>
      <w:proofErr w:type="spellEnd"/>
      <w:r>
        <w:t xml:space="preserve"> (FP7/2007-2013)/grant agreement HEALTH-F4-2007-201413 by the European Commission under the </w:t>
      </w:r>
      <w:proofErr w:type="spellStart"/>
      <w:r>
        <w:t>programme</w:t>
      </w:r>
      <w:proofErr w:type="spellEnd"/>
      <w:r>
        <w:t xml:space="preserve"> "Quality of Life and Management of the Living Resources" of 5th Framework </w:t>
      </w:r>
      <w:proofErr w:type="spellStart"/>
      <w:r>
        <w:t>Programme</w:t>
      </w:r>
      <w:proofErr w:type="spellEnd"/>
      <w:r>
        <w:t xml:space="preserve"> (no. QLG2-CT-2002-01254). High-throughput analysis of the ERF data was supported by a joint grant from the Netherlands Organization for Scientific Research and the Russian Foundation for Basic Research (NWO-RFBR 047.017.043). The Rotterdam Study is funded by Erasmus Medical Center and Erasmus University, Rotterdam, the Netherlands Organization for Health Research and Development (</w:t>
      </w:r>
      <w:proofErr w:type="spellStart"/>
      <w:r>
        <w:t>ZonMw</w:t>
      </w:r>
      <w:proofErr w:type="spellEnd"/>
      <w:r>
        <w:t xml:space="preserve">), the Research Institute for Diseases in the Elderly (RIDE), the Ministry of Education, Culture and Science, the Ministry for Health, Welfare and Sports, the European Commission (DG XII), and the municipality of Rotterdam. Genetic data sets are also supported by the Netherlands Organization of Scientific Research NWO Investments (175.010.2005.011, 911-03-012), the Genetic Laboratory of the Department of Internal Medicine, Erasmus MC, the Research Institute for Diseases in the Elderly (014-93-015; RIDE2), and the Netherlands Genomics Initiative (NGI)/Netherlands Organization for Scientific Research (NWO) Netherlands Consortium for Healthy Aging (NCHA), project 050-060-810. All studies are grateful to their participants, </w:t>
      </w:r>
      <w:proofErr w:type="gramStart"/>
      <w:r>
        <w:t>faculty</w:t>
      </w:r>
      <w:proofErr w:type="gramEnd"/>
      <w:r>
        <w:t xml:space="preserve"> and staff. The content of these manuscripts is solely the responsibility of the authors and does not necessarily represent the official views of the National Institutes of Health or the U.S. Department of Health and Human Services.</w:t>
      </w:r>
    </w:p>
    <w:p w14:paraId="75BA8899" w14:textId="77777777" w:rsidR="00B17774" w:rsidRDefault="00B17774" w:rsidP="00B17774">
      <w:r>
        <w:t>The four LSACs are: the Human Genome Sequencing Center at the Baylor College of Medicine (U54 HG003273), the Broad Institute Genome Center (U54HG003067), The American Genome Center at the Uniformed Services University of the Health Sciences (U01AG057659), and the Washington University Genome Institute (U54HG003079).</w:t>
      </w:r>
    </w:p>
    <w:p w14:paraId="10174BF9" w14:textId="77777777" w:rsidR="00B17774" w:rsidRPr="00DC7E7A" w:rsidRDefault="00B17774" w:rsidP="00B17774">
      <w:r>
        <w:lastRenderedPageBreak/>
        <w:t>Biological samples and associated phenotypic data used in primary data analyses were stored at Study Investigators institutions, and at the National Cell Repository for Alzheimer’s Disease (NCRAD, U24AG021886) at Indiana University funded by NIA. Associated Phenotypic Data used in primary and secondary data analyses were provided by Study Investigators, the NIA funded Alzheimer’s Disease Centers (ADCs), and the National Alzheimer’s Coordinating Center (NACC, U01AG016976) and the National Institute on Aging Genetics of Alzheimer’s Disease Data Storage Site (NIAGADS, U24AG041689) at the University of Pennsylvania, funded by NIA, and at the Database for Genotypes and Phenotypes (</w:t>
      </w:r>
      <w:proofErr w:type="spellStart"/>
      <w:r>
        <w:t>dbGaP</w:t>
      </w:r>
      <w:proofErr w:type="spellEnd"/>
      <w:r>
        <w:t>) funded by NIH. This research was supported in part by the Intramural Research Program of the National Institutes of health, National Library of Medicine. Contributors to the Genetic Analysis Data included Study Investigators on projects that were individually funded by NIA, and other NIH institutes, and by private U.S. organizations, or foreign governmental or nongovernmental organizations.</w:t>
      </w:r>
    </w:p>
    <w:p w14:paraId="5D748529" w14:textId="77777777" w:rsidR="00F56D78" w:rsidRDefault="00F56D78" w:rsidP="00CF29B1">
      <w:pPr>
        <w:spacing w:line="480" w:lineRule="auto"/>
      </w:pPr>
    </w:p>
    <w:p w14:paraId="22D3A248" w14:textId="77777777" w:rsidR="002531E7" w:rsidRDefault="00E91F29"/>
    <w:sectPr w:rsidR="002531E7">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12CA1" w14:textId="77777777" w:rsidR="00E91F29" w:rsidRDefault="00E91F29">
      <w:pPr>
        <w:spacing w:after="0" w:line="240" w:lineRule="auto"/>
      </w:pPr>
      <w:r>
        <w:separator/>
      </w:r>
    </w:p>
  </w:endnote>
  <w:endnote w:type="continuationSeparator" w:id="0">
    <w:p w14:paraId="5DF18C14" w14:textId="77777777" w:rsidR="00E91F29" w:rsidRDefault="00E9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F7D30" w14:textId="77777777" w:rsidR="00652CA1" w:rsidRDefault="00CF29B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91CD9" w14:textId="77777777" w:rsidR="00E91F29" w:rsidRDefault="00E91F29">
      <w:pPr>
        <w:spacing w:after="0" w:line="240" w:lineRule="auto"/>
      </w:pPr>
      <w:r>
        <w:separator/>
      </w:r>
    </w:p>
  </w:footnote>
  <w:footnote w:type="continuationSeparator" w:id="0">
    <w:p w14:paraId="1EA56E76" w14:textId="77777777" w:rsidR="00E91F29" w:rsidRDefault="00E91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B1"/>
    <w:rsid w:val="00061C1B"/>
    <w:rsid w:val="002070FD"/>
    <w:rsid w:val="002614EE"/>
    <w:rsid w:val="00314C6C"/>
    <w:rsid w:val="00412EE0"/>
    <w:rsid w:val="005648B7"/>
    <w:rsid w:val="00807A5E"/>
    <w:rsid w:val="00892A5D"/>
    <w:rsid w:val="009643C4"/>
    <w:rsid w:val="00A1633D"/>
    <w:rsid w:val="00A24752"/>
    <w:rsid w:val="00B17774"/>
    <w:rsid w:val="00CB3C60"/>
    <w:rsid w:val="00CF29B1"/>
    <w:rsid w:val="00E2449D"/>
    <w:rsid w:val="00E91F29"/>
    <w:rsid w:val="00ED1AAB"/>
    <w:rsid w:val="00F5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69F4"/>
  <w15:chartTrackingRefBased/>
  <w15:docId w15:val="{26A5798D-DF74-457F-848B-0FFF8317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B1"/>
    <w:rPr>
      <w:rFonts w:ascii="Calibri" w:eastAsia="Calibri" w:hAnsi="Calibri" w:cs="Calibri"/>
    </w:rPr>
  </w:style>
  <w:style w:type="paragraph" w:styleId="Heading1">
    <w:name w:val="heading 1"/>
    <w:basedOn w:val="Normal"/>
    <w:next w:val="Normal"/>
    <w:link w:val="Heading1Char"/>
    <w:uiPriority w:val="9"/>
    <w:qFormat/>
    <w:rsid w:val="00CF2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2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77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F29B1"/>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29B1"/>
    <w:rPr>
      <w:rFonts w:ascii="Calibri" w:eastAsia="Calibri" w:hAnsi="Calibri" w:cs="Calibri"/>
      <w:b/>
      <w:sz w:val="24"/>
      <w:szCs w:val="24"/>
    </w:rPr>
  </w:style>
  <w:style w:type="character" w:customStyle="1" w:styleId="Heading1Char">
    <w:name w:val="Heading 1 Char"/>
    <w:basedOn w:val="DefaultParagraphFont"/>
    <w:link w:val="Heading1"/>
    <w:uiPriority w:val="9"/>
    <w:rsid w:val="00CF29B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F2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B1"/>
    <w:rPr>
      <w:rFonts w:ascii="Segoe UI" w:eastAsia="Calibri" w:hAnsi="Segoe UI" w:cs="Segoe UI"/>
      <w:sz w:val="18"/>
      <w:szCs w:val="18"/>
    </w:rPr>
  </w:style>
  <w:style w:type="character" w:customStyle="1" w:styleId="Heading2Char">
    <w:name w:val="Heading 2 Char"/>
    <w:basedOn w:val="DefaultParagraphFont"/>
    <w:link w:val="Heading2"/>
    <w:uiPriority w:val="9"/>
    <w:rsid w:val="00CF29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56D78"/>
    <w:rPr>
      <w:color w:val="0563C1"/>
      <w:u w:val="single"/>
    </w:rPr>
  </w:style>
  <w:style w:type="character" w:customStyle="1" w:styleId="Heading3Char">
    <w:name w:val="Heading 3 Char"/>
    <w:basedOn w:val="DefaultParagraphFont"/>
    <w:link w:val="Heading3"/>
    <w:uiPriority w:val="9"/>
    <w:rsid w:val="00B177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adni.loni.usc.edu/wp-content/uploads/how_to_apply/ADNI_Acknowledgement_List.pdf"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dmitryprok@outlook.com</dc:creator>
  <cp:keywords/>
  <dc:description/>
  <cp:lastModifiedBy>dmitryprok@outlook.com</cp:lastModifiedBy>
  <cp:revision>9</cp:revision>
  <dcterms:created xsi:type="dcterms:W3CDTF">2020-08-10T15:25:00Z</dcterms:created>
  <dcterms:modified xsi:type="dcterms:W3CDTF">2021-01-26T21:38:00Z</dcterms:modified>
</cp:coreProperties>
</file>