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85CD5" w14:textId="77777777" w:rsidR="0059526F" w:rsidRPr="0019723B" w:rsidRDefault="0059526F" w:rsidP="00A53AD7">
      <w:pPr>
        <w:rPr>
          <w:b/>
        </w:rPr>
      </w:pPr>
      <w:r w:rsidRPr="0019723B">
        <w:t xml:space="preserve">Supporting Information </w:t>
      </w:r>
    </w:p>
    <w:p w14:paraId="6BEE17BD" w14:textId="77777777" w:rsidR="0059526F" w:rsidRPr="0019723B" w:rsidRDefault="0059526F" w:rsidP="0059526F">
      <w:pPr>
        <w:pStyle w:val="Tableofcontents"/>
      </w:pPr>
    </w:p>
    <w:p w14:paraId="2811AEFD" w14:textId="77777777" w:rsidR="001013F4" w:rsidRPr="0019723B" w:rsidRDefault="001013F4" w:rsidP="0059526F">
      <w:pPr>
        <w:pStyle w:val="Tableofcontents"/>
      </w:pPr>
    </w:p>
    <w:p w14:paraId="4972E72B" w14:textId="37D3C148" w:rsidR="0059526F" w:rsidRDefault="00884140" w:rsidP="0059526F">
      <w:pPr>
        <w:pStyle w:val="Title2"/>
        <w:rPr>
          <w:b w:val="0"/>
          <w:color w:val="FF0000"/>
        </w:rPr>
      </w:pPr>
      <w:bookmarkStart w:id="0" w:name="_Hlk69638219"/>
      <w:r w:rsidRPr="00884140">
        <w:t>A Cascaded Droplet Microfluidic Platform Enables High-throughput Single Cell Antibiotic Susceptibility Testing at Scale</w:t>
      </w:r>
    </w:p>
    <w:bookmarkEnd w:id="0"/>
    <w:p w14:paraId="581B2C7E" w14:textId="77777777" w:rsidR="0059526F" w:rsidRPr="0019723B" w:rsidRDefault="0059526F" w:rsidP="0059526F">
      <w:pPr>
        <w:pStyle w:val="Title2"/>
        <w:rPr>
          <w:b w:val="0"/>
        </w:rPr>
      </w:pPr>
    </w:p>
    <w:p w14:paraId="2586CFBE" w14:textId="5589EC95" w:rsidR="0059526F" w:rsidRPr="00A35E4A" w:rsidRDefault="0086073F" w:rsidP="0059526F">
      <w:pPr>
        <w:pStyle w:val="AuthorsFull"/>
      </w:pPr>
      <w:r w:rsidRPr="0086073F">
        <w:t>Pengfei Zhang, Aniruddha Kaushik, Kuangwen Hsieh, Sixuan Li, Shawna Lewis, Kathleen E</w:t>
      </w:r>
      <w:r w:rsidR="006E0210">
        <w:t>.</w:t>
      </w:r>
      <w:r w:rsidRPr="0086073F">
        <w:t xml:space="preserve"> Mach, Joseph C</w:t>
      </w:r>
      <w:r w:rsidR="006E0210">
        <w:t>.</w:t>
      </w:r>
      <w:r w:rsidRPr="0086073F">
        <w:t xml:space="preserve"> Liao, Karen C. Carroll, and Tza-Huei Wang</w:t>
      </w:r>
      <w:r w:rsidR="0059526F" w:rsidRPr="00E2571A">
        <w:t>*</w:t>
      </w:r>
      <w:r w:rsidR="0059526F" w:rsidRPr="00A35E4A">
        <w:t xml:space="preserve"> </w:t>
      </w:r>
    </w:p>
    <w:p w14:paraId="3FDC6A10" w14:textId="77777777" w:rsidR="0059526F" w:rsidRPr="00A35E4A" w:rsidRDefault="0059526F" w:rsidP="0059526F">
      <w:pPr>
        <w:pStyle w:val="Tableofcontents"/>
      </w:pPr>
    </w:p>
    <w:p w14:paraId="05DDD0F1" w14:textId="77777777" w:rsidR="0059526F" w:rsidRPr="0019723B" w:rsidRDefault="0059526F" w:rsidP="0019723B">
      <w:pPr>
        <w:pStyle w:val="Maintext0"/>
      </w:pPr>
    </w:p>
    <w:p w14:paraId="75402BFC" w14:textId="7C7DB7FB" w:rsidR="0086073F" w:rsidRPr="0086073F" w:rsidRDefault="0086073F" w:rsidP="0086073F">
      <w:pPr>
        <w:spacing w:line="480" w:lineRule="auto"/>
        <w:jc w:val="both"/>
        <w:rPr>
          <w:rFonts w:eastAsiaTheme="minorEastAsia"/>
          <w:b/>
          <w:lang w:val="en-US" w:eastAsia="zh-CN"/>
        </w:rPr>
      </w:pPr>
      <w:r w:rsidRPr="0086073F">
        <w:rPr>
          <w:rFonts w:eastAsiaTheme="minorEastAsia"/>
          <w:b/>
          <w:lang w:val="en-US" w:eastAsia="zh-CN"/>
        </w:rPr>
        <w:t>S1. SCALe-AST device design and optimization</w:t>
      </w:r>
    </w:p>
    <w:p w14:paraId="39E449A6" w14:textId="6A91BA62" w:rsidR="0086073F" w:rsidRPr="0086073F" w:rsidRDefault="0086073F" w:rsidP="0086073F">
      <w:pPr>
        <w:spacing w:after="160" w:line="480" w:lineRule="auto"/>
        <w:ind w:firstLine="720"/>
        <w:jc w:val="both"/>
        <w:rPr>
          <w:rFonts w:eastAsiaTheme="minorEastAsia"/>
          <w:bCs/>
          <w:lang w:val="en-US" w:eastAsia="zh-CN"/>
        </w:rPr>
      </w:pPr>
      <w:r w:rsidRPr="0086073F">
        <w:rPr>
          <w:rFonts w:eastAsiaTheme="minorEastAsia"/>
          <w:bCs/>
          <w:lang w:val="en-US" w:eastAsia="zh-CN"/>
        </w:rPr>
        <w:t>SCALe-AST consists of four different layers, including adaptor layer/cover glass, fluidic layer, valve layer and glass substrate (</w:t>
      </w:r>
      <w:r w:rsidRPr="0086073F">
        <w:rPr>
          <w:rFonts w:eastAsiaTheme="minorEastAsia"/>
          <w:b/>
          <w:lang w:val="en-US" w:eastAsia="zh-CN"/>
        </w:rPr>
        <w:t xml:space="preserve">Figure 2, </w:t>
      </w:r>
      <w:r>
        <w:rPr>
          <w:rFonts w:eastAsiaTheme="minorEastAsia"/>
          <w:b/>
          <w:lang w:val="en-US" w:eastAsia="zh-CN"/>
        </w:rPr>
        <w:t>Figure S</w:t>
      </w:r>
      <w:r w:rsidRPr="0086073F">
        <w:rPr>
          <w:rFonts w:eastAsiaTheme="minorEastAsia"/>
          <w:b/>
          <w:lang w:val="en-US" w:eastAsia="zh-CN"/>
        </w:rPr>
        <w:t>12</w:t>
      </w:r>
      <w:r w:rsidRPr="0086073F">
        <w:rPr>
          <w:rFonts w:eastAsiaTheme="minorEastAsia"/>
          <w:bCs/>
          <w:lang w:val="en-US" w:eastAsia="zh-CN"/>
        </w:rPr>
        <w:t>). The ‘push-up’ design, namely that the microvalve layer was put under the fluidic layer, was adopted to avoid direct contact between aqueous solution with hydrophilic glass substrate for minimizing nanoplug and picodroplet sticking. To prevent picodroplet evaporation during on-chip incubation, a thin fluidic layer (~1 mm) was assembled where a cover glass was put on top of the incubation channel to fully seal it. As a comparison, when a thick fluidic layer (~5 mm) was used, we observed severe picodroplet evaporation for initial picodroplet groups even though a same sealing cover glass was bonded on top of the incubation channel (</w:t>
      </w:r>
      <w:r>
        <w:rPr>
          <w:rFonts w:eastAsiaTheme="minorEastAsia"/>
          <w:b/>
          <w:lang w:val="en-US" w:eastAsia="zh-CN"/>
        </w:rPr>
        <w:t>Figure S</w:t>
      </w:r>
      <w:r w:rsidRPr="0086073F">
        <w:rPr>
          <w:rFonts w:eastAsiaTheme="minorEastAsia"/>
          <w:b/>
          <w:lang w:val="en-US" w:eastAsia="zh-CN"/>
        </w:rPr>
        <w:t>13</w:t>
      </w:r>
      <w:r w:rsidRPr="0086073F">
        <w:rPr>
          <w:rFonts w:eastAsiaTheme="minorEastAsia"/>
          <w:bCs/>
          <w:lang w:val="en-US" w:eastAsia="zh-CN"/>
        </w:rPr>
        <w:t xml:space="preserve">). </w:t>
      </w:r>
    </w:p>
    <w:p w14:paraId="05EA3CC0" w14:textId="77777777" w:rsidR="0086073F" w:rsidRPr="0086073F" w:rsidRDefault="0086073F" w:rsidP="0086073F">
      <w:pPr>
        <w:spacing w:after="160" w:line="480" w:lineRule="auto"/>
        <w:ind w:firstLine="720"/>
        <w:jc w:val="both"/>
        <w:rPr>
          <w:rFonts w:eastAsiaTheme="minorEastAsia"/>
          <w:bCs/>
          <w:lang w:val="en-US" w:eastAsia="zh-CN"/>
        </w:rPr>
      </w:pPr>
      <w:r w:rsidRPr="0086073F">
        <w:rPr>
          <w:rFonts w:eastAsiaTheme="minorEastAsia"/>
          <w:bCs/>
          <w:lang w:val="en-US" w:eastAsia="zh-CN"/>
        </w:rPr>
        <w:t xml:space="preserve">Other than the nanoplug mixing channel and flow-focusing junction, the incubation channel height was also optimized to facilitate barrierplug-enabled picodroplet separation. We determined the optimal incubation channel height to be ~60 </w:t>
      </w:r>
      <w:r w:rsidRPr="0086073F">
        <w:rPr>
          <w:rFonts w:ascii="Calibri" w:eastAsiaTheme="minorEastAsia" w:hAnsi="Calibri" w:cs="Calibri"/>
          <w:bCs/>
          <w:lang w:val="en-US" w:eastAsia="zh-CN"/>
        </w:rPr>
        <w:t>µ</w:t>
      </w:r>
      <w:r w:rsidRPr="0086073F">
        <w:rPr>
          <w:rFonts w:eastAsiaTheme="minorEastAsia"/>
          <w:bCs/>
          <w:lang w:val="en-US" w:eastAsia="zh-CN"/>
        </w:rPr>
        <w:t xml:space="preserve">m since we found empirically that barrierplug would be prone to stick to channel wall with a lower incubation channel. </w:t>
      </w:r>
    </w:p>
    <w:p w14:paraId="06294441" w14:textId="77777777" w:rsidR="0086073F" w:rsidRPr="0086073F" w:rsidRDefault="0086073F" w:rsidP="0086073F">
      <w:pPr>
        <w:spacing w:after="160" w:line="480" w:lineRule="auto"/>
        <w:jc w:val="both"/>
        <w:rPr>
          <w:rFonts w:eastAsiaTheme="minorEastAsia"/>
          <w:b/>
          <w:lang w:val="en-US" w:eastAsia="zh-CN"/>
        </w:rPr>
      </w:pPr>
      <w:r w:rsidRPr="0086073F">
        <w:rPr>
          <w:rFonts w:eastAsiaTheme="minorEastAsia"/>
          <w:b/>
          <w:lang w:val="en-US" w:eastAsia="zh-CN"/>
        </w:rPr>
        <w:t>S2. Uniform droplet incubation duration afforded by barrierplugs</w:t>
      </w:r>
    </w:p>
    <w:p w14:paraId="782C356C" w14:textId="74D59653" w:rsidR="0086073F" w:rsidRPr="0086073F" w:rsidRDefault="0086073F" w:rsidP="0086073F">
      <w:pPr>
        <w:spacing w:after="160" w:line="480" w:lineRule="auto"/>
        <w:ind w:firstLine="720"/>
        <w:jc w:val="both"/>
        <w:rPr>
          <w:rFonts w:eastAsiaTheme="minorEastAsia"/>
          <w:bCs/>
          <w:lang w:val="en-US" w:eastAsia="zh-CN"/>
        </w:rPr>
      </w:pPr>
      <w:r w:rsidRPr="0086073F">
        <w:rPr>
          <w:rFonts w:eastAsiaTheme="minorEastAsia"/>
          <w:bCs/>
          <w:lang w:val="en-US" w:eastAsia="zh-CN"/>
        </w:rPr>
        <w:t xml:space="preserve">Based on the fluorescence trace of droplet groups with or without barrierplug separation, we measured the time each individual droplet spends in our integrated incubation channel to characterize the uniformity of droplet incubation time. With no barrierplugs, droplet dispersion resulted in a long trail and caused significant broadening of droplet group signal bandwidth </w:t>
      </w:r>
      <w:r w:rsidRPr="0086073F">
        <w:rPr>
          <w:rFonts w:eastAsiaTheme="minorEastAsia"/>
          <w:bCs/>
          <w:lang w:val="en-US" w:eastAsia="zh-CN"/>
        </w:rPr>
        <w:lastRenderedPageBreak/>
        <w:t>(</w:t>
      </w:r>
      <w:r w:rsidRPr="0086073F">
        <w:rPr>
          <w:rFonts w:eastAsiaTheme="minorEastAsia"/>
          <w:b/>
          <w:lang w:val="en-US" w:eastAsia="zh-CN"/>
        </w:rPr>
        <w:t>Figure 3A</w:t>
      </w:r>
      <w:r w:rsidRPr="0086073F">
        <w:rPr>
          <w:rFonts w:eastAsiaTheme="minorEastAsia"/>
          <w:bCs/>
          <w:lang w:val="en-US" w:eastAsia="zh-CN"/>
        </w:rPr>
        <w:t>). As a result, the coefficient of variation (denoted as CV hereafter, CV = standard deviation / mean) of droplet incubation duration could be as high as 20% even for a short ~20-min incubation channel design (</w:t>
      </w:r>
      <w:r>
        <w:rPr>
          <w:rFonts w:eastAsiaTheme="minorEastAsia"/>
          <w:b/>
          <w:lang w:val="en-US" w:eastAsia="zh-CN"/>
        </w:rPr>
        <w:t>Figure S</w:t>
      </w:r>
      <w:r w:rsidRPr="0086073F">
        <w:rPr>
          <w:rFonts w:eastAsiaTheme="minorEastAsia"/>
          <w:b/>
          <w:lang w:val="en-US" w:eastAsia="zh-CN"/>
        </w:rPr>
        <w:t>6A</w:t>
      </w:r>
      <w:r w:rsidRPr="0086073F">
        <w:rPr>
          <w:rFonts w:eastAsiaTheme="minorEastAsia"/>
          <w:bCs/>
          <w:lang w:val="en-US" w:eastAsia="zh-CN"/>
        </w:rPr>
        <w:t>). Conversely, in the presence of barrierplugs, droplet groups were tightly packed thus expected to have minimal variations for the droplet incubation duration (</w:t>
      </w:r>
      <w:r w:rsidRPr="0086073F">
        <w:rPr>
          <w:rFonts w:eastAsiaTheme="minorEastAsia"/>
          <w:b/>
          <w:lang w:val="en-US" w:eastAsia="zh-CN"/>
        </w:rPr>
        <w:t>Figure 3C</w:t>
      </w:r>
      <w:r w:rsidRPr="0086073F">
        <w:rPr>
          <w:rFonts w:eastAsiaTheme="minorEastAsia"/>
          <w:bCs/>
          <w:lang w:val="en-US" w:eastAsia="zh-CN"/>
        </w:rPr>
        <w:t>). Indeed, the CV of droplet incubation duration within one group was below 0.4% (</w:t>
      </w:r>
      <w:r>
        <w:rPr>
          <w:rFonts w:eastAsiaTheme="minorEastAsia"/>
          <w:b/>
          <w:lang w:val="en-US" w:eastAsia="zh-CN"/>
        </w:rPr>
        <w:t>Figure S</w:t>
      </w:r>
      <w:r w:rsidRPr="0086073F">
        <w:rPr>
          <w:rFonts w:eastAsiaTheme="minorEastAsia"/>
          <w:b/>
          <w:lang w:val="en-US" w:eastAsia="zh-CN"/>
        </w:rPr>
        <w:t>6B</w:t>
      </w:r>
      <w:r w:rsidRPr="0086073F">
        <w:rPr>
          <w:rFonts w:eastAsiaTheme="minorEastAsia"/>
          <w:bCs/>
          <w:lang w:val="en-US" w:eastAsia="zh-CN"/>
        </w:rPr>
        <w:t xml:space="preserve">) with a maximal 1.5 min difference for a 90-min incubation channel design.  </w:t>
      </w:r>
    </w:p>
    <w:p w14:paraId="530A58D5" w14:textId="77777777" w:rsidR="0086073F" w:rsidRPr="0086073F" w:rsidRDefault="0086073F" w:rsidP="0086073F">
      <w:pPr>
        <w:spacing w:after="160" w:line="480" w:lineRule="auto"/>
        <w:jc w:val="both"/>
        <w:rPr>
          <w:rFonts w:eastAsiaTheme="minorEastAsia"/>
          <w:b/>
          <w:lang w:val="en-US" w:eastAsia="zh-CN"/>
        </w:rPr>
      </w:pPr>
      <w:r w:rsidRPr="0086073F">
        <w:rPr>
          <w:rFonts w:eastAsiaTheme="minorEastAsia"/>
          <w:b/>
          <w:lang w:val="en-US" w:eastAsia="zh-CN"/>
        </w:rPr>
        <w:t>S3. Time and cost saving using SCALe-AST</w:t>
      </w:r>
    </w:p>
    <w:p w14:paraId="4EFED319" w14:textId="77777777" w:rsidR="0086073F" w:rsidRPr="0086073F" w:rsidRDefault="0086073F" w:rsidP="0086073F">
      <w:pPr>
        <w:spacing w:after="160" w:line="480" w:lineRule="auto"/>
        <w:ind w:firstLine="720"/>
        <w:jc w:val="both"/>
        <w:rPr>
          <w:rFonts w:eastAsiaTheme="minorEastAsia"/>
          <w:lang w:val="en-US" w:eastAsia="zh-CN"/>
        </w:rPr>
      </w:pPr>
      <w:r w:rsidRPr="0086073F">
        <w:rPr>
          <w:rFonts w:eastAsiaTheme="minorEastAsia"/>
          <w:lang w:val="en-US" w:eastAsia="zh-CN"/>
        </w:rPr>
        <w:t>We assume the droplet generation, incubation and detection for testing one antimicrobial condition requires 2 min, 90 min and 2 min, respectively. If the device can only test a single antimicrobial condition per device, we have to start second condition until the first condition test finishes. The total time of testing 4 antibiotics at 6 different titrations is as follows:</w:t>
      </w:r>
    </w:p>
    <w:p w14:paraId="20F53941" w14:textId="77777777" w:rsidR="0086073F" w:rsidRPr="0086073F" w:rsidRDefault="00C25A89" w:rsidP="0086073F">
      <w:pPr>
        <w:spacing w:after="160" w:line="480" w:lineRule="auto"/>
        <w:jc w:val="both"/>
        <w:rPr>
          <w:rFonts w:eastAsiaTheme="minorEastAsia"/>
          <w:lang w:val="en-US" w:eastAsia="zh-CN"/>
        </w:rPr>
      </w:pPr>
      <m:oMathPara>
        <m:oMath>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total</m:t>
              </m:r>
            </m:sub>
          </m:sSub>
          <m:r>
            <w:rPr>
              <w:rFonts w:ascii="Cambria Math" w:eastAsiaTheme="minorEastAsia" w:hAnsi="Cambria Math"/>
              <w:lang w:val="en-US" w:eastAsia="zh-CN"/>
            </w:rPr>
            <m:t>=4*6*</m:t>
          </m:r>
          <m:d>
            <m:dPr>
              <m:ctrlPr>
                <w:rPr>
                  <w:rFonts w:ascii="Cambria Math" w:eastAsiaTheme="minorEastAsia" w:hAnsi="Cambria Math"/>
                  <w:i/>
                  <w:lang w:val="en-US" w:eastAsia="zh-CN"/>
                </w:rPr>
              </m:ctrlPr>
            </m:dPr>
            <m:e>
              <m:sSub>
                <m:sSubPr>
                  <m:ctrlPr>
                    <w:rPr>
                      <w:rFonts w:ascii="Cambria Math" w:eastAsiaTheme="minorEastAsia" w:hAnsi="Cambria Math"/>
                      <w:i/>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Generation</m:t>
                  </m:r>
                </m:sub>
              </m:sSub>
              <m:r>
                <w:rPr>
                  <w:rFonts w:ascii="Cambria Math" w:eastAsiaTheme="minorEastAsia" w:hAnsi="Cambria Math"/>
                  <w:lang w:val="en-US" w:eastAsia="zh-CN"/>
                </w:rPr>
                <m:t xml:space="preserve">+ </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Incubation</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Detection</m:t>
                  </m:r>
                </m:sub>
              </m:sSub>
            </m:e>
          </m:d>
          <m:r>
            <w:rPr>
              <w:rFonts w:ascii="Cambria Math" w:eastAsiaTheme="minorEastAsia" w:hAnsi="Cambria Math"/>
              <w:lang w:val="en-US" w:eastAsia="zh-CN"/>
            </w:rPr>
            <m:t>=24*94</m:t>
          </m:r>
          <m:func>
            <m:funcPr>
              <m:ctrlPr>
                <w:rPr>
                  <w:rFonts w:ascii="Cambria Math" w:eastAsiaTheme="minorEastAsia" w:hAnsi="Cambria Math"/>
                  <w:i/>
                  <w:lang w:val="en-US" w:eastAsia="zh-CN"/>
                </w:rPr>
              </m:ctrlPr>
            </m:funcPr>
            <m:fName>
              <m:r>
                <m:rPr>
                  <m:sty m:val="p"/>
                </m:rPr>
                <w:rPr>
                  <w:rFonts w:ascii="Cambria Math" w:eastAsiaTheme="minorEastAsia" w:hAnsi="Cambria Math"/>
                  <w:lang w:val="en-US" w:eastAsia="zh-CN"/>
                </w:rPr>
                <m:t>min</m:t>
              </m:r>
            </m:fName>
            <m:e>
              <m:r>
                <w:rPr>
                  <w:rFonts w:ascii="Cambria Math" w:eastAsiaTheme="minorEastAsia" w:hAnsi="Cambria Math"/>
                  <w:lang w:val="en-US" w:eastAsia="zh-CN"/>
                </w:rPr>
                <m:t>=37.6</m:t>
              </m:r>
              <m:r>
                <m:rPr>
                  <m:sty m:val="p"/>
                </m:rPr>
                <w:rPr>
                  <w:rFonts w:ascii="Cambria Math" w:eastAsia="MS Gothic" w:hAnsi="Cambria Math"/>
                  <w:lang w:val="en-US" w:eastAsia="zh-CN"/>
                </w:rPr>
                <m:t xml:space="preserve"> hours</m:t>
              </m:r>
            </m:e>
          </m:func>
        </m:oMath>
      </m:oMathPara>
    </w:p>
    <w:p w14:paraId="7AA23DEA" w14:textId="77777777" w:rsidR="0086073F" w:rsidRPr="0086073F" w:rsidRDefault="0086073F" w:rsidP="0086073F">
      <w:pPr>
        <w:spacing w:after="160" w:line="480" w:lineRule="auto"/>
        <w:jc w:val="both"/>
        <w:rPr>
          <w:rFonts w:eastAsiaTheme="minorEastAsia"/>
          <w:lang w:val="en-US" w:eastAsia="zh-CN"/>
        </w:rPr>
      </w:pPr>
      <w:r w:rsidRPr="0086073F">
        <w:rPr>
          <w:rFonts w:eastAsiaTheme="minorEastAsia"/>
          <w:lang w:val="en-US" w:eastAsia="zh-CN"/>
        </w:rPr>
        <w:t xml:space="preserve">However, using SCALe-AST, we can immediately start the second condition when the preceding droplet generation is done. The total time of testing same antibiotic/titration conditions will be (here we put 8 droplet groups for each antibiotic since we include an additional spatial coding group and an extra no-antibiotic group): </w:t>
      </w:r>
    </w:p>
    <w:p w14:paraId="3D2E28E7" w14:textId="77777777" w:rsidR="0086073F" w:rsidRPr="0086073F" w:rsidRDefault="00C25A89" w:rsidP="0086073F">
      <w:pPr>
        <w:spacing w:after="160" w:line="480" w:lineRule="auto"/>
        <w:jc w:val="both"/>
        <w:rPr>
          <w:rFonts w:eastAsiaTheme="minorEastAsia"/>
          <w:lang w:val="en-US" w:eastAsia="zh-CN"/>
        </w:rPr>
      </w:pPr>
      <m:oMathPara>
        <m:oMath>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total_multiplex</m:t>
              </m:r>
            </m:sub>
          </m:sSub>
          <m:r>
            <m:rPr>
              <m:sty m:val="p"/>
            </m:rPr>
            <w:rPr>
              <w:rFonts w:ascii="Cambria Math" w:eastAsiaTheme="minorEastAsia" w:hAnsi="Cambria Math"/>
              <w:lang w:val="en-US" w:eastAsia="zh-CN"/>
            </w:rPr>
            <m:t>=4*8*</m:t>
          </m:r>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Generation</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Incubation</m:t>
              </m:r>
            </m:sub>
          </m:sSub>
          <m:r>
            <w:rPr>
              <w:rFonts w:ascii="Cambria Math" w:eastAsiaTheme="minorEastAsia" w:hAnsi="Cambria Math"/>
              <w:lang w:val="en-US" w:eastAsia="zh-CN"/>
            </w:rPr>
            <m:t>+</m:t>
          </m:r>
          <m:sSub>
            <m:sSubPr>
              <m:ctrlPr>
                <w:rPr>
                  <w:rFonts w:ascii="Cambria Math" w:eastAsiaTheme="minorEastAsia" w:hAnsi="Cambria Math"/>
                  <w:i/>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Detection</m:t>
              </m:r>
            </m:sub>
          </m:sSub>
          <m:r>
            <w:rPr>
              <w:rFonts w:ascii="Cambria Math" w:eastAsiaTheme="minorEastAsia" w:hAnsi="Cambria Math"/>
              <w:lang w:val="en-US" w:eastAsia="zh-CN"/>
            </w:rPr>
            <m:t>=</m:t>
          </m:r>
          <m:d>
            <m:dPr>
              <m:ctrlPr>
                <w:rPr>
                  <w:rFonts w:ascii="Cambria Math" w:eastAsiaTheme="minorEastAsia" w:hAnsi="Cambria Math"/>
                  <w:i/>
                  <w:lang w:val="en-US" w:eastAsia="zh-CN"/>
                </w:rPr>
              </m:ctrlPr>
            </m:dPr>
            <m:e>
              <m:r>
                <w:rPr>
                  <w:rFonts w:ascii="Cambria Math" w:eastAsiaTheme="minorEastAsia" w:hAnsi="Cambria Math"/>
                  <w:lang w:val="en-US" w:eastAsia="zh-CN"/>
                </w:rPr>
                <m:t>32*2+90+2</m:t>
              </m:r>
            </m:e>
          </m:d>
          <m:r>
            <w:rPr>
              <w:rFonts w:ascii="Cambria Math" w:eastAsiaTheme="minorEastAsia" w:hAnsi="Cambria Math"/>
              <w:lang w:val="en-US" w:eastAsia="zh-CN"/>
            </w:rPr>
            <m:t xml:space="preserve">min=2.6 </m:t>
          </m:r>
          <m:r>
            <w:rPr>
              <w:rFonts w:ascii="Cambria Math" w:eastAsiaTheme="minorEastAsia" w:hAnsi="Cambria Math"/>
              <w:lang w:val="en-US" w:eastAsia="zh-CN"/>
            </w:rPr>
            <m:t>hours</m:t>
          </m:r>
        </m:oMath>
      </m:oMathPara>
    </w:p>
    <w:p w14:paraId="2EE3F92A" w14:textId="77777777" w:rsidR="0086073F" w:rsidRPr="0086073F" w:rsidRDefault="0086073F" w:rsidP="0086073F">
      <w:pPr>
        <w:spacing w:after="160" w:line="480" w:lineRule="auto"/>
        <w:jc w:val="both"/>
        <w:rPr>
          <w:rFonts w:eastAsiaTheme="minorEastAsia"/>
          <w:lang w:val="en-US" w:eastAsia="zh-CN"/>
        </w:rPr>
      </w:pPr>
      <w:r w:rsidRPr="0086073F">
        <w:rPr>
          <w:rFonts w:eastAsiaTheme="minorEastAsia"/>
          <w:lang w:val="en-US" w:eastAsia="zh-CN"/>
        </w:rPr>
        <w:t>Therefore, SCALe-AST can significantly shorten the downtime for each antibiotic condition and is capable of testing multiple clinically-relevant antibiotic concentrations in a timely manner. Moreover, SCALe-AST can test tens of different droplet groups in a single device while standard droplet device requires an additional device for each new condition. Thus, SCALe-AST also contributes to cost savings.</w:t>
      </w:r>
    </w:p>
    <w:p w14:paraId="7ADA9287" w14:textId="77777777" w:rsidR="0086073F" w:rsidRPr="0086073F" w:rsidRDefault="0086073F" w:rsidP="0086073F">
      <w:pPr>
        <w:spacing w:after="160" w:line="480" w:lineRule="auto"/>
        <w:jc w:val="both"/>
        <w:rPr>
          <w:rFonts w:eastAsiaTheme="minorEastAsia"/>
          <w:b/>
          <w:lang w:val="en-US" w:eastAsia="zh-CN"/>
        </w:rPr>
      </w:pPr>
      <w:r w:rsidRPr="0086073F">
        <w:rPr>
          <w:rFonts w:eastAsiaTheme="minorEastAsia"/>
          <w:b/>
          <w:noProof/>
          <w:lang w:val="en-US" w:eastAsia="zh-CN"/>
        </w:rPr>
        <w:lastRenderedPageBreak/>
        <w:drawing>
          <wp:inline distT="0" distB="0" distL="0" distR="0" wp14:anchorId="2C8C4AC8" wp14:editId="1D1DAA88">
            <wp:extent cx="5935980" cy="30251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3025140"/>
                    </a:xfrm>
                    <a:prstGeom prst="rect">
                      <a:avLst/>
                    </a:prstGeom>
                    <a:noFill/>
                    <a:ln>
                      <a:noFill/>
                    </a:ln>
                  </pic:spPr>
                </pic:pic>
              </a:graphicData>
            </a:graphic>
          </wp:inline>
        </w:drawing>
      </w:r>
    </w:p>
    <w:p w14:paraId="2E342FD1" w14:textId="2DED0A3D" w:rsidR="0086073F" w:rsidRPr="00C87402" w:rsidRDefault="0086073F" w:rsidP="0086073F">
      <w:pPr>
        <w:spacing w:after="160" w:line="480" w:lineRule="auto"/>
        <w:jc w:val="both"/>
        <w:rPr>
          <w:rFonts w:eastAsiaTheme="minorEastAsia"/>
          <w:bCs/>
          <w:iCs/>
          <w:color w:val="000000" w:themeColor="text1"/>
          <w:lang w:val="en-US" w:eastAsia="zh-CN"/>
        </w:rPr>
      </w:pPr>
      <w:r w:rsidRPr="00C87402">
        <w:rPr>
          <w:rFonts w:eastAsiaTheme="minorEastAsia"/>
          <w:b/>
          <w:iCs/>
          <w:color w:val="000000" w:themeColor="text1"/>
          <w:lang w:val="en-US" w:eastAsia="zh-CN"/>
        </w:rPr>
        <w:t>Figure S1.</w:t>
      </w:r>
      <w:r w:rsidRPr="00C87402">
        <w:rPr>
          <w:rFonts w:eastAsiaTheme="minorEastAsia"/>
          <w:bCs/>
          <w:iCs/>
          <w:color w:val="000000" w:themeColor="text1"/>
          <w:lang w:val="en-US" w:eastAsia="zh-CN"/>
        </w:rPr>
        <w:t xml:space="preserve"> </w:t>
      </w:r>
      <w:r w:rsidRPr="00C87402">
        <w:rPr>
          <w:rFonts w:eastAsiaTheme="minorEastAsia"/>
          <w:b/>
          <w:iCs/>
          <w:color w:val="000000" w:themeColor="text1"/>
          <w:lang w:val="en-US" w:eastAsia="zh-CN"/>
        </w:rPr>
        <w:t xml:space="preserve">The optimized mixing channel design enables rapid and thorough mixing. </w:t>
      </w:r>
      <w:r w:rsidRPr="00C87402">
        <w:rPr>
          <w:rFonts w:eastAsiaTheme="minorEastAsia"/>
          <w:bCs/>
          <w:iCs/>
          <w:color w:val="000000" w:themeColor="text1"/>
          <w:lang w:val="en-US" w:eastAsia="zh-CN"/>
        </w:rPr>
        <w:t xml:space="preserve"> (A) The mixing channel locates at the immediate downstream of assembly channel. To characterize the nanoplug mixing, we assembled PBS and fluorescein into a nanoplug and discretized it into picodroplets after mixing. We then measured the fluorescence of these picodroplets immediately after generation to characterize the mixing. (B) The fluorescence trace of picodroplets showed uniform intensity (measured using avalanche photodiode (APD) photon count) across ~14000 droplets in a single group after 5 s mixing when the channel height was ~120 </w:t>
      </w:r>
      <w:r w:rsidRPr="00C87402">
        <w:rPr>
          <w:rFonts w:ascii="Calibri" w:eastAsiaTheme="minorEastAsia" w:hAnsi="Calibri" w:cs="Calibri"/>
          <w:bCs/>
          <w:iCs/>
          <w:color w:val="000000" w:themeColor="text1"/>
          <w:lang w:val="en-US" w:eastAsia="zh-CN"/>
        </w:rPr>
        <w:t>µ</w:t>
      </w:r>
      <w:r w:rsidRPr="00C87402">
        <w:rPr>
          <w:rFonts w:eastAsiaTheme="minorEastAsia"/>
          <w:bCs/>
          <w:iCs/>
          <w:color w:val="000000" w:themeColor="text1"/>
          <w:lang w:val="en-US" w:eastAsia="zh-CN"/>
        </w:rPr>
        <w:t xml:space="preserve">m, indicating the mixing was thorough. This result was similar to the result after ~50 s mixing when a longer but lower mixing channel (60 </w:t>
      </w:r>
      <w:r w:rsidRPr="00C87402">
        <w:rPr>
          <w:rFonts w:ascii="Calibri" w:eastAsiaTheme="minorEastAsia" w:hAnsi="Calibri" w:cs="Calibri"/>
          <w:bCs/>
          <w:iCs/>
          <w:color w:val="000000" w:themeColor="text1"/>
          <w:lang w:val="en-US" w:eastAsia="zh-CN"/>
        </w:rPr>
        <w:t>µ</w:t>
      </w:r>
      <w:r w:rsidRPr="00C87402">
        <w:rPr>
          <w:rFonts w:eastAsiaTheme="minorEastAsia"/>
          <w:bCs/>
          <w:iCs/>
          <w:color w:val="000000" w:themeColor="text1"/>
          <w:lang w:val="en-US" w:eastAsia="zh-CN"/>
        </w:rPr>
        <w:t xml:space="preserve">m) was used (C). </w:t>
      </w:r>
    </w:p>
    <w:p w14:paraId="231B389F" w14:textId="77777777" w:rsidR="0086073F" w:rsidRPr="0086073F" w:rsidRDefault="0086073F" w:rsidP="0086073F">
      <w:pPr>
        <w:spacing w:after="160" w:line="259" w:lineRule="auto"/>
        <w:rPr>
          <w:rFonts w:eastAsiaTheme="minorEastAsia"/>
          <w:bCs/>
          <w:i/>
          <w:color w:val="000000" w:themeColor="text1"/>
          <w:lang w:val="en-US" w:eastAsia="zh-CN"/>
        </w:rPr>
      </w:pPr>
    </w:p>
    <w:p w14:paraId="12837735" w14:textId="77777777" w:rsidR="00CF1D38" w:rsidRDefault="00CF1D38">
      <w:pPr>
        <w:rPr>
          <w:rFonts w:eastAsiaTheme="minorEastAsia"/>
          <w:b/>
          <w:lang w:val="en-US" w:eastAsia="zh-CN"/>
        </w:rPr>
      </w:pPr>
      <w:r>
        <w:rPr>
          <w:rFonts w:eastAsiaTheme="minorEastAsia"/>
          <w:b/>
          <w:lang w:val="en-US" w:eastAsia="zh-CN"/>
        </w:rPr>
        <w:br w:type="page"/>
      </w:r>
    </w:p>
    <w:p w14:paraId="6658017A" w14:textId="273E0CF2" w:rsidR="0086073F" w:rsidRPr="0086073F" w:rsidRDefault="0086073F" w:rsidP="0086073F">
      <w:pPr>
        <w:spacing w:after="160" w:line="480" w:lineRule="auto"/>
        <w:jc w:val="center"/>
        <w:rPr>
          <w:rFonts w:eastAsiaTheme="minorEastAsia"/>
          <w:b/>
          <w:lang w:val="en-US" w:eastAsia="zh-CN"/>
        </w:rPr>
      </w:pPr>
      <w:r w:rsidRPr="0086073F">
        <w:rPr>
          <w:rFonts w:eastAsiaTheme="minorEastAsia"/>
          <w:b/>
          <w:noProof/>
          <w:lang w:val="en-US" w:eastAsia="zh-CN"/>
        </w:rPr>
        <w:lastRenderedPageBreak/>
        <w:drawing>
          <wp:inline distT="0" distB="0" distL="0" distR="0" wp14:anchorId="1623EF03" wp14:editId="7B950421">
            <wp:extent cx="4533900" cy="1965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900" cy="1965960"/>
                    </a:xfrm>
                    <a:prstGeom prst="rect">
                      <a:avLst/>
                    </a:prstGeom>
                    <a:noFill/>
                    <a:ln>
                      <a:noFill/>
                    </a:ln>
                  </pic:spPr>
                </pic:pic>
              </a:graphicData>
            </a:graphic>
          </wp:inline>
        </w:drawing>
      </w:r>
    </w:p>
    <w:p w14:paraId="593D9DBB" w14:textId="3900EB69" w:rsidR="0086073F" w:rsidRPr="00C87402" w:rsidRDefault="0086073F" w:rsidP="0086073F">
      <w:pPr>
        <w:spacing w:after="160" w:line="480" w:lineRule="auto"/>
        <w:jc w:val="both"/>
        <w:rPr>
          <w:rFonts w:eastAsiaTheme="minorEastAsia"/>
          <w:bCs/>
          <w:iCs/>
          <w:lang w:val="en-US" w:eastAsia="zh-CN"/>
        </w:rPr>
      </w:pPr>
      <w:r w:rsidRPr="00C87402">
        <w:rPr>
          <w:rFonts w:eastAsiaTheme="minorEastAsia"/>
          <w:b/>
          <w:bCs/>
          <w:iCs/>
          <w:lang w:val="en-US" w:eastAsia="zh-CN"/>
        </w:rPr>
        <w:t>Figure S2.</w:t>
      </w:r>
      <w:r w:rsidRPr="00C87402">
        <w:rPr>
          <w:rFonts w:eastAsiaTheme="minorEastAsia"/>
          <w:b/>
          <w:iCs/>
          <w:lang w:val="en-US" w:eastAsia="zh-CN"/>
        </w:rPr>
        <w:t xml:space="preserve"> SCALe-AST generates uniform droplets.</w:t>
      </w:r>
      <w:r w:rsidRPr="00C87402">
        <w:rPr>
          <w:rFonts w:eastAsiaTheme="minorEastAsia"/>
          <w:bCs/>
          <w:iCs/>
          <w:lang w:val="en-US" w:eastAsia="zh-CN"/>
        </w:rPr>
        <w:t xml:space="preserve"> (A) The microscope image shows uniform size of droplets with a volume of ~8 </w:t>
      </w:r>
      <w:proofErr w:type="spellStart"/>
      <w:r w:rsidRPr="00C87402">
        <w:rPr>
          <w:rFonts w:eastAsiaTheme="minorEastAsia"/>
          <w:bCs/>
          <w:iCs/>
          <w:lang w:val="en-US" w:eastAsia="zh-CN"/>
        </w:rPr>
        <w:t>pL.</w:t>
      </w:r>
      <w:proofErr w:type="spellEnd"/>
      <w:r w:rsidRPr="00C87402">
        <w:rPr>
          <w:rFonts w:eastAsiaTheme="minorEastAsia"/>
          <w:bCs/>
          <w:iCs/>
          <w:lang w:val="en-US" w:eastAsia="zh-CN"/>
        </w:rPr>
        <w:t xml:space="preserve"> (B) The 3.6% CV (calculated from 13450 picodroplets) demonstrates picodroplets generated in SCALe-AST are uniform.</w:t>
      </w:r>
    </w:p>
    <w:p w14:paraId="2BD8E4CE" w14:textId="77777777" w:rsidR="0086073F" w:rsidRPr="0086073F" w:rsidRDefault="0086073F" w:rsidP="0086073F">
      <w:pPr>
        <w:spacing w:after="160" w:line="259" w:lineRule="auto"/>
        <w:rPr>
          <w:rFonts w:eastAsiaTheme="minorEastAsia"/>
          <w:bCs/>
          <w:i/>
          <w:lang w:val="en-US" w:eastAsia="zh-CN"/>
        </w:rPr>
      </w:pPr>
      <w:r w:rsidRPr="0086073F">
        <w:rPr>
          <w:rFonts w:eastAsiaTheme="minorEastAsia"/>
          <w:bCs/>
          <w:i/>
          <w:lang w:val="en-US" w:eastAsia="zh-CN"/>
        </w:rPr>
        <w:br w:type="page"/>
      </w:r>
    </w:p>
    <w:p w14:paraId="3ACE6C75" w14:textId="77777777" w:rsidR="0086073F" w:rsidRPr="0086073F" w:rsidRDefault="0086073F" w:rsidP="0086073F">
      <w:pPr>
        <w:spacing w:after="160" w:line="480" w:lineRule="auto"/>
        <w:jc w:val="center"/>
        <w:rPr>
          <w:rFonts w:eastAsiaTheme="minorEastAsia"/>
          <w:b/>
          <w:lang w:val="en-US" w:eastAsia="zh-CN"/>
        </w:rPr>
      </w:pPr>
      <w:r w:rsidRPr="0086073F">
        <w:rPr>
          <w:rFonts w:asciiTheme="minorHAnsi" w:eastAsiaTheme="minorEastAsia" w:hAnsiTheme="minorHAnsi" w:cstheme="minorBidi"/>
          <w:noProof/>
          <w:color w:val="000000" w:themeColor="text1"/>
          <w:lang w:val="en-US" w:eastAsia="zh-CN"/>
        </w:rPr>
        <w:lastRenderedPageBreak/>
        <w:drawing>
          <wp:inline distT="0" distB="0" distL="0" distR="0" wp14:anchorId="1ECC4F1D" wp14:editId="1F03DF62">
            <wp:extent cx="2549295" cy="198974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468" cy="2000024"/>
                    </a:xfrm>
                    <a:prstGeom prst="rect">
                      <a:avLst/>
                    </a:prstGeom>
                    <a:noFill/>
                    <a:ln>
                      <a:noFill/>
                    </a:ln>
                  </pic:spPr>
                </pic:pic>
              </a:graphicData>
            </a:graphic>
          </wp:inline>
        </w:drawing>
      </w:r>
    </w:p>
    <w:p w14:paraId="1C239222" w14:textId="7346E31E" w:rsidR="0086073F" w:rsidRPr="00C87402" w:rsidRDefault="0086073F" w:rsidP="0086073F">
      <w:pPr>
        <w:suppressAutoHyphens/>
        <w:spacing w:after="200" w:line="480" w:lineRule="auto"/>
        <w:jc w:val="both"/>
        <w:rPr>
          <w:rFonts w:eastAsia="SimSun"/>
          <w:color w:val="000000" w:themeColor="text1"/>
          <w:lang w:val="en-US" w:eastAsia="en-US"/>
        </w:rPr>
      </w:pPr>
      <w:r w:rsidRPr="00C87402">
        <w:rPr>
          <w:rFonts w:eastAsia="SimSun"/>
          <w:b/>
          <w:bCs/>
          <w:color w:val="000000" w:themeColor="text1"/>
          <w:lang w:val="en-US" w:eastAsia="en-US"/>
        </w:rPr>
        <w:t>Figure S3.</w:t>
      </w:r>
      <w:r w:rsidRPr="00C87402">
        <w:rPr>
          <w:rFonts w:eastAsia="SimSun"/>
          <w:color w:val="000000" w:themeColor="text1"/>
          <w:lang w:val="en-US" w:eastAsia="en-US"/>
        </w:rPr>
        <w:t xml:space="preserve">  </w:t>
      </w:r>
      <w:r w:rsidRPr="00C87402">
        <w:rPr>
          <w:rFonts w:eastAsia="SimSun"/>
          <w:b/>
          <w:color w:val="000000" w:themeColor="text1"/>
          <w:lang w:val="en-US" w:eastAsia="en-US"/>
        </w:rPr>
        <w:t>Rain-X coating stabilizes droplet generation</w:t>
      </w:r>
      <w:r w:rsidRPr="00C87402">
        <w:rPr>
          <w:rFonts w:eastAsia="SimSun"/>
          <w:color w:val="000000" w:themeColor="text1"/>
          <w:lang w:val="en-US" w:eastAsia="en-US"/>
        </w:rPr>
        <w:t>. To guarantee stable picodroplet generation, we found that coating the flow-focusing junction with Rain-X was essential. To show the benefit of Rain-X coating, we used the devices with or without Rain-X coating to generate picodroplets from the assembled nanoplugs. (A) Droplet generation was unstable and the generated droplets were heterogeneous in size without Rain-X modification; (B) Droplet generation was stable after the flow-focusing junction was coated using Rain-X and the generated droplets were uniform.</w:t>
      </w:r>
    </w:p>
    <w:p w14:paraId="1BA9DCB9" w14:textId="77777777" w:rsidR="0086073F" w:rsidRPr="0086073F" w:rsidRDefault="0086073F" w:rsidP="0086073F">
      <w:pPr>
        <w:spacing w:after="160" w:line="259" w:lineRule="auto"/>
        <w:rPr>
          <w:rFonts w:eastAsia="SimSun"/>
          <w:i/>
          <w:iCs/>
          <w:color w:val="000000" w:themeColor="text1"/>
          <w:lang w:val="en-US" w:eastAsia="en-US"/>
        </w:rPr>
      </w:pPr>
      <w:r w:rsidRPr="0086073F">
        <w:rPr>
          <w:rFonts w:asciiTheme="minorHAnsi" w:eastAsiaTheme="minorEastAsia" w:hAnsiTheme="minorHAnsi" w:cstheme="minorBidi"/>
          <w:color w:val="000000" w:themeColor="text1"/>
          <w:lang w:val="en-US" w:eastAsia="zh-CN"/>
        </w:rPr>
        <w:br w:type="page"/>
      </w:r>
    </w:p>
    <w:p w14:paraId="5E856BCA" w14:textId="77777777" w:rsidR="0086073F" w:rsidRPr="0086073F" w:rsidRDefault="0086073F" w:rsidP="0086073F">
      <w:pPr>
        <w:spacing w:after="160" w:line="480" w:lineRule="auto"/>
        <w:jc w:val="both"/>
        <w:rPr>
          <w:rFonts w:asciiTheme="minorHAnsi" w:eastAsiaTheme="minorEastAsia" w:hAnsiTheme="minorHAnsi" w:cstheme="minorBidi"/>
          <w:lang w:val="en-US" w:eastAsia="en-US"/>
        </w:rPr>
      </w:pPr>
      <w:r w:rsidRPr="0086073F">
        <w:rPr>
          <w:rFonts w:asciiTheme="minorHAnsi" w:eastAsiaTheme="minorEastAsia" w:hAnsiTheme="minorHAnsi" w:cstheme="minorBidi"/>
          <w:noProof/>
          <w:lang w:val="en-US" w:eastAsia="en-US"/>
        </w:rPr>
        <w:lastRenderedPageBreak/>
        <w:drawing>
          <wp:inline distT="0" distB="0" distL="0" distR="0" wp14:anchorId="729D6FE4" wp14:editId="1CDA6E00">
            <wp:extent cx="5935980" cy="19812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1981200"/>
                    </a:xfrm>
                    <a:prstGeom prst="rect">
                      <a:avLst/>
                    </a:prstGeom>
                    <a:noFill/>
                    <a:ln>
                      <a:noFill/>
                    </a:ln>
                  </pic:spPr>
                </pic:pic>
              </a:graphicData>
            </a:graphic>
          </wp:inline>
        </w:drawing>
      </w:r>
    </w:p>
    <w:p w14:paraId="3F850245" w14:textId="1CB93A61" w:rsidR="0086073F" w:rsidRPr="00C87402" w:rsidRDefault="0086073F" w:rsidP="0086073F">
      <w:pPr>
        <w:spacing w:after="160" w:line="480" w:lineRule="auto"/>
        <w:jc w:val="both"/>
        <w:rPr>
          <w:rFonts w:eastAsiaTheme="minorEastAsia"/>
          <w:bCs/>
          <w:iCs/>
          <w:color w:val="000000" w:themeColor="text1"/>
          <w:lang w:val="en-US" w:eastAsia="zh-CN"/>
        </w:rPr>
      </w:pPr>
      <w:r w:rsidRPr="00C87402">
        <w:rPr>
          <w:rFonts w:eastAsiaTheme="minorEastAsia"/>
          <w:b/>
          <w:iCs/>
          <w:color w:val="000000" w:themeColor="text1"/>
          <w:lang w:val="en-US" w:eastAsia="zh-CN"/>
        </w:rPr>
        <w:t>Figure S4.</w:t>
      </w:r>
      <w:r w:rsidRPr="00C87402">
        <w:rPr>
          <w:rFonts w:eastAsiaTheme="minorEastAsia"/>
          <w:bCs/>
          <w:iCs/>
          <w:color w:val="000000" w:themeColor="text1"/>
          <w:lang w:val="en-US" w:eastAsia="zh-CN"/>
        </w:rPr>
        <w:t xml:space="preserve"> </w:t>
      </w:r>
      <w:r w:rsidRPr="00C87402">
        <w:rPr>
          <w:rFonts w:eastAsiaTheme="minorEastAsia"/>
          <w:b/>
          <w:iCs/>
          <w:color w:val="000000" w:themeColor="text1"/>
          <w:lang w:val="en-US" w:eastAsia="zh-CN"/>
        </w:rPr>
        <w:t xml:space="preserve">SCALe-AST allows highly-precise titration generation in picodroplet groups. </w:t>
      </w:r>
      <w:r w:rsidRPr="00C87402">
        <w:rPr>
          <w:rFonts w:eastAsiaTheme="minorEastAsia"/>
          <w:bCs/>
          <w:iCs/>
          <w:color w:val="000000" w:themeColor="text1"/>
          <w:lang w:val="en-US" w:eastAsia="zh-CN"/>
        </w:rPr>
        <w:t xml:space="preserve"> To demonstrate this, we assembled Mueller Hinton (MH) broth and resazurin into 6 nanoplugs with different resazurin concentrations and discretized them into picodroplets after mixing. (A) We measured the fluorescence of these picodroplets immediately after generation and the fluorescence trace showed gradually decreased fluorescence with lower resazurin concentrations. The higher peaks in the beginning of each droplet group were the left over from previous group with higher resazurin concentration and only accounted for less than 1% of total droplets, which had negligible effect on our result. (B)The detected fluorescence intensity (normalized APD photon count) increased with the resazurin concentration with a high linearity (n=2, error bar is too small and invisible here), suggesting SCALe-AST could precisely control the content of each nanoplug and thus each picodroplet group.</w:t>
      </w:r>
    </w:p>
    <w:p w14:paraId="6CB4DB65" w14:textId="77777777" w:rsidR="0086073F" w:rsidRPr="0086073F" w:rsidRDefault="0086073F" w:rsidP="0086073F">
      <w:pPr>
        <w:spacing w:after="160" w:line="259" w:lineRule="auto"/>
        <w:rPr>
          <w:rFonts w:eastAsiaTheme="minorEastAsia"/>
          <w:bCs/>
          <w:i/>
          <w:color w:val="000000" w:themeColor="text1"/>
          <w:lang w:val="en-US" w:eastAsia="zh-CN"/>
        </w:rPr>
      </w:pPr>
      <w:r w:rsidRPr="0086073F">
        <w:rPr>
          <w:rFonts w:eastAsiaTheme="minorEastAsia"/>
          <w:bCs/>
          <w:i/>
          <w:color w:val="000000" w:themeColor="text1"/>
          <w:lang w:val="en-US" w:eastAsia="zh-CN"/>
        </w:rPr>
        <w:br w:type="page"/>
      </w:r>
    </w:p>
    <w:p w14:paraId="715192B9" w14:textId="77777777" w:rsidR="0086073F" w:rsidRPr="0086073F" w:rsidRDefault="0086073F" w:rsidP="0086073F">
      <w:pPr>
        <w:spacing w:after="160" w:line="480" w:lineRule="auto"/>
        <w:jc w:val="center"/>
        <w:rPr>
          <w:rFonts w:eastAsiaTheme="minorEastAsia"/>
          <w:bCs/>
          <w:i/>
          <w:color w:val="000000" w:themeColor="text1"/>
          <w:lang w:val="en-US" w:eastAsia="zh-CN"/>
        </w:rPr>
      </w:pPr>
      <w:r w:rsidRPr="0086073F">
        <w:rPr>
          <w:rFonts w:eastAsiaTheme="minorEastAsia"/>
          <w:bCs/>
          <w:i/>
          <w:noProof/>
          <w:color w:val="000000" w:themeColor="text1"/>
          <w:lang w:val="en-US" w:eastAsia="zh-CN"/>
        </w:rPr>
        <w:lastRenderedPageBreak/>
        <w:drawing>
          <wp:inline distT="0" distB="0" distL="0" distR="0" wp14:anchorId="02BAA655" wp14:editId="4D8BC46C">
            <wp:extent cx="5149215" cy="1894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9215" cy="1894205"/>
                    </a:xfrm>
                    <a:prstGeom prst="rect">
                      <a:avLst/>
                    </a:prstGeom>
                    <a:noFill/>
                    <a:ln>
                      <a:noFill/>
                    </a:ln>
                  </pic:spPr>
                </pic:pic>
              </a:graphicData>
            </a:graphic>
          </wp:inline>
        </w:drawing>
      </w:r>
    </w:p>
    <w:p w14:paraId="6176A5BC" w14:textId="1218D573" w:rsidR="0086073F" w:rsidRPr="00C87402" w:rsidRDefault="0086073F" w:rsidP="0086073F">
      <w:pPr>
        <w:suppressAutoHyphens/>
        <w:spacing w:after="200" w:line="480" w:lineRule="auto"/>
        <w:jc w:val="both"/>
        <w:rPr>
          <w:rFonts w:eastAsia="SimSun"/>
          <w:color w:val="000000" w:themeColor="text1"/>
          <w:lang w:val="en-US" w:eastAsia="en-US"/>
        </w:rPr>
      </w:pPr>
      <w:r w:rsidRPr="00C87402">
        <w:rPr>
          <w:rFonts w:eastAsia="SimSun"/>
          <w:b/>
          <w:bCs/>
          <w:color w:val="000000" w:themeColor="text1"/>
          <w:lang w:val="en-US" w:eastAsia="en-US"/>
        </w:rPr>
        <w:t>Figure S5.</w:t>
      </w:r>
      <w:r w:rsidRPr="00C87402">
        <w:rPr>
          <w:rFonts w:eastAsia="SimSun"/>
          <w:color w:val="000000" w:themeColor="text1"/>
          <w:lang w:val="en-US" w:eastAsia="en-US"/>
        </w:rPr>
        <w:t xml:space="preserve"> </w:t>
      </w:r>
      <w:r w:rsidRPr="00C87402">
        <w:rPr>
          <w:rFonts w:eastAsia="SimSun"/>
          <w:b/>
          <w:color w:val="000000" w:themeColor="text1"/>
          <w:lang w:val="en-US" w:eastAsia="en-US"/>
        </w:rPr>
        <w:t>The barrierplug injector introduces barrierplugs into tail end of each picodroplet group via programmable microvalve actuation</w:t>
      </w:r>
      <w:r w:rsidRPr="00C87402">
        <w:rPr>
          <w:rFonts w:eastAsia="SimSun"/>
          <w:color w:val="000000" w:themeColor="text1"/>
          <w:lang w:val="en-US" w:eastAsia="en-US"/>
        </w:rPr>
        <w:t>. The barrierplug injector is located downstream of the flow-focusing junction. The pressurized PBS can be injected through microvalve actuation and form a barrierplug at the tail end of each picodroplet group to prevent unwanted mixing between picodroplet groups.</w:t>
      </w:r>
    </w:p>
    <w:p w14:paraId="1FC1181B" w14:textId="77777777" w:rsidR="0086073F" w:rsidRPr="0086073F" w:rsidRDefault="0086073F" w:rsidP="0086073F">
      <w:pPr>
        <w:spacing w:after="160" w:line="259" w:lineRule="auto"/>
        <w:rPr>
          <w:rFonts w:eastAsia="SimSun"/>
          <w:i/>
          <w:iCs/>
          <w:color w:val="000000" w:themeColor="text1"/>
          <w:lang w:val="en-US" w:eastAsia="en-US"/>
        </w:rPr>
      </w:pPr>
      <w:r w:rsidRPr="0086073F">
        <w:rPr>
          <w:rFonts w:asciiTheme="minorHAnsi" w:eastAsiaTheme="minorEastAsia" w:hAnsiTheme="minorHAnsi" w:cstheme="minorBidi"/>
          <w:color w:val="000000" w:themeColor="text1"/>
          <w:lang w:val="en-US" w:eastAsia="zh-CN"/>
        </w:rPr>
        <w:br w:type="page"/>
      </w:r>
    </w:p>
    <w:p w14:paraId="4DC6927C" w14:textId="77777777" w:rsidR="0086073F" w:rsidRPr="0086073F" w:rsidRDefault="0086073F" w:rsidP="0086073F">
      <w:pPr>
        <w:spacing w:after="160" w:line="480" w:lineRule="auto"/>
        <w:jc w:val="center"/>
        <w:rPr>
          <w:rFonts w:asciiTheme="minorHAnsi" w:eastAsiaTheme="minorEastAsia" w:hAnsiTheme="minorHAnsi" w:cstheme="minorBidi"/>
          <w:lang w:val="en-US" w:eastAsia="en-US"/>
        </w:rPr>
      </w:pPr>
      <w:r w:rsidRPr="0086073F">
        <w:rPr>
          <w:rFonts w:asciiTheme="minorHAnsi" w:eastAsiaTheme="minorEastAsia" w:hAnsiTheme="minorHAnsi" w:cstheme="minorBidi"/>
          <w:noProof/>
          <w:lang w:val="en-US" w:eastAsia="en-US"/>
        </w:rPr>
        <w:lastRenderedPageBreak/>
        <w:drawing>
          <wp:inline distT="0" distB="0" distL="0" distR="0" wp14:anchorId="05FB5043" wp14:editId="1542C979">
            <wp:extent cx="5608320" cy="2263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320" cy="2263140"/>
                    </a:xfrm>
                    <a:prstGeom prst="rect">
                      <a:avLst/>
                    </a:prstGeom>
                    <a:noFill/>
                    <a:ln>
                      <a:noFill/>
                    </a:ln>
                  </pic:spPr>
                </pic:pic>
              </a:graphicData>
            </a:graphic>
          </wp:inline>
        </w:drawing>
      </w:r>
    </w:p>
    <w:p w14:paraId="55EE6E3F" w14:textId="1928C96A" w:rsidR="0086073F" w:rsidRPr="00C87402" w:rsidRDefault="0086073F" w:rsidP="0086073F">
      <w:pPr>
        <w:spacing w:after="160" w:line="480" w:lineRule="auto"/>
        <w:jc w:val="both"/>
        <w:rPr>
          <w:rFonts w:eastAsia="SimSun"/>
          <w:color w:val="000000" w:themeColor="text1"/>
          <w:lang w:val="en-US" w:eastAsia="en-US"/>
        </w:rPr>
      </w:pPr>
      <w:r w:rsidRPr="00C87402">
        <w:rPr>
          <w:rFonts w:eastAsia="SimSun"/>
          <w:b/>
          <w:bCs/>
          <w:color w:val="000000" w:themeColor="text1"/>
          <w:lang w:val="en-US" w:eastAsia="en-US"/>
        </w:rPr>
        <w:t>Figure S6.</w:t>
      </w:r>
      <w:r w:rsidRPr="00C87402">
        <w:rPr>
          <w:rFonts w:eastAsia="SimSun"/>
          <w:color w:val="000000" w:themeColor="text1"/>
          <w:lang w:val="en-US" w:eastAsia="en-US"/>
        </w:rPr>
        <w:t xml:space="preserve">  </w:t>
      </w:r>
      <w:r w:rsidRPr="00C87402">
        <w:rPr>
          <w:rFonts w:eastAsia="SimSun"/>
          <w:b/>
          <w:bCs/>
          <w:color w:val="000000" w:themeColor="text1"/>
          <w:lang w:val="en-US" w:eastAsia="en-US"/>
        </w:rPr>
        <w:t>The barrierplugs enables</w:t>
      </w:r>
      <w:r w:rsidRPr="00C87402">
        <w:rPr>
          <w:rFonts w:eastAsia="SimSun"/>
          <w:color w:val="000000" w:themeColor="text1"/>
          <w:lang w:val="en-US" w:eastAsia="en-US"/>
        </w:rPr>
        <w:t xml:space="preserve"> </w:t>
      </w:r>
      <w:r w:rsidRPr="00C87402">
        <w:rPr>
          <w:rFonts w:eastAsia="SimSun"/>
          <w:b/>
          <w:bCs/>
          <w:color w:val="000000" w:themeColor="text1"/>
          <w:lang w:val="en-US" w:eastAsia="en-US"/>
        </w:rPr>
        <w:t xml:space="preserve">uniform incubation duration of droplet groups. </w:t>
      </w:r>
      <w:r w:rsidRPr="00C87402">
        <w:rPr>
          <w:rFonts w:eastAsia="SimSun"/>
          <w:color w:val="000000" w:themeColor="text1"/>
          <w:lang w:val="en-US" w:eastAsia="en-US"/>
        </w:rPr>
        <w:t>(A)The coefficient of variation (CV) of droplet incubation duration can be as high as 20% for a 20-min incubation channel design in the absence of barrierplugs. (B)In the presence of the barrierplugs, the CV of droplet incubation time within one group drops below 0.4% for a 90-min incubation channel.</w:t>
      </w:r>
    </w:p>
    <w:p w14:paraId="37084080" w14:textId="77777777" w:rsidR="0086073F" w:rsidRPr="0086073F" w:rsidRDefault="0086073F" w:rsidP="0086073F">
      <w:pPr>
        <w:spacing w:after="160" w:line="259" w:lineRule="auto"/>
        <w:rPr>
          <w:rFonts w:eastAsia="SimSun"/>
          <w:i/>
          <w:iCs/>
          <w:color w:val="000000" w:themeColor="text1"/>
          <w:lang w:val="en-US" w:eastAsia="en-US"/>
        </w:rPr>
      </w:pPr>
      <w:r w:rsidRPr="0086073F">
        <w:rPr>
          <w:rFonts w:eastAsia="SimSun"/>
          <w:i/>
          <w:iCs/>
          <w:color w:val="000000" w:themeColor="text1"/>
          <w:lang w:val="en-US" w:eastAsia="en-US"/>
        </w:rPr>
        <w:br w:type="page"/>
      </w:r>
    </w:p>
    <w:p w14:paraId="529F51A1" w14:textId="77777777" w:rsidR="0086073F" w:rsidRPr="0086073F" w:rsidRDefault="0086073F" w:rsidP="0086073F">
      <w:pPr>
        <w:spacing w:after="160" w:line="480" w:lineRule="auto"/>
        <w:jc w:val="center"/>
        <w:rPr>
          <w:rFonts w:asciiTheme="minorHAnsi" w:eastAsiaTheme="minorEastAsia" w:hAnsiTheme="minorHAnsi" w:cstheme="minorBidi"/>
          <w:lang w:val="en-US" w:eastAsia="en-US"/>
        </w:rPr>
      </w:pPr>
      <w:r w:rsidRPr="0086073F">
        <w:rPr>
          <w:rFonts w:asciiTheme="minorHAnsi" w:eastAsiaTheme="minorEastAsia" w:hAnsiTheme="minorHAnsi" w:cstheme="minorBidi"/>
          <w:noProof/>
          <w:lang w:val="en-US" w:eastAsia="en-US"/>
        </w:rPr>
        <w:lastRenderedPageBreak/>
        <w:drawing>
          <wp:inline distT="0" distB="0" distL="0" distR="0" wp14:anchorId="3E37E419" wp14:editId="01367551">
            <wp:extent cx="4754880" cy="1956767"/>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9394" cy="1962740"/>
                    </a:xfrm>
                    <a:prstGeom prst="rect">
                      <a:avLst/>
                    </a:prstGeom>
                    <a:noFill/>
                    <a:ln>
                      <a:noFill/>
                    </a:ln>
                  </pic:spPr>
                </pic:pic>
              </a:graphicData>
            </a:graphic>
          </wp:inline>
        </w:drawing>
      </w:r>
    </w:p>
    <w:p w14:paraId="450B733E" w14:textId="072BE693" w:rsidR="0086073F" w:rsidRPr="00C87402" w:rsidRDefault="0086073F" w:rsidP="0086073F">
      <w:pPr>
        <w:suppressAutoHyphens/>
        <w:spacing w:after="200" w:line="480" w:lineRule="auto"/>
        <w:jc w:val="both"/>
        <w:rPr>
          <w:rFonts w:eastAsia="SimSun"/>
          <w:color w:val="000000" w:themeColor="text1"/>
          <w:lang w:val="en-US" w:eastAsia="en-US"/>
        </w:rPr>
      </w:pPr>
      <w:r w:rsidRPr="00C87402">
        <w:rPr>
          <w:rFonts w:eastAsia="SimSun"/>
          <w:b/>
          <w:bCs/>
          <w:color w:val="000000" w:themeColor="text1"/>
          <w:lang w:val="en-US" w:eastAsia="en-US"/>
        </w:rPr>
        <w:t>Figure S7.</w:t>
      </w:r>
      <w:r w:rsidRPr="00C87402">
        <w:rPr>
          <w:rFonts w:eastAsia="SimSun"/>
          <w:color w:val="000000" w:themeColor="text1"/>
          <w:lang w:val="en-US" w:eastAsia="en-US"/>
        </w:rPr>
        <w:t xml:space="preserve"> </w:t>
      </w:r>
      <w:r w:rsidRPr="00527CA3">
        <w:rPr>
          <w:rFonts w:eastAsia="SimSun"/>
          <w:b/>
          <w:i/>
          <w:iCs/>
          <w:color w:val="000000" w:themeColor="text1"/>
          <w:lang w:val="en-US" w:eastAsia="en-US"/>
        </w:rPr>
        <w:t>E. coli</w:t>
      </w:r>
      <w:r w:rsidRPr="00C87402">
        <w:rPr>
          <w:rFonts w:eastAsia="SimSun"/>
          <w:b/>
          <w:color w:val="000000" w:themeColor="text1"/>
          <w:lang w:val="en-US" w:eastAsia="en-US"/>
        </w:rPr>
        <w:t xml:space="preserve"> grow in picodroplets</w:t>
      </w:r>
      <w:r w:rsidRPr="00C87402">
        <w:rPr>
          <w:rFonts w:eastAsia="SimSun"/>
          <w:color w:val="000000" w:themeColor="text1"/>
          <w:lang w:val="en-US" w:eastAsia="en-US"/>
        </w:rPr>
        <w:t>. Viable bacteria were found in the picodroplets at the end of incubation channel when no antibiotic was added. Bacteria typically at least doubled from the digitally encapsulated single bacteria after on-chip 37 ⁰C incubation.</w:t>
      </w:r>
    </w:p>
    <w:p w14:paraId="6350DE9F" w14:textId="77777777" w:rsidR="0086073F" w:rsidRPr="0086073F" w:rsidRDefault="0086073F" w:rsidP="0086073F">
      <w:pPr>
        <w:spacing w:after="160" w:line="259" w:lineRule="auto"/>
        <w:rPr>
          <w:rFonts w:asciiTheme="minorHAnsi" w:eastAsiaTheme="minorEastAsia" w:hAnsiTheme="minorHAnsi" w:cstheme="minorBidi"/>
          <w:lang w:val="en-US" w:eastAsia="en-US"/>
        </w:rPr>
      </w:pPr>
      <w:r w:rsidRPr="0086073F">
        <w:rPr>
          <w:rFonts w:asciiTheme="minorHAnsi" w:eastAsiaTheme="minorEastAsia" w:hAnsiTheme="minorHAnsi" w:cstheme="minorBidi"/>
          <w:lang w:val="en-US" w:eastAsia="en-US"/>
        </w:rPr>
        <w:br w:type="page"/>
      </w:r>
    </w:p>
    <w:p w14:paraId="30797672" w14:textId="77777777" w:rsidR="0086073F" w:rsidRPr="0086073F" w:rsidRDefault="0086073F" w:rsidP="0086073F">
      <w:pPr>
        <w:spacing w:after="160" w:line="480" w:lineRule="auto"/>
        <w:jc w:val="both"/>
        <w:rPr>
          <w:rFonts w:eastAsiaTheme="minorEastAsia"/>
          <w:b/>
          <w:lang w:val="en-US" w:eastAsia="zh-CN"/>
        </w:rPr>
      </w:pPr>
      <w:r w:rsidRPr="0086073F">
        <w:rPr>
          <w:rFonts w:eastAsiaTheme="minorEastAsia"/>
          <w:b/>
          <w:noProof/>
          <w:lang w:val="en-US" w:eastAsia="zh-CN"/>
        </w:rPr>
        <w:lastRenderedPageBreak/>
        <w:drawing>
          <wp:inline distT="0" distB="0" distL="0" distR="0" wp14:anchorId="213F5CED" wp14:editId="16DCA1EE">
            <wp:extent cx="5937250" cy="13462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1346200"/>
                    </a:xfrm>
                    <a:prstGeom prst="rect">
                      <a:avLst/>
                    </a:prstGeom>
                    <a:noFill/>
                    <a:ln>
                      <a:noFill/>
                    </a:ln>
                  </pic:spPr>
                </pic:pic>
              </a:graphicData>
            </a:graphic>
          </wp:inline>
        </w:drawing>
      </w:r>
    </w:p>
    <w:p w14:paraId="3EC1B07B" w14:textId="518ACED5" w:rsidR="0086073F" w:rsidRPr="00C87402" w:rsidRDefault="0086073F" w:rsidP="0086073F">
      <w:pPr>
        <w:spacing w:after="160" w:line="480" w:lineRule="auto"/>
        <w:jc w:val="both"/>
        <w:rPr>
          <w:rFonts w:eastAsiaTheme="minorEastAsia"/>
          <w:iCs/>
          <w:lang w:val="en-US" w:eastAsia="zh-CN"/>
        </w:rPr>
      </w:pPr>
      <w:r w:rsidRPr="00C87402">
        <w:rPr>
          <w:rFonts w:eastAsiaTheme="minorEastAsia"/>
          <w:b/>
          <w:bCs/>
          <w:iCs/>
          <w:lang w:val="en-US" w:eastAsia="zh-CN"/>
        </w:rPr>
        <w:t>Figure S8.</w:t>
      </w:r>
      <w:r w:rsidRPr="00C87402">
        <w:rPr>
          <w:rFonts w:eastAsiaTheme="minorEastAsia"/>
          <w:iCs/>
          <w:lang w:val="en-US" w:eastAsia="zh-CN"/>
        </w:rPr>
        <w:t xml:space="preserve"> </w:t>
      </w:r>
      <w:r w:rsidRPr="00C87402">
        <w:rPr>
          <w:rFonts w:eastAsiaTheme="minorEastAsia"/>
          <w:b/>
          <w:bCs/>
          <w:iCs/>
          <w:lang w:val="en-US" w:eastAsia="zh-CN"/>
        </w:rPr>
        <w:t xml:space="preserve">SCALe-AST enables generation of 32 picodroplet groups in a single device for MIC measurement. </w:t>
      </w:r>
      <w:r w:rsidRPr="00C87402">
        <w:rPr>
          <w:rFonts w:eastAsiaTheme="minorEastAsia"/>
          <w:iCs/>
          <w:lang w:val="en-US" w:eastAsia="zh-CN"/>
        </w:rPr>
        <w:t xml:space="preserve">Four antibiotics (including trimethoprim-sulfamethoxazole (SXT), ciprofloxacin (CIP), gentamicin (GEN), and tobramycin (TOB)) </w:t>
      </w:r>
      <w:r w:rsidRPr="00C87402">
        <w:rPr>
          <w:rFonts w:eastAsiaTheme="minorEastAsia"/>
          <w:iCs/>
          <w:color w:val="000000" w:themeColor="text1"/>
          <w:lang w:val="en-US" w:eastAsia="zh-CN"/>
        </w:rPr>
        <w:t>are co-encapsulated at different concentrations with bacteria, resazurin as well as MH broth. For each antibiotic, we have a spatial coding group containing only MH broth with a low fluorescence signal, two no-antibiotic groups and 5 groups of different antibiotic concentrations that all contain resazurin and present high fluorescence signals. In total, 32 (4×8) droplet groups are generated in a single SCALe-AST device.</w:t>
      </w:r>
    </w:p>
    <w:p w14:paraId="279C39F3" w14:textId="77777777" w:rsidR="0086073F" w:rsidRPr="0086073F" w:rsidRDefault="0086073F" w:rsidP="0086073F">
      <w:pPr>
        <w:spacing w:after="160" w:line="259" w:lineRule="auto"/>
        <w:rPr>
          <w:rFonts w:eastAsiaTheme="minorEastAsia"/>
          <w:lang w:val="en-US" w:eastAsia="zh-CN"/>
        </w:rPr>
      </w:pPr>
      <w:r w:rsidRPr="0086073F">
        <w:rPr>
          <w:rFonts w:eastAsiaTheme="minorEastAsia"/>
          <w:lang w:val="en-US" w:eastAsia="zh-CN"/>
        </w:rPr>
        <w:br w:type="page"/>
      </w:r>
    </w:p>
    <w:p w14:paraId="2F67DBE5" w14:textId="11F57408" w:rsidR="0086073F" w:rsidRPr="0086073F" w:rsidRDefault="005F1258" w:rsidP="0086073F">
      <w:pPr>
        <w:spacing w:after="160" w:line="480" w:lineRule="auto"/>
        <w:jc w:val="both"/>
        <w:rPr>
          <w:rFonts w:eastAsiaTheme="minorEastAsia"/>
          <w:lang w:val="en-US" w:eastAsia="zh-CN"/>
        </w:rPr>
      </w:pPr>
      <w:r w:rsidRPr="00CD36E5">
        <w:rPr>
          <w:rFonts w:eastAsia="DengXian"/>
          <w:noProof/>
          <w:lang w:eastAsia="zh-CN"/>
        </w:rPr>
        <w:lastRenderedPageBreak/>
        <w:drawing>
          <wp:inline distT="0" distB="0" distL="0" distR="0" wp14:anchorId="74DE45B4" wp14:editId="0EFCC3EF">
            <wp:extent cx="5760720" cy="19503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60720" cy="1950398"/>
                    </a:xfrm>
                    <a:prstGeom prst="rect">
                      <a:avLst/>
                    </a:prstGeom>
                    <a:noFill/>
                    <a:ln>
                      <a:noFill/>
                    </a:ln>
                  </pic:spPr>
                </pic:pic>
              </a:graphicData>
            </a:graphic>
          </wp:inline>
        </w:drawing>
      </w:r>
    </w:p>
    <w:p w14:paraId="3E6BB802" w14:textId="541E08B1" w:rsidR="0086073F" w:rsidRPr="00C87402" w:rsidRDefault="0086073F" w:rsidP="0086073F">
      <w:pPr>
        <w:spacing w:line="480" w:lineRule="auto"/>
        <w:jc w:val="both"/>
        <w:rPr>
          <w:rFonts w:eastAsiaTheme="minorEastAsia"/>
          <w:iCs/>
          <w:lang w:val="en-US" w:eastAsia="zh-CN"/>
        </w:rPr>
      </w:pPr>
      <w:r w:rsidRPr="00C87402">
        <w:rPr>
          <w:rFonts w:eastAsiaTheme="minorEastAsia"/>
          <w:b/>
          <w:bCs/>
          <w:iCs/>
          <w:lang w:val="en-US" w:eastAsia="zh-CN"/>
        </w:rPr>
        <w:t>Figure S9.</w:t>
      </w:r>
      <w:r w:rsidRPr="00C87402">
        <w:rPr>
          <w:rFonts w:eastAsiaTheme="minorEastAsia"/>
          <w:iCs/>
          <w:lang w:val="en-US" w:eastAsia="zh-CN"/>
        </w:rPr>
        <w:t xml:space="preserve"> </w:t>
      </w:r>
      <w:r w:rsidRPr="00C87402">
        <w:rPr>
          <w:rFonts w:eastAsiaTheme="minorEastAsia"/>
          <w:b/>
          <w:bCs/>
          <w:iCs/>
          <w:lang w:val="en-US" w:eastAsia="zh-CN"/>
        </w:rPr>
        <w:t xml:space="preserve">SCALe-AST shows consistent MIC measurements for the ATCC reference </w:t>
      </w:r>
      <w:r w:rsidRPr="00527CA3">
        <w:rPr>
          <w:rFonts w:eastAsiaTheme="minorEastAsia"/>
          <w:b/>
          <w:bCs/>
          <w:i/>
          <w:lang w:val="en-US" w:eastAsia="zh-CN"/>
        </w:rPr>
        <w:t>E. coli</w:t>
      </w:r>
      <w:r w:rsidRPr="00C87402">
        <w:rPr>
          <w:rFonts w:eastAsiaTheme="minorEastAsia"/>
          <w:b/>
          <w:bCs/>
          <w:iCs/>
          <w:lang w:val="en-US" w:eastAsia="zh-CN"/>
        </w:rPr>
        <w:t>.</w:t>
      </w:r>
      <w:r w:rsidRPr="00C87402">
        <w:rPr>
          <w:rFonts w:eastAsiaTheme="minorEastAsia"/>
          <w:iCs/>
          <w:lang w:val="en-US" w:eastAsia="zh-CN"/>
        </w:rPr>
        <w:t xml:space="preserve"> Using p-value derived from t-test, our SCALe-AST identifies MICs for the ATCC reference </w:t>
      </w:r>
      <w:r w:rsidRPr="00527CA3">
        <w:rPr>
          <w:rFonts w:eastAsiaTheme="minorEastAsia"/>
          <w:i/>
          <w:lang w:val="en-US" w:eastAsia="zh-CN"/>
        </w:rPr>
        <w:t>E. coli</w:t>
      </w:r>
      <w:r w:rsidRPr="00C87402">
        <w:rPr>
          <w:rFonts w:eastAsiaTheme="minorEastAsia"/>
          <w:iCs/>
          <w:lang w:val="en-US" w:eastAsia="zh-CN"/>
        </w:rPr>
        <w:t xml:space="preserve"> against four common antibiotics (including SXT, CIP, GEN and TOB) in ~2.5 hours </w:t>
      </w:r>
      <w:r w:rsidRPr="00C87402">
        <w:rPr>
          <w:rFonts w:eastAsiaTheme="minorEastAsia" w:hint="eastAsia"/>
          <w:iCs/>
          <w:lang w:val="en-US" w:eastAsia="zh-CN"/>
        </w:rPr>
        <w:t>in</w:t>
      </w:r>
      <w:r w:rsidRPr="00C87402">
        <w:rPr>
          <w:rFonts w:eastAsiaTheme="minorEastAsia"/>
          <w:iCs/>
          <w:lang w:val="en-US" w:eastAsia="zh-CN"/>
        </w:rPr>
        <w:t xml:space="preserve"> two additional independent devices and the results remain consistent with CLSI MICs. </w:t>
      </w:r>
    </w:p>
    <w:p w14:paraId="457EFA12" w14:textId="77777777" w:rsidR="0086073F" w:rsidRPr="0086073F" w:rsidRDefault="0086073F" w:rsidP="0086073F">
      <w:pPr>
        <w:spacing w:line="480" w:lineRule="auto"/>
        <w:jc w:val="both"/>
        <w:rPr>
          <w:rFonts w:eastAsiaTheme="minorEastAsia"/>
          <w:i/>
          <w:lang w:val="en-US" w:eastAsia="zh-CN"/>
        </w:rPr>
      </w:pPr>
    </w:p>
    <w:p w14:paraId="334C5A1C" w14:textId="77777777" w:rsidR="0086073F" w:rsidRPr="0086073F" w:rsidRDefault="0086073F" w:rsidP="0086073F">
      <w:pPr>
        <w:spacing w:after="160" w:line="480" w:lineRule="auto"/>
        <w:jc w:val="both"/>
        <w:rPr>
          <w:rFonts w:eastAsiaTheme="minorEastAsia"/>
          <w:b/>
          <w:lang w:val="en-US" w:eastAsia="zh-CN"/>
        </w:rPr>
      </w:pPr>
      <w:r w:rsidRPr="0086073F">
        <w:rPr>
          <w:rFonts w:eastAsiaTheme="minorEastAsia"/>
          <w:b/>
          <w:noProof/>
          <w:lang w:val="en-US" w:eastAsia="zh-CN"/>
        </w:rPr>
        <w:lastRenderedPageBreak/>
        <w:drawing>
          <wp:inline distT="0" distB="0" distL="0" distR="0" wp14:anchorId="3519DF3A" wp14:editId="3C9593B8">
            <wp:extent cx="5943600" cy="5173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173980"/>
                    </a:xfrm>
                    <a:prstGeom prst="rect">
                      <a:avLst/>
                    </a:prstGeom>
                    <a:noFill/>
                    <a:ln>
                      <a:noFill/>
                    </a:ln>
                  </pic:spPr>
                </pic:pic>
              </a:graphicData>
            </a:graphic>
          </wp:inline>
        </w:drawing>
      </w:r>
    </w:p>
    <w:p w14:paraId="1329A849" w14:textId="34FC3A4A" w:rsidR="0086073F" w:rsidRPr="00C87402" w:rsidRDefault="0086073F" w:rsidP="0086073F">
      <w:pPr>
        <w:spacing w:after="160" w:line="480" w:lineRule="auto"/>
        <w:jc w:val="both"/>
        <w:rPr>
          <w:rFonts w:eastAsiaTheme="minorEastAsia"/>
          <w:b/>
          <w:iCs/>
          <w:lang w:val="en-US" w:eastAsia="zh-CN"/>
        </w:rPr>
      </w:pPr>
      <w:r w:rsidRPr="00C87402">
        <w:rPr>
          <w:rFonts w:eastAsiaTheme="minorEastAsia"/>
          <w:b/>
          <w:bCs/>
          <w:iCs/>
          <w:lang w:val="en-US" w:eastAsia="zh-CN"/>
        </w:rPr>
        <w:t>Figure S10.</w:t>
      </w:r>
      <w:r w:rsidRPr="00C87402">
        <w:rPr>
          <w:rFonts w:eastAsiaTheme="minorEastAsia"/>
          <w:iCs/>
          <w:lang w:val="en-US" w:eastAsia="zh-CN"/>
        </w:rPr>
        <w:t xml:space="preserve"> </w:t>
      </w:r>
      <w:r w:rsidRPr="00C87402">
        <w:rPr>
          <w:rFonts w:eastAsiaTheme="minorEastAsia"/>
          <w:b/>
          <w:iCs/>
          <w:lang w:val="en-US" w:eastAsia="zh-CN"/>
        </w:rPr>
        <w:t xml:space="preserve">Interpretive breakpoint testing reliably classifies reference </w:t>
      </w:r>
      <w:r w:rsidRPr="00527CA3">
        <w:rPr>
          <w:rFonts w:eastAsiaTheme="minorEastAsia"/>
          <w:b/>
          <w:i/>
          <w:lang w:val="en-US" w:eastAsia="zh-CN"/>
        </w:rPr>
        <w:t>E. coli</w:t>
      </w:r>
      <w:r w:rsidRPr="00C87402">
        <w:rPr>
          <w:rFonts w:eastAsiaTheme="minorEastAsia"/>
          <w:b/>
          <w:iCs/>
          <w:lang w:val="en-US" w:eastAsia="zh-CN"/>
        </w:rPr>
        <w:t xml:space="preserve"> strains</w:t>
      </w:r>
      <w:r w:rsidRPr="00C87402">
        <w:rPr>
          <w:rFonts w:eastAsiaTheme="minorEastAsia"/>
          <w:iCs/>
          <w:lang w:val="en-US" w:eastAsia="zh-CN"/>
        </w:rPr>
        <w:t>. (A)(</w:t>
      </w:r>
      <w:proofErr w:type="spellStart"/>
      <w:r w:rsidRPr="00C87402">
        <w:rPr>
          <w:rFonts w:eastAsiaTheme="minorEastAsia"/>
          <w:iCs/>
          <w:lang w:val="en-US" w:eastAsia="zh-CN"/>
        </w:rPr>
        <w:t>i</w:t>
      </w:r>
      <w:proofErr w:type="spellEnd"/>
      <w:r w:rsidRPr="00C87402">
        <w:rPr>
          <w:rFonts w:eastAsiaTheme="minorEastAsia"/>
          <w:iCs/>
          <w:lang w:val="en-US" w:eastAsia="zh-CN"/>
        </w:rPr>
        <w:t xml:space="preserve">) The t-test p-values for interpretive breakpoint testing using susceptible reference strain all fell below the threshold and showed a significant difference between antibiotic treatment and no antibiotic control, indicating bacterial growth was significantly inhibited. Therefore, the clinical MICs for SXT, CIP, GEN and TOB were identified as lower than or equal to </w:t>
      </w:r>
      <w:r w:rsidRPr="00C87402">
        <w:rPr>
          <w:rFonts w:eastAsiaTheme="minorEastAsia" w:cstheme="minorBidi"/>
          <w:iCs/>
          <w:lang w:val="en-US" w:eastAsia="zh-CN"/>
        </w:rPr>
        <w:t xml:space="preserve">2/38 </w:t>
      </w:r>
      <w:r w:rsidR="00056B48">
        <w:rPr>
          <w:rFonts w:eastAsiaTheme="minorEastAsia" w:cstheme="minorBidi"/>
          <w:iCs/>
          <w:lang w:val="en-US" w:eastAsia="zh-CN"/>
        </w:rPr>
        <w:t>µg mL</w:t>
      </w:r>
      <w:r w:rsidR="00056B48" w:rsidRPr="00755F21">
        <w:rPr>
          <w:rFonts w:eastAsiaTheme="minorEastAsia" w:cstheme="minorBidi"/>
          <w:iCs/>
          <w:vertAlign w:val="superscript"/>
          <w:lang w:val="en-US" w:eastAsia="zh-CN"/>
        </w:rPr>
        <w:t>-1</w:t>
      </w:r>
      <w:r w:rsidRPr="00C87402">
        <w:rPr>
          <w:rFonts w:eastAsiaTheme="minorEastAsia" w:cstheme="minorBidi"/>
          <w:iCs/>
          <w:lang w:val="en-US" w:eastAsia="zh-CN"/>
        </w:rPr>
        <w:t xml:space="preserve">, 1 </w:t>
      </w:r>
      <w:r w:rsidR="00056B48">
        <w:rPr>
          <w:rFonts w:eastAsiaTheme="minorEastAsia" w:cstheme="minorBidi"/>
          <w:iCs/>
          <w:lang w:val="en-US" w:eastAsia="zh-CN"/>
        </w:rPr>
        <w:t>µg mL</w:t>
      </w:r>
      <w:r w:rsidR="00056B48" w:rsidRPr="00755F21">
        <w:rPr>
          <w:rFonts w:eastAsiaTheme="minorEastAsia" w:cstheme="minorBidi"/>
          <w:iCs/>
          <w:vertAlign w:val="superscript"/>
          <w:lang w:val="en-US" w:eastAsia="zh-CN"/>
        </w:rPr>
        <w:t>-1</w:t>
      </w:r>
      <w:r w:rsidRPr="00C87402">
        <w:rPr>
          <w:rFonts w:eastAsiaTheme="minorEastAsia" w:cstheme="minorBidi"/>
          <w:iCs/>
          <w:lang w:val="en-US" w:eastAsia="zh-CN"/>
        </w:rPr>
        <w:t xml:space="preserve">, 4 </w:t>
      </w:r>
      <w:r w:rsidR="00056B48">
        <w:rPr>
          <w:rFonts w:eastAsiaTheme="minorEastAsia" w:cstheme="minorBidi"/>
          <w:iCs/>
          <w:lang w:val="en-US" w:eastAsia="zh-CN"/>
        </w:rPr>
        <w:t>µg mL</w:t>
      </w:r>
      <w:r w:rsidR="00056B48" w:rsidRPr="00755F21">
        <w:rPr>
          <w:rFonts w:eastAsiaTheme="minorEastAsia" w:cstheme="minorBidi"/>
          <w:iCs/>
          <w:vertAlign w:val="superscript"/>
          <w:lang w:val="en-US" w:eastAsia="zh-CN"/>
        </w:rPr>
        <w:t>-1</w:t>
      </w:r>
      <w:r w:rsidRPr="00C87402">
        <w:rPr>
          <w:rFonts w:eastAsiaTheme="minorEastAsia" w:cstheme="minorBidi"/>
          <w:iCs/>
          <w:lang w:val="en-US" w:eastAsia="zh-CN"/>
        </w:rPr>
        <w:t xml:space="preserve">, and 4 </w:t>
      </w:r>
      <w:r w:rsidR="00056B48">
        <w:rPr>
          <w:rFonts w:eastAsiaTheme="minorEastAsia" w:cstheme="minorBidi"/>
          <w:iCs/>
          <w:lang w:val="en-US" w:eastAsia="zh-CN"/>
        </w:rPr>
        <w:t>µg mL</w:t>
      </w:r>
      <w:r w:rsidR="00056B48" w:rsidRPr="00755F21">
        <w:rPr>
          <w:rFonts w:eastAsiaTheme="minorEastAsia" w:cstheme="minorBidi"/>
          <w:iCs/>
          <w:vertAlign w:val="superscript"/>
          <w:lang w:val="en-US" w:eastAsia="zh-CN"/>
        </w:rPr>
        <w:t>-1</w:t>
      </w:r>
      <w:r w:rsidRPr="00C87402">
        <w:rPr>
          <w:rFonts w:eastAsiaTheme="minorEastAsia" w:cstheme="minorBidi"/>
          <w:iCs/>
          <w:lang w:val="en-US" w:eastAsia="zh-CN"/>
        </w:rPr>
        <w:t xml:space="preserve">, respectively, indicating the bacteria were susceptible to all four antibiotics based on CLSI guideline, matching </w:t>
      </w:r>
      <w:r w:rsidRPr="00C87402">
        <w:rPr>
          <w:rFonts w:eastAsiaTheme="minorEastAsia"/>
          <w:iCs/>
          <w:lang w:val="en-US" w:eastAsia="zh-CN"/>
        </w:rPr>
        <w:t xml:space="preserve">with susceptible phenotype (ii). </w:t>
      </w:r>
      <w:bookmarkStart w:id="1" w:name="_Hlk59184648"/>
      <w:r w:rsidRPr="00C87402">
        <w:rPr>
          <w:rFonts w:eastAsiaTheme="minorEastAsia"/>
          <w:iCs/>
          <w:lang w:val="en-US" w:eastAsia="zh-CN"/>
        </w:rPr>
        <w:t xml:space="preserve">The black S indicates the susceptible phenotype of </w:t>
      </w:r>
      <w:r w:rsidRPr="00527CA3">
        <w:rPr>
          <w:rFonts w:eastAsiaTheme="minorEastAsia"/>
          <w:i/>
          <w:lang w:val="en-US" w:eastAsia="zh-CN"/>
        </w:rPr>
        <w:t>E. coli</w:t>
      </w:r>
      <w:r w:rsidRPr="00C87402">
        <w:rPr>
          <w:rFonts w:eastAsiaTheme="minorEastAsia"/>
          <w:iCs/>
          <w:lang w:val="en-US" w:eastAsia="zh-CN"/>
        </w:rPr>
        <w:t xml:space="preserve"> reference strain while the green S means agreement of SCALe-AST category with bacterial phenotype</w:t>
      </w:r>
      <w:bookmarkEnd w:id="1"/>
      <w:r w:rsidRPr="00C87402">
        <w:rPr>
          <w:rFonts w:eastAsiaTheme="minorEastAsia"/>
          <w:iCs/>
          <w:lang w:val="en-US" w:eastAsia="zh-CN"/>
        </w:rPr>
        <w:t>. (B)(</w:t>
      </w:r>
      <w:proofErr w:type="spellStart"/>
      <w:r w:rsidRPr="00C87402">
        <w:rPr>
          <w:rFonts w:eastAsiaTheme="minorEastAsia"/>
          <w:iCs/>
          <w:lang w:val="en-US" w:eastAsia="zh-CN"/>
        </w:rPr>
        <w:t>i</w:t>
      </w:r>
      <w:proofErr w:type="spellEnd"/>
      <w:r w:rsidRPr="00C87402">
        <w:rPr>
          <w:rFonts w:eastAsiaTheme="minorEastAsia"/>
          <w:iCs/>
          <w:lang w:val="en-US" w:eastAsia="zh-CN"/>
        </w:rPr>
        <w:t xml:space="preserve">) The t-test p-value of interpretive breakpoint testing using a multidrug-resistant strain were all above </w:t>
      </w:r>
      <w:r w:rsidRPr="00C87402">
        <w:rPr>
          <w:rFonts w:eastAsiaTheme="minorEastAsia"/>
          <w:iCs/>
          <w:lang w:val="en-US" w:eastAsia="zh-CN"/>
        </w:rPr>
        <w:lastRenderedPageBreak/>
        <w:t xml:space="preserve">the threshold and showed no significant difference between antibiotic treatment and no antibiotic control, suggesting the bacteria growth was negligibly affected. Thus, the measured clinical MICs were above </w:t>
      </w:r>
      <w:r w:rsidRPr="00C87402">
        <w:rPr>
          <w:rFonts w:eastAsiaTheme="minorEastAsia" w:cstheme="minorBidi"/>
          <w:iCs/>
          <w:lang w:val="en-US" w:eastAsia="zh-CN"/>
        </w:rPr>
        <w:t xml:space="preserve">4/76 </w:t>
      </w:r>
      <w:r w:rsidR="00056B48">
        <w:rPr>
          <w:rFonts w:eastAsiaTheme="minorEastAsia" w:cstheme="minorBidi"/>
          <w:iCs/>
          <w:lang w:val="en-US" w:eastAsia="zh-CN"/>
        </w:rPr>
        <w:t>µg mL</w:t>
      </w:r>
      <w:r w:rsidR="00056B48" w:rsidRPr="00056B48">
        <w:rPr>
          <w:rFonts w:eastAsiaTheme="minorEastAsia" w:cstheme="minorBidi"/>
          <w:iCs/>
          <w:vertAlign w:val="superscript"/>
          <w:lang w:val="en-US" w:eastAsia="zh-CN"/>
        </w:rPr>
        <w:t>-1</w:t>
      </w:r>
      <w:r w:rsidRPr="00C87402">
        <w:rPr>
          <w:rFonts w:eastAsiaTheme="minorEastAsia" w:cstheme="minorBidi"/>
          <w:iCs/>
          <w:lang w:val="en-US" w:eastAsia="zh-CN"/>
        </w:rPr>
        <w:t xml:space="preserve">, 4 </w:t>
      </w:r>
      <w:r w:rsidR="00056B48">
        <w:rPr>
          <w:rFonts w:eastAsiaTheme="minorEastAsia" w:cstheme="minorBidi"/>
          <w:iCs/>
          <w:lang w:val="en-US" w:eastAsia="zh-CN"/>
        </w:rPr>
        <w:t>µg mL</w:t>
      </w:r>
      <w:r w:rsidR="00056B48" w:rsidRPr="00056B48">
        <w:rPr>
          <w:rFonts w:eastAsiaTheme="minorEastAsia" w:cstheme="minorBidi"/>
          <w:iCs/>
          <w:vertAlign w:val="superscript"/>
          <w:lang w:val="en-US" w:eastAsia="zh-CN"/>
        </w:rPr>
        <w:t>-1</w:t>
      </w:r>
      <w:r w:rsidRPr="00C87402">
        <w:rPr>
          <w:rFonts w:eastAsiaTheme="minorEastAsia" w:cstheme="minorBidi"/>
          <w:iCs/>
          <w:lang w:val="en-US" w:eastAsia="zh-CN"/>
        </w:rPr>
        <w:t xml:space="preserve">, 16 </w:t>
      </w:r>
      <w:r w:rsidR="00056B48">
        <w:rPr>
          <w:rFonts w:eastAsiaTheme="minorEastAsia" w:cstheme="minorBidi"/>
          <w:iCs/>
          <w:lang w:val="en-US" w:eastAsia="zh-CN"/>
        </w:rPr>
        <w:t>µg mL</w:t>
      </w:r>
      <w:r w:rsidR="00056B48" w:rsidRPr="00056B48">
        <w:rPr>
          <w:rFonts w:eastAsiaTheme="minorEastAsia" w:cstheme="minorBidi"/>
          <w:iCs/>
          <w:vertAlign w:val="superscript"/>
          <w:lang w:val="en-US" w:eastAsia="zh-CN"/>
        </w:rPr>
        <w:t>-1</w:t>
      </w:r>
      <w:r w:rsidRPr="00C87402">
        <w:rPr>
          <w:rFonts w:eastAsiaTheme="minorEastAsia" w:cstheme="minorBidi"/>
          <w:iCs/>
          <w:lang w:val="en-US" w:eastAsia="zh-CN"/>
        </w:rPr>
        <w:t xml:space="preserve">, and 16 </w:t>
      </w:r>
      <w:r w:rsidR="00056B48">
        <w:rPr>
          <w:rFonts w:eastAsiaTheme="minorEastAsia" w:cstheme="minorBidi"/>
          <w:iCs/>
          <w:lang w:val="en-US" w:eastAsia="zh-CN"/>
        </w:rPr>
        <w:t>µg mL</w:t>
      </w:r>
      <w:r w:rsidR="00056B48" w:rsidRPr="00056B48">
        <w:rPr>
          <w:rFonts w:eastAsiaTheme="minorEastAsia" w:cstheme="minorBidi"/>
          <w:iCs/>
          <w:vertAlign w:val="superscript"/>
          <w:lang w:val="en-US" w:eastAsia="zh-CN"/>
        </w:rPr>
        <w:t>-1</w:t>
      </w:r>
      <w:r w:rsidRPr="00C87402">
        <w:rPr>
          <w:rFonts w:eastAsiaTheme="minorEastAsia" w:cstheme="minorBidi"/>
          <w:iCs/>
          <w:lang w:val="en-US" w:eastAsia="zh-CN"/>
        </w:rPr>
        <w:t xml:space="preserve"> for SXT, CIP, GEN and TOB, respectively, suggesting the bacteria were resistant to all four antibiotics, which again was consistent with</w:t>
      </w:r>
      <w:r w:rsidRPr="00C87402">
        <w:rPr>
          <w:rFonts w:eastAsiaTheme="minorEastAsia"/>
          <w:iCs/>
          <w:lang w:val="en-US" w:eastAsia="zh-CN"/>
        </w:rPr>
        <w:t xml:space="preserve"> the multidrug-resistant phenotype (ii). The interpretive breakpoint tests for both susceptible and multi-drug resistant reference strains were tested in triplicate in different devices to demonstrate the robustness of SCALe-AST. </w:t>
      </w:r>
    </w:p>
    <w:p w14:paraId="4029B044" w14:textId="77777777" w:rsidR="0086073F" w:rsidRPr="0086073F" w:rsidRDefault="0086073F" w:rsidP="0086073F">
      <w:pPr>
        <w:spacing w:after="160" w:line="259" w:lineRule="auto"/>
        <w:rPr>
          <w:rFonts w:eastAsiaTheme="minorEastAsia"/>
          <w:b/>
          <w:lang w:val="en-US" w:eastAsia="zh-CN"/>
        </w:rPr>
      </w:pPr>
      <w:r w:rsidRPr="0086073F">
        <w:rPr>
          <w:rFonts w:eastAsiaTheme="minorEastAsia"/>
          <w:b/>
          <w:lang w:val="en-US" w:eastAsia="zh-CN"/>
        </w:rPr>
        <w:br w:type="page"/>
      </w:r>
    </w:p>
    <w:p w14:paraId="1A5BFFF1" w14:textId="77777777" w:rsidR="0086073F" w:rsidRPr="0086073F" w:rsidRDefault="0086073F" w:rsidP="0086073F">
      <w:pPr>
        <w:spacing w:after="160" w:line="480" w:lineRule="auto"/>
        <w:jc w:val="center"/>
        <w:rPr>
          <w:rFonts w:eastAsiaTheme="minorEastAsia"/>
          <w:b/>
          <w:lang w:val="en-US" w:eastAsia="zh-CN"/>
        </w:rPr>
      </w:pPr>
      <w:r w:rsidRPr="0086073F">
        <w:rPr>
          <w:rFonts w:eastAsiaTheme="minorEastAsia"/>
          <w:b/>
          <w:noProof/>
          <w:lang w:val="en-US" w:eastAsia="zh-CN"/>
        </w:rPr>
        <w:lastRenderedPageBreak/>
        <w:drawing>
          <wp:inline distT="0" distB="0" distL="0" distR="0" wp14:anchorId="5150BB4B" wp14:editId="212E0C4E">
            <wp:extent cx="2902527" cy="225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3221" cy="2271883"/>
                    </a:xfrm>
                    <a:prstGeom prst="rect">
                      <a:avLst/>
                    </a:prstGeom>
                    <a:noFill/>
                  </pic:spPr>
                </pic:pic>
              </a:graphicData>
            </a:graphic>
          </wp:inline>
        </w:drawing>
      </w:r>
    </w:p>
    <w:p w14:paraId="56766EDB" w14:textId="5E1D045C" w:rsidR="0086073F" w:rsidRPr="00C87402" w:rsidRDefault="0086073F" w:rsidP="0086073F">
      <w:pPr>
        <w:spacing w:after="160" w:line="480" w:lineRule="auto"/>
        <w:jc w:val="both"/>
        <w:rPr>
          <w:rFonts w:eastAsiaTheme="minorEastAsia"/>
          <w:bCs/>
          <w:lang w:val="en-US" w:eastAsia="zh-CN"/>
        </w:rPr>
      </w:pPr>
      <w:r w:rsidRPr="00C87402">
        <w:rPr>
          <w:rFonts w:eastAsiaTheme="minorEastAsia"/>
          <w:b/>
          <w:lang w:val="en-US" w:eastAsia="zh-CN"/>
        </w:rPr>
        <w:t>Figure S11.</w:t>
      </w:r>
      <w:r w:rsidRPr="00C87402">
        <w:rPr>
          <w:rFonts w:eastAsiaTheme="minorEastAsia"/>
          <w:bCs/>
          <w:lang w:val="en-US" w:eastAsia="zh-CN"/>
        </w:rPr>
        <w:t xml:space="preserve"> </w:t>
      </w:r>
      <w:r w:rsidRPr="00C87402">
        <w:rPr>
          <w:rFonts w:eastAsiaTheme="minorEastAsia"/>
          <w:b/>
          <w:lang w:val="en-US" w:eastAsia="zh-CN"/>
        </w:rPr>
        <w:t xml:space="preserve">The facile filtration protocol facilitates rapid bacteria recovery from urine specimens. </w:t>
      </w:r>
      <w:r w:rsidRPr="00C87402">
        <w:rPr>
          <w:rFonts w:eastAsiaTheme="minorEastAsia"/>
          <w:bCs/>
          <w:lang w:val="en-US" w:eastAsia="zh-CN"/>
        </w:rPr>
        <w:t xml:space="preserve">The urine sample is firstly filtered to remove large non-bacterial impurities using a filter with a pore size ranging from 5 </w:t>
      </w:r>
      <w:r w:rsidRPr="00C87402">
        <w:rPr>
          <w:rFonts w:ascii="Calibri" w:eastAsiaTheme="minorEastAsia" w:hAnsi="Calibri" w:cs="Calibri"/>
          <w:bCs/>
          <w:lang w:val="en-US" w:eastAsia="zh-CN"/>
        </w:rPr>
        <w:t>µ</w:t>
      </w:r>
      <w:r w:rsidRPr="00C87402">
        <w:rPr>
          <w:rFonts w:eastAsiaTheme="minorEastAsia"/>
          <w:bCs/>
          <w:lang w:val="en-US" w:eastAsia="zh-CN"/>
        </w:rPr>
        <w:t xml:space="preserve">m to 35 </w:t>
      </w:r>
      <w:r w:rsidRPr="00C87402">
        <w:rPr>
          <w:rFonts w:ascii="Calibri" w:eastAsiaTheme="minorEastAsia" w:hAnsi="Calibri" w:cs="Calibri"/>
          <w:bCs/>
          <w:lang w:val="en-US" w:eastAsia="zh-CN"/>
        </w:rPr>
        <w:t>µ</w:t>
      </w:r>
      <w:r w:rsidRPr="00C87402">
        <w:rPr>
          <w:rFonts w:eastAsiaTheme="minorEastAsia"/>
          <w:bCs/>
          <w:lang w:val="en-US" w:eastAsia="zh-CN"/>
        </w:rPr>
        <w:t xml:space="preserve">m followed by a second filtration to trap the bacteria on the filtering membrane with a 0.22 µm pore size. The flow direction is then reverted to resuspend the trapped bacteria in MH broth for interpretive breakpoint testing. </w:t>
      </w:r>
    </w:p>
    <w:p w14:paraId="1887AB24" w14:textId="77777777" w:rsidR="0086073F" w:rsidRPr="0086073F" w:rsidRDefault="0086073F" w:rsidP="0086073F">
      <w:pPr>
        <w:spacing w:after="160" w:line="480" w:lineRule="auto"/>
        <w:jc w:val="both"/>
        <w:rPr>
          <w:rFonts w:eastAsiaTheme="minorEastAsia"/>
          <w:i/>
          <w:lang w:val="en-US" w:eastAsia="zh-CN"/>
        </w:rPr>
      </w:pPr>
    </w:p>
    <w:p w14:paraId="27BD46EA" w14:textId="77777777" w:rsidR="0086073F" w:rsidRPr="0086073F" w:rsidRDefault="0086073F" w:rsidP="0086073F">
      <w:pPr>
        <w:spacing w:after="160" w:line="480" w:lineRule="auto"/>
        <w:jc w:val="center"/>
        <w:rPr>
          <w:rFonts w:eastAsiaTheme="minorEastAsia"/>
          <w:i/>
          <w:lang w:val="en-US" w:eastAsia="zh-CN"/>
        </w:rPr>
      </w:pPr>
      <w:r w:rsidRPr="0086073F">
        <w:rPr>
          <w:rFonts w:eastAsiaTheme="minorEastAsia"/>
          <w:i/>
          <w:noProof/>
          <w:lang w:val="en-US" w:eastAsia="zh-CN"/>
        </w:rPr>
        <w:lastRenderedPageBreak/>
        <w:drawing>
          <wp:inline distT="0" distB="0" distL="0" distR="0" wp14:anchorId="7E9AE0ED" wp14:editId="16B3E713">
            <wp:extent cx="2592824" cy="4244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6891" cy="4250998"/>
                    </a:xfrm>
                    <a:prstGeom prst="rect">
                      <a:avLst/>
                    </a:prstGeom>
                    <a:noFill/>
                    <a:ln>
                      <a:noFill/>
                    </a:ln>
                  </pic:spPr>
                </pic:pic>
              </a:graphicData>
            </a:graphic>
          </wp:inline>
        </w:drawing>
      </w:r>
    </w:p>
    <w:p w14:paraId="235659C0" w14:textId="376F9775" w:rsidR="0086073F" w:rsidRPr="00C87402" w:rsidRDefault="0086073F" w:rsidP="0086073F">
      <w:pPr>
        <w:spacing w:after="160" w:line="480" w:lineRule="auto"/>
        <w:jc w:val="both"/>
        <w:rPr>
          <w:rFonts w:eastAsiaTheme="minorEastAsia"/>
          <w:iCs/>
          <w:lang w:val="en-US" w:eastAsia="zh-CN"/>
        </w:rPr>
      </w:pPr>
      <w:r w:rsidRPr="00C87402">
        <w:rPr>
          <w:rFonts w:eastAsiaTheme="minorEastAsia"/>
          <w:b/>
          <w:bCs/>
          <w:iCs/>
          <w:lang w:val="en-US" w:eastAsia="zh-CN"/>
        </w:rPr>
        <w:t>Figure S12.</w:t>
      </w:r>
      <w:r w:rsidRPr="00C87402">
        <w:rPr>
          <w:rFonts w:eastAsiaTheme="minorEastAsia"/>
          <w:iCs/>
          <w:lang w:val="en-US" w:eastAsia="zh-CN"/>
        </w:rPr>
        <w:t xml:space="preserve"> </w:t>
      </w:r>
      <w:r w:rsidRPr="00C87402">
        <w:rPr>
          <w:rFonts w:eastAsiaTheme="minorEastAsia"/>
          <w:b/>
          <w:bCs/>
          <w:iCs/>
          <w:lang w:val="en-US" w:eastAsia="zh-CN"/>
        </w:rPr>
        <w:t>The SCALe-AST fabrication protocol.</w:t>
      </w:r>
      <w:r w:rsidRPr="00C87402">
        <w:rPr>
          <w:rFonts w:eastAsiaTheme="minorEastAsia"/>
          <w:iCs/>
          <w:lang w:val="en-US" w:eastAsia="zh-CN"/>
        </w:rPr>
        <w:t xml:space="preserve"> A thin valve layer was fabricated and peeled from the mold with the help of a reversibly-bonded thick sacrificial layer followed by bonding with glass slides. The sacrificial layer was discarded before bonding a fluidic layer on top of the thin valve layer. Finally, an adapter layer was stacked on top of microvalve part of fluidic layer while the incubation channel was sealed with a cover glass.</w:t>
      </w:r>
    </w:p>
    <w:p w14:paraId="44EFE359" w14:textId="77777777" w:rsidR="003B4188" w:rsidRDefault="003B4188">
      <w:pPr>
        <w:rPr>
          <w:rFonts w:eastAsiaTheme="minorEastAsia"/>
          <w:i/>
          <w:lang w:val="en-US" w:eastAsia="zh-CN"/>
        </w:rPr>
      </w:pPr>
      <w:r>
        <w:rPr>
          <w:rFonts w:eastAsiaTheme="minorEastAsia"/>
          <w:i/>
          <w:lang w:val="en-US" w:eastAsia="zh-CN"/>
        </w:rPr>
        <w:br w:type="page"/>
      </w:r>
    </w:p>
    <w:p w14:paraId="42BDCCF4" w14:textId="466251FB" w:rsidR="0086073F" w:rsidRPr="0086073F" w:rsidRDefault="0086073F" w:rsidP="0086073F">
      <w:pPr>
        <w:spacing w:after="160" w:line="480" w:lineRule="auto"/>
        <w:jc w:val="both"/>
        <w:rPr>
          <w:rFonts w:eastAsiaTheme="minorEastAsia"/>
          <w:i/>
          <w:lang w:val="en-US" w:eastAsia="zh-CN"/>
        </w:rPr>
      </w:pPr>
      <w:r w:rsidRPr="0086073F">
        <w:rPr>
          <w:rFonts w:eastAsiaTheme="minorEastAsia"/>
          <w:i/>
          <w:noProof/>
          <w:lang w:val="en-US" w:eastAsia="zh-CN"/>
        </w:rPr>
        <w:lastRenderedPageBreak/>
        <w:drawing>
          <wp:inline distT="0" distB="0" distL="0" distR="0" wp14:anchorId="0EB48ADD" wp14:editId="3F3FF449">
            <wp:extent cx="5943600" cy="2080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080260"/>
                    </a:xfrm>
                    <a:prstGeom prst="rect">
                      <a:avLst/>
                    </a:prstGeom>
                    <a:noFill/>
                    <a:ln>
                      <a:noFill/>
                    </a:ln>
                  </pic:spPr>
                </pic:pic>
              </a:graphicData>
            </a:graphic>
          </wp:inline>
        </w:drawing>
      </w:r>
    </w:p>
    <w:p w14:paraId="066C7AF2" w14:textId="08807963" w:rsidR="0086073F" w:rsidRPr="00C87402" w:rsidRDefault="0086073F" w:rsidP="0086073F">
      <w:pPr>
        <w:spacing w:after="160" w:line="480" w:lineRule="auto"/>
        <w:jc w:val="both"/>
        <w:rPr>
          <w:rFonts w:eastAsiaTheme="minorEastAsia"/>
          <w:iCs/>
          <w:lang w:val="en-US" w:eastAsia="zh-CN"/>
        </w:rPr>
      </w:pPr>
      <w:r w:rsidRPr="00C87402">
        <w:rPr>
          <w:rFonts w:eastAsiaTheme="minorEastAsia"/>
          <w:b/>
          <w:bCs/>
          <w:iCs/>
          <w:lang w:val="en-US" w:eastAsia="zh-CN"/>
        </w:rPr>
        <w:t>Figure S13.</w:t>
      </w:r>
      <w:r w:rsidRPr="00C87402">
        <w:rPr>
          <w:rFonts w:eastAsiaTheme="minorEastAsia"/>
          <w:iCs/>
          <w:lang w:val="en-US" w:eastAsia="zh-CN"/>
        </w:rPr>
        <w:t xml:space="preserve"> </w:t>
      </w:r>
      <w:r w:rsidRPr="00C87402">
        <w:rPr>
          <w:rFonts w:eastAsiaTheme="minorEastAsia"/>
          <w:b/>
          <w:bCs/>
          <w:iCs/>
          <w:lang w:val="en-US" w:eastAsia="zh-CN"/>
        </w:rPr>
        <w:t>The thin fluidic layer sealed by a cover glass prevents picodroplet evaporation.</w:t>
      </w:r>
      <w:r w:rsidRPr="00C87402">
        <w:rPr>
          <w:rFonts w:eastAsiaTheme="minorEastAsia"/>
          <w:iCs/>
          <w:lang w:val="en-US" w:eastAsia="zh-CN"/>
        </w:rPr>
        <w:t xml:space="preserve"> (A) The thick fluidic layer has a larger side interface which results in a severe evaporation for initial droplet groups after 90 min incubation at 37 ⁰C. (B) By using a thin fluidic layer instead sealed with a cover glass, the side interface is minimized and as a result, the evaporation is prohibited.</w:t>
      </w:r>
      <w:r w:rsidRPr="00C87402">
        <w:rPr>
          <w:rFonts w:eastAsiaTheme="minorEastAsia"/>
          <w:iCs/>
          <w:lang w:val="en-US" w:eastAsia="zh-CN"/>
        </w:rPr>
        <w:br w:type="page"/>
      </w:r>
    </w:p>
    <w:p w14:paraId="0AB54246" w14:textId="484C22AE" w:rsidR="0086073F" w:rsidRDefault="0086073F" w:rsidP="0086073F">
      <w:pPr>
        <w:suppressAutoHyphens/>
        <w:spacing w:line="480" w:lineRule="auto"/>
        <w:jc w:val="center"/>
        <w:rPr>
          <w:rFonts w:eastAsia="SimSun"/>
          <w:b/>
          <w:bCs/>
          <w:iCs/>
          <w:lang w:val="en-US" w:eastAsia="en-US"/>
        </w:rPr>
      </w:pPr>
      <w:r w:rsidRPr="00C87402">
        <w:rPr>
          <w:rFonts w:eastAsia="SimSun"/>
          <w:b/>
          <w:bCs/>
          <w:iCs/>
          <w:lang w:val="en-US" w:eastAsia="en-US"/>
        </w:rPr>
        <w:lastRenderedPageBreak/>
        <w:t xml:space="preserve">Table </w:t>
      </w:r>
      <w:r w:rsidR="00310265" w:rsidRPr="00C87402">
        <w:rPr>
          <w:rFonts w:eastAsia="SimSun"/>
          <w:b/>
          <w:bCs/>
          <w:iCs/>
          <w:lang w:val="en-US" w:eastAsia="en-US"/>
        </w:rPr>
        <w:t>S</w:t>
      </w:r>
      <w:r w:rsidRPr="00C87402">
        <w:rPr>
          <w:rFonts w:eastAsia="SimSun"/>
          <w:b/>
          <w:bCs/>
          <w:iCs/>
          <w:lang w:val="en-US" w:eastAsia="en-US"/>
        </w:rPr>
        <w:t>1. Optimization of oil combination for SCALe-AST</w:t>
      </w:r>
    </w:p>
    <w:p w14:paraId="2BDB49E6" w14:textId="73BB5A84" w:rsidR="00676346" w:rsidRDefault="00676346" w:rsidP="00527CA3">
      <w:pPr>
        <w:rPr>
          <w:rFonts w:eastAsia="SimSun"/>
          <w:szCs w:val="20"/>
          <w:lang w:val="en-US" w:eastAsia="en-US"/>
        </w:rPr>
      </w:pPr>
      <w:r w:rsidRPr="00676346">
        <w:rPr>
          <w:rFonts w:eastAsia="SimSun"/>
          <w:szCs w:val="20"/>
          <w:lang w:val="en-US" w:eastAsia="en-US"/>
        </w:rPr>
        <w:t xml:space="preserve">Using HFE 7500 for nanoplug assembly and HFE 7500 plus 1.2% 008-FluoroSurfactant for droplet generation ensure stable droplet generation as well as minimal resazurin diffusion. Other combination would result in either unstable droplets or fluorophore diffusion. </w:t>
      </w:r>
    </w:p>
    <w:tbl>
      <w:tblPr>
        <w:tblStyle w:val="ListTable2-Accent61"/>
        <w:tblpPr w:leftFromText="180" w:rightFromText="180" w:vertAnchor="text" w:horzAnchor="margin" w:tblpY="89"/>
        <w:tblW w:w="9395" w:type="dxa"/>
        <w:tblLook w:val="04A0" w:firstRow="1" w:lastRow="0" w:firstColumn="1" w:lastColumn="0" w:noHBand="0" w:noVBand="1"/>
      </w:tblPr>
      <w:tblGrid>
        <w:gridCol w:w="1456"/>
        <w:gridCol w:w="2850"/>
        <w:gridCol w:w="2193"/>
        <w:gridCol w:w="2896"/>
      </w:tblGrid>
      <w:tr w:rsidR="00527CA3" w:rsidRPr="009F7E51" w14:paraId="5B0BE948" w14:textId="77777777" w:rsidTr="00616B40">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56" w:type="dxa"/>
            <w:tcBorders>
              <w:top w:val="single" w:sz="12" w:space="0" w:color="000000" w:themeColor="text1"/>
              <w:bottom w:val="single" w:sz="12" w:space="0" w:color="000000" w:themeColor="text1"/>
            </w:tcBorders>
            <w:noWrap/>
            <w:hideMark/>
          </w:tcPr>
          <w:p w14:paraId="25E63212" w14:textId="77777777" w:rsidR="00527CA3" w:rsidRPr="009F7E51" w:rsidRDefault="00527CA3" w:rsidP="00616B40">
            <w:pPr>
              <w:pStyle w:val="Caption"/>
              <w:widowControl w:val="0"/>
              <w:rPr>
                <w:rFonts w:ascii="Times New Roman" w:hAnsi="Times New Roman"/>
                <w:b/>
                <w:bCs w:val="0"/>
                <w:i/>
                <w:color w:val="000000" w:themeColor="text1"/>
                <w:sz w:val="22"/>
                <w:szCs w:val="22"/>
              </w:rPr>
            </w:pPr>
            <w:r w:rsidRPr="009F7E51">
              <w:rPr>
                <w:rFonts w:ascii="Times New Roman" w:hAnsi="Times New Roman"/>
                <w:b/>
                <w:color w:val="000000" w:themeColor="text1"/>
                <w:sz w:val="22"/>
                <w:szCs w:val="22"/>
              </w:rPr>
              <w:t>Nanoplug assembly oil</w:t>
            </w:r>
          </w:p>
        </w:tc>
        <w:tc>
          <w:tcPr>
            <w:tcW w:w="2850" w:type="dxa"/>
            <w:tcBorders>
              <w:top w:val="single" w:sz="12" w:space="0" w:color="000000" w:themeColor="text1"/>
              <w:bottom w:val="single" w:sz="12" w:space="0" w:color="000000" w:themeColor="text1"/>
            </w:tcBorders>
            <w:noWrap/>
            <w:hideMark/>
          </w:tcPr>
          <w:p w14:paraId="0B1B9AF5" w14:textId="77777777" w:rsidR="00527CA3" w:rsidRPr="009F7E51" w:rsidRDefault="00527CA3" w:rsidP="00616B40">
            <w:pPr>
              <w:pStyle w:val="Caption"/>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b/>
                <w:bCs w:val="0"/>
                <w:i/>
                <w:color w:val="000000" w:themeColor="text1"/>
                <w:sz w:val="22"/>
                <w:szCs w:val="22"/>
              </w:rPr>
            </w:pPr>
            <w:r w:rsidRPr="009F7E51">
              <w:rPr>
                <w:rFonts w:ascii="Times New Roman" w:hAnsi="Times New Roman"/>
                <w:b/>
                <w:color w:val="000000" w:themeColor="text1"/>
                <w:sz w:val="22"/>
                <w:szCs w:val="22"/>
              </w:rPr>
              <w:t>Droplet generation oil</w:t>
            </w:r>
          </w:p>
        </w:tc>
        <w:tc>
          <w:tcPr>
            <w:tcW w:w="2193" w:type="dxa"/>
            <w:tcBorders>
              <w:top w:val="single" w:sz="12" w:space="0" w:color="000000" w:themeColor="text1"/>
              <w:bottom w:val="single" w:sz="12" w:space="0" w:color="000000" w:themeColor="text1"/>
            </w:tcBorders>
          </w:tcPr>
          <w:p w14:paraId="3D14683E" w14:textId="77777777" w:rsidR="00527CA3" w:rsidRPr="009F7E51" w:rsidRDefault="00527CA3" w:rsidP="00616B40">
            <w:pPr>
              <w:pStyle w:val="Caption"/>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b/>
                <w:bCs w:val="0"/>
                <w:i/>
                <w:color w:val="000000" w:themeColor="text1"/>
                <w:sz w:val="22"/>
                <w:szCs w:val="22"/>
              </w:rPr>
            </w:pPr>
            <w:r w:rsidRPr="009F7E51">
              <w:rPr>
                <w:rFonts w:ascii="Times New Roman" w:hAnsi="Times New Roman"/>
                <w:b/>
                <w:color w:val="000000" w:themeColor="text1"/>
                <w:sz w:val="22"/>
                <w:szCs w:val="22"/>
              </w:rPr>
              <w:t>Nanoplug Assembly</w:t>
            </w:r>
          </w:p>
        </w:tc>
        <w:tc>
          <w:tcPr>
            <w:tcW w:w="2896" w:type="dxa"/>
            <w:tcBorders>
              <w:top w:val="single" w:sz="12" w:space="0" w:color="000000" w:themeColor="text1"/>
              <w:bottom w:val="single" w:sz="12" w:space="0" w:color="000000" w:themeColor="text1"/>
            </w:tcBorders>
            <w:noWrap/>
            <w:hideMark/>
          </w:tcPr>
          <w:p w14:paraId="52EFF80D" w14:textId="77777777" w:rsidR="00527CA3" w:rsidRPr="009F7E51" w:rsidRDefault="00527CA3" w:rsidP="00616B40">
            <w:pPr>
              <w:pStyle w:val="Caption"/>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b/>
                <w:bCs w:val="0"/>
                <w:i/>
                <w:color w:val="000000" w:themeColor="text1"/>
                <w:sz w:val="22"/>
                <w:szCs w:val="22"/>
              </w:rPr>
            </w:pPr>
            <w:r w:rsidRPr="009F7E51">
              <w:rPr>
                <w:rFonts w:ascii="Times New Roman" w:hAnsi="Times New Roman"/>
                <w:b/>
                <w:color w:val="000000" w:themeColor="text1"/>
                <w:sz w:val="22"/>
                <w:szCs w:val="22"/>
              </w:rPr>
              <w:t>Picodroplet Outcome</w:t>
            </w:r>
          </w:p>
        </w:tc>
      </w:tr>
      <w:tr w:rsidR="00527CA3" w:rsidRPr="009F7E51" w14:paraId="1E42C56D" w14:textId="77777777" w:rsidTr="00616B40">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456" w:type="dxa"/>
            <w:tcBorders>
              <w:top w:val="single" w:sz="12" w:space="0" w:color="000000" w:themeColor="text1"/>
            </w:tcBorders>
            <w:shd w:val="clear" w:color="auto" w:fill="B4C6E7" w:themeFill="accent1" w:themeFillTint="66"/>
            <w:noWrap/>
            <w:hideMark/>
          </w:tcPr>
          <w:p w14:paraId="730151D6" w14:textId="77777777" w:rsidR="00527CA3" w:rsidRPr="009F7E51" w:rsidRDefault="00527CA3" w:rsidP="00616B40">
            <w:pPr>
              <w:pStyle w:val="Caption"/>
              <w:widowControl w:val="0"/>
              <w:rPr>
                <w:rFonts w:ascii="Times New Roman" w:hAnsi="Times New Roman"/>
                <w:b/>
                <w:i/>
                <w:color w:val="000000" w:themeColor="text1"/>
                <w:sz w:val="22"/>
                <w:szCs w:val="22"/>
              </w:rPr>
            </w:pPr>
            <w:r w:rsidRPr="009F7E51">
              <w:rPr>
                <w:rFonts w:ascii="Times New Roman" w:hAnsi="Times New Roman"/>
                <w:color w:val="000000" w:themeColor="text1"/>
                <w:sz w:val="22"/>
                <w:szCs w:val="22"/>
              </w:rPr>
              <w:t xml:space="preserve">FC40 </w:t>
            </w:r>
          </w:p>
        </w:tc>
        <w:tc>
          <w:tcPr>
            <w:tcW w:w="2850" w:type="dxa"/>
            <w:tcBorders>
              <w:top w:val="single" w:sz="12" w:space="0" w:color="000000" w:themeColor="text1"/>
            </w:tcBorders>
            <w:shd w:val="clear" w:color="auto" w:fill="B4C6E7" w:themeFill="accent1" w:themeFillTint="66"/>
            <w:noWrap/>
            <w:hideMark/>
          </w:tcPr>
          <w:p w14:paraId="14AD610D" w14:textId="77777777" w:rsidR="00527CA3" w:rsidRPr="009F7E51" w:rsidRDefault="00527CA3" w:rsidP="00616B40">
            <w:pPr>
              <w:pStyle w:val="Caption"/>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bCs/>
                <w:i/>
                <w:color w:val="000000" w:themeColor="text1"/>
                <w:sz w:val="22"/>
                <w:szCs w:val="22"/>
              </w:rPr>
            </w:pPr>
            <w:r w:rsidRPr="009F7E51">
              <w:rPr>
                <w:rFonts w:ascii="Times New Roman" w:hAnsi="Times New Roman"/>
                <w:b w:val="0"/>
                <w:color w:val="000000" w:themeColor="text1"/>
                <w:sz w:val="22"/>
                <w:szCs w:val="22"/>
              </w:rPr>
              <w:t>BioRad Droplet Generation Oil</w:t>
            </w:r>
          </w:p>
        </w:tc>
        <w:tc>
          <w:tcPr>
            <w:tcW w:w="2193" w:type="dxa"/>
            <w:tcBorders>
              <w:top w:val="single" w:sz="12" w:space="0" w:color="000000" w:themeColor="text1"/>
            </w:tcBorders>
            <w:shd w:val="clear" w:color="auto" w:fill="B4C6E7" w:themeFill="accent1" w:themeFillTint="66"/>
          </w:tcPr>
          <w:p w14:paraId="5A70EF30" w14:textId="77777777" w:rsidR="00527CA3" w:rsidRPr="000D60B4" w:rsidRDefault="00527CA3" w:rsidP="00616B40">
            <w:pPr>
              <w:pStyle w:val="Caption"/>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bCs/>
                <w:i/>
                <w:color w:val="000000" w:themeColor="text1"/>
                <w:sz w:val="22"/>
                <w:szCs w:val="22"/>
              </w:rPr>
            </w:pPr>
            <w:r w:rsidRPr="000D60B4">
              <w:rPr>
                <w:rFonts w:ascii="Times New Roman" w:hAnsi="Times New Roman"/>
                <w:b w:val="0"/>
                <w:color w:val="000000" w:themeColor="text1"/>
                <w:sz w:val="22"/>
                <w:szCs w:val="22"/>
              </w:rPr>
              <w:t>Stable nanoplugs</w:t>
            </w:r>
          </w:p>
        </w:tc>
        <w:tc>
          <w:tcPr>
            <w:tcW w:w="2896" w:type="dxa"/>
            <w:tcBorders>
              <w:top w:val="single" w:sz="12" w:space="0" w:color="000000" w:themeColor="text1"/>
            </w:tcBorders>
            <w:shd w:val="clear" w:color="auto" w:fill="B4C6E7" w:themeFill="accent1" w:themeFillTint="66"/>
            <w:noWrap/>
            <w:hideMark/>
          </w:tcPr>
          <w:p w14:paraId="3994D882" w14:textId="77777777" w:rsidR="00527CA3" w:rsidRPr="009F7E51" w:rsidRDefault="00527CA3" w:rsidP="00616B40">
            <w:pPr>
              <w:pStyle w:val="Caption"/>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i/>
                <w:color w:val="000000" w:themeColor="text1"/>
                <w:sz w:val="22"/>
                <w:szCs w:val="22"/>
              </w:rPr>
            </w:pPr>
            <w:r w:rsidRPr="009F7E51">
              <w:rPr>
                <w:rFonts w:ascii="Times New Roman" w:hAnsi="Times New Roman"/>
                <w:color w:val="000000" w:themeColor="text1"/>
                <w:sz w:val="22"/>
                <w:szCs w:val="22"/>
              </w:rPr>
              <w:t>Fluorophore diffusion</w:t>
            </w:r>
          </w:p>
        </w:tc>
      </w:tr>
      <w:tr w:rsidR="00527CA3" w:rsidRPr="009F7E51" w14:paraId="4D0E1995" w14:textId="77777777" w:rsidTr="00527CA3">
        <w:trPr>
          <w:trHeight w:val="336"/>
        </w:trPr>
        <w:tc>
          <w:tcPr>
            <w:cnfStyle w:val="001000000000" w:firstRow="0" w:lastRow="0" w:firstColumn="1" w:lastColumn="0" w:oddVBand="0" w:evenVBand="0" w:oddHBand="0" w:evenHBand="0" w:firstRowFirstColumn="0" w:firstRowLastColumn="0" w:lastRowFirstColumn="0" w:lastRowLastColumn="0"/>
            <w:tcW w:w="1456" w:type="dxa"/>
            <w:shd w:val="clear" w:color="auto" w:fill="E2EFD9" w:themeFill="accent6" w:themeFillTint="33"/>
            <w:noWrap/>
            <w:hideMark/>
          </w:tcPr>
          <w:p w14:paraId="029CA40B" w14:textId="77777777" w:rsidR="00527CA3" w:rsidRPr="009F7E51" w:rsidRDefault="00527CA3" w:rsidP="00616B40">
            <w:pPr>
              <w:pStyle w:val="Caption"/>
              <w:widowControl w:val="0"/>
              <w:rPr>
                <w:rFonts w:ascii="Times New Roman" w:hAnsi="Times New Roman"/>
                <w:b/>
                <w:i/>
                <w:color w:val="000000" w:themeColor="text1"/>
                <w:sz w:val="22"/>
                <w:szCs w:val="22"/>
              </w:rPr>
            </w:pPr>
            <w:r w:rsidRPr="009F7E51">
              <w:rPr>
                <w:rFonts w:ascii="Times New Roman" w:hAnsi="Times New Roman"/>
                <w:color w:val="000000" w:themeColor="text1"/>
                <w:sz w:val="22"/>
                <w:szCs w:val="22"/>
              </w:rPr>
              <w:t xml:space="preserve">FC40 </w:t>
            </w:r>
          </w:p>
        </w:tc>
        <w:tc>
          <w:tcPr>
            <w:tcW w:w="2850" w:type="dxa"/>
            <w:shd w:val="clear" w:color="auto" w:fill="E2EFD9" w:themeFill="accent6" w:themeFillTint="33"/>
            <w:noWrap/>
            <w:hideMark/>
          </w:tcPr>
          <w:p w14:paraId="4E4DEB60" w14:textId="77777777" w:rsidR="00527CA3" w:rsidRPr="009F7E51" w:rsidRDefault="00527CA3" w:rsidP="00616B40">
            <w:pPr>
              <w:pStyle w:val="Caption"/>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bCs/>
                <w:i/>
                <w:color w:val="000000" w:themeColor="text1"/>
                <w:sz w:val="22"/>
                <w:szCs w:val="22"/>
              </w:rPr>
            </w:pPr>
            <w:r w:rsidRPr="009F7E51">
              <w:rPr>
                <w:rFonts w:ascii="Times New Roman" w:hAnsi="Times New Roman"/>
                <w:b w:val="0"/>
                <w:color w:val="000000" w:themeColor="text1"/>
                <w:sz w:val="22"/>
                <w:szCs w:val="22"/>
              </w:rPr>
              <w:t>HFE 7500 + 1.2% 008-FluoroSurfactant</w:t>
            </w:r>
          </w:p>
        </w:tc>
        <w:tc>
          <w:tcPr>
            <w:tcW w:w="2193" w:type="dxa"/>
            <w:shd w:val="clear" w:color="auto" w:fill="E2EFD9" w:themeFill="accent6" w:themeFillTint="33"/>
          </w:tcPr>
          <w:p w14:paraId="1E4B9041" w14:textId="77777777" w:rsidR="00527CA3" w:rsidRPr="000D60B4" w:rsidRDefault="00527CA3" w:rsidP="00616B40">
            <w:pPr>
              <w:pStyle w:val="Caption"/>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bCs/>
                <w:i/>
                <w:color w:val="000000" w:themeColor="text1"/>
                <w:sz w:val="22"/>
                <w:szCs w:val="22"/>
              </w:rPr>
            </w:pPr>
            <w:r w:rsidRPr="000D60B4">
              <w:rPr>
                <w:rFonts w:ascii="Times New Roman" w:hAnsi="Times New Roman"/>
                <w:b w:val="0"/>
                <w:color w:val="000000" w:themeColor="text1"/>
                <w:sz w:val="22"/>
                <w:szCs w:val="22"/>
              </w:rPr>
              <w:t>Stable nanoplugs</w:t>
            </w:r>
          </w:p>
        </w:tc>
        <w:tc>
          <w:tcPr>
            <w:tcW w:w="2896" w:type="dxa"/>
            <w:shd w:val="clear" w:color="auto" w:fill="E2EFD9" w:themeFill="accent6" w:themeFillTint="33"/>
            <w:noWrap/>
            <w:hideMark/>
          </w:tcPr>
          <w:p w14:paraId="53E9D7F1" w14:textId="77777777" w:rsidR="00527CA3" w:rsidRPr="009F7E51" w:rsidRDefault="00527CA3" w:rsidP="00616B40">
            <w:pPr>
              <w:pStyle w:val="Caption"/>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i/>
                <w:color w:val="000000" w:themeColor="text1"/>
                <w:sz w:val="22"/>
                <w:szCs w:val="22"/>
              </w:rPr>
            </w:pPr>
            <w:r w:rsidRPr="009F7E51">
              <w:rPr>
                <w:rFonts w:ascii="Times New Roman" w:hAnsi="Times New Roman"/>
                <w:color w:val="000000" w:themeColor="text1"/>
                <w:sz w:val="22"/>
                <w:szCs w:val="22"/>
              </w:rPr>
              <w:t>Unstable droplets</w:t>
            </w:r>
          </w:p>
        </w:tc>
      </w:tr>
      <w:tr w:rsidR="00527CA3" w:rsidRPr="009F7E51" w14:paraId="133582AE" w14:textId="77777777" w:rsidTr="00527CA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56" w:type="dxa"/>
            <w:tcBorders>
              <w:bottom w:val="single" w:sz="12" w:space="0" w:color="000000" w:themeColor="text1"/>
            </w:tcBorders>
            <w:shd w:val="clear" w:color="auto" w:fill="A8D08D" w:themeFill="accent6" w:themeFillTint="99"/>
            <w:noWrap/>
            <w:hideMark/>
          </w:tcPr>
          <w:p w14:paraId="30F84B96" w14:textId="77777777" w:rsidR="00527CA3" w:rsidRPr="009F7E51" w:rsidRDefault="00527CA3" w:rsidP="00616B40">
            <w:pPr>
              <w:pStyle w:val="Caption"/>
              <w:widowControl w:val="0"/>
              <w:rPr>
                <w:rFonts w:ascii="Times New Roman" w:hAnsi="Times New Roman"/>
                <w:b/>
                <w:i/>
                <w:color w:val="000000" w:themeColor="text1"/>
                <w:sz w:val="22"/>
                <w:szCs w:val="22"/>
              </w:rPr>
            </w:pPr>
            <w:r w:rsidRPr="009F7E51">
              <w:rPr>
                <w:rFonts w:ascii="Times New Roman" w:hAnsi="Times New Roman"/>
                <w:color w:val="000000" w:themeColor="text1"/>
                <w:sz w:val="22"/>
                <w:szCs w:val="22"/>
              </w:rPr>
              <w:t>HFE 7500</w:t>
            </w:r>
          </w:p>
        </w:tc>
        <w:tc>
          <w:tcPr>
            <w:tcW w:w="2850" w:type="dxa"/>
            <w:tcBorders>
              <w:bottom w:val="single" w:sz="12" w:space="0" w:color="000000" w:themeColor="text1"/>
            </w:tcBorders>
            <w:shd w:val="clear" w:color="auto" w:fill="A8D08D" w:themeFill="accent6" w:themeFillTint="99"/>
            <w:noWrap/>
            <w:hideMark/>
          </w:tcPr>
          <w:p w14:paraId="407886E5" w14:textId="77777777" w:rsidR="00527CA3" w:rsidRPr="009F7E51" w:rsidRDefault="00527CA3" w:rsidP="00616B40">
            <w:pPr>
              <w:pStyle w:val="Caption"/>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bCs/>
                <w:i/>
                <w:color w:val="000000" w:themeColor="text1"/>
                <w:sz w:val="22"/>
                <w:szCs w:val="22"/>
              </w:rPr>
            </w:pPr>
            <w:r w:rsidRPr="009F7E51">
              <w:rPr>
                <w:rFonts w:ascii="Times New Roman" w:hAnsi="Times New Roman"/>
                <w:b w:val="0"/>
                <w:color w:val="000000" w:themeColor="text1"/>
                <w:sz w:val="22"/>
                <w:szCs w:val="22"/>
              </w:rPr>
              <w:t>HFE 7500 + 1.2% 008-FluoroSurfactant</w:t>
            </w:r>
          </w:p>
        </w:tc>
        <w:tc>
          <w:tcPr>
            <w:tcW w:w="2193" w:type="dxa"/>
            <w:tcBorders>
              <w:bottom w:val="single" w:sz="12" w:space="0" w:color="000000" w:themeColor="text1"/>
            </w:tcBorders>
            <w:shd w:val="clear" w:color="auto" w:fill="A8D08D" w:themeFill="accent6" w:themeFillTint="99"/>
          </w:tcPr>
          <w:p w14:paraId="6ADBCB04" w14:textId="77777777" w:rsidR="00527CA3" w:rsidRPr="000D60B4" w:rsidRDefault="00527CA3" w:rsidP="00616B40">
            <w:pPr>
              <w:pStyle w:val="Caption"/>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bCs/>
                <w:i/>
                <w:color w:val="000000" w:themeColor="text1"/>
                <w:sz w:val="22"/>
                <w:szCs w:val="22"/>
              </w:rPr>
            </w:pPr>
            <w:r w:rsidRPr="000D60B4">
              <w:rPr>
                <w:rFonts w:ascii="Times New Roman" w:hAnsi="Times New Roman"/>
                <w:b w:val="0"/>
                <w:color w:val="000000" w:themeColor="text1"/>
                <w:sz w:val="22"/>
                <w:szCs w:val="22"/>
              </w:rPr>
              <w:t>Stable nanoplugs</w:t>
            </w:r>
          </w:p>
        </w:tc>
        <w:tc>
          <w:tcPr>
            <w:tcW w:w="2896" w:type="dxa"/>
            <w:tcBorders>
              <w:bottom w:val="single" w:sz="12" w:space="0" w:color="000000" w:themeColor="text1"/>
            </w:tcBorders>
            <w:shd w:val="clear" w:color="auto" w:fill="A8D08D" w:themeFill="accent6" w:themeFillTint="99"/>
            <w:noWrap/>
            <w:hideMark/>
          </w:tcPr>
          <w:p w14:paraId="0D0851C4" w14:textId="77777777" w:rsidR="00527CA3" w:rsidRPr="009F7E51" w:rsidRDefault="00527CA3" w:rsidP="00616B40">
            <w:pPr>
              <w:pStyle w:val="Caption"/>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themeColor="text1"/>
                <w:sz w:val="22"/>
                <w:szCs w:val="22"/>
              </w:rPr>
            </w:pPr>
            <w:r w:rsidRPr="009F7E51">
              <w:rPr>
                <w:rFonts w:ascii="Times New Roman" w:hAnsi="Times New Roman"/>
                <w:color w:val="000000" w:themeColor="text1"/>
                <w:sz w:val="22"/>
                <w:szCs w:val="22"/>
              </w:rPr>
              <w:t>Stable droplets &amp; Minimal diffusion</w:t>
            </w:r>
          </w:p>
        </w:tc>
      </w:tr>
    </w:tbl>
    <w:p w14:paraId="758C6FBD" w14:textId="77777777" w:rsidR="00527CA3" w:rsidRPr="00527CA3" w:rsidRDefault="00527CA3" w:rsidP="00527CA3">
      <w:pPr>
        <w:rPr>
          <w:rFonts w:eastAsia="SimSun"/>
          <w:szCs w:val="20"/>
          <w:lang w:val="en-US" w:eastAsia="en-US"/>
        </w:rPr>
      </w:pPr>
    </w:p>
    <w:p w14:paraId="29A55AF6" w14:textId="5E598D3D" w:rsidR="006F6604" w:rsidRPr="0086073F" w:rsidRDefault="006F6604" w:rsidP="0019723B">
      <w:pPr>
        <w:pStyle w:val="Maintext0"/>
      </w:pPr>
    </w:p>
    <w:p w14:paraId="0187EFDD" w14:textId="77777777" w:rsidR="0086073F" w:rsidRPr="0086073F" w:rsidRDefault="0086073F" w:rsidP="0019723B">
      <w:pPr>
        <w:pStyle w:val="Maintext0"/>
      </w:pPr>
    </w:p>
    <w:p w14:paraId="479F45B1" w14:textId="77777777" w:rsidR="004A7D3E" w:rsidRPr="0086073F" w:rsidRDefault="004A7D3E" w:rsidP="0059526F">
      <w:pPr>
        <w:rPr>
          <w:lang w:val="en-US"/>
        </w:rPr>
      </w:pPr>
    </w:p>
    <w:sectPr w:rsidR="004A7D3E" w:rsidRPr="0086073F" w:rsidSect="00404548">
      <w:headerReference w:type="default" r:id="rId25"/>
      <w:footerReference w:type="default" r:id="rId26"/>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FCDCC" w14:textId="77777777" w:rsidR="00C25A89" w:rsidRDefault="00C25A89">
      <w:r>
        <w:separator/>
      </w:r>
    </w:p>
  </w:endnote>
  <w:endnote w:type="continuationSeparator" w:id="0">
    <w:p w14:paraId="2658F1D6" w14:textId="77777777" w:rsidR="00C25A89" w:rsidRDefault="00C25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2F05E6" w:rsidRDefault="002F05E6">
    <w:pPr>
      <w:pStyle w:val="Footer"/>
      <w:jc w:val="center"/>
    </w:pPr>
    <w:r>
      <w:fldChar w:fldCharType="begin"/>
    </w:r>
    <w:r>
      <w:instrText>PAGE   \* MERGEFORMAT</w:instrText>
    </w:r>
    <w:r>
      <w:fldChar w:fldCharType="separate"/>
    </w:r>
    <w:r>
      <w:rPr>
        <w:noProof/>
      </w:rPr>
      <w:t>2</w:t>
    </w:r>
    <w:r>
      <w:fldChar w:fldCharType="end"/>
    </w:r>
  </w:p>
  <w:p w14:paraId="76AE581B" w14:textId="77777777" w:rsidR="002F05E6" w:rsidRDefault="002F05E6"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DBB6B" w14:textId="77777777" w:rsidR="00C25A89" w:rsidRDefault="00C25A89">
      <w:r>
        <w:separator/>
      </w:r>
    </w:p>
  </w:footnote>
  <w:footnote w:type="continuationSeparator" w:id="0">
    <w:p w14:paraId="4C8391AA" w14:textId="77777777" w:rsidR="00C25A89" w:rsidRDefault="00C25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69CC8B41" w:rsidR="002F05E6" w:rsidRPr="009B44CC" w:rsidRDefault="002F05E6" w:rsidP="009B44CC">
    <w:pPr>
      <w:pStyle w:val="Header"/>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D1B7C"/>
    <w:multiLevelType w:val="hybridMultilevel"/>
    <w:tmpl w:val="DD163D60"/>
    <w:lvl w:ilvl="0" w:tplc="B75A7D42">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265B2"/>
    <w:multiLevelType w:val="hybridMultilevel"/>
    <w:tmpl w:val="2544E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F308D5"/>
    <w:multiLevelType w:val="hybridMultilevel"/>
    <w:tmpl w:val="73A647CE"/>
    <w:lvl w:ilvl="0" w:tplc="B11ABCE6">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30F03"/>
    <w:multiLevelType w:val="hybridMultilevel"/>
    <w:tmpl w:val="08A64ADA"/>
    <w:lvl w:ilvl="0" w:tplc="6B88D8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424245"/>
    <w:multiLevelType w:val="hybridMultilevel"/>
    <w:tmpl w:val="082A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B6600"/>
    <w:multiLevelType w:val="hybridMultilevel"/>
    <w:tmpl w:val="C0A61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BC20CC"/>
    <w:multiLevelType w:val="hybridMultilevel"/>
    <w:tmpl w:val="9E5493A8"/>
    <w:lvl w:ilvl="0" w:tplc="A97EC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7643A"/>
    <w:multiLevelType w:val="hybridMultilevel"/>
    <w:tmpl w:val="AC606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D2787A"/>
    <w:multiLevelType w:val="hybridMultilevel"/>
    <w:tmpl w:val="42A4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2162D"/>
    <w:multiLevelType w:val="hybridMultilevel"/>
    <w:tmpl w:val="F504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1860D9"/>
    <w:multiLevelType w:val="hybridMultilevel"/>
    <w:tmpl w:val="79843646"/>
    <w:lvl w:ilvl="0" w:tplc="578C0FDA">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860CF"/>
    <w:multiLevelType w:val="hybridMultilevel"/>
    <w:tmpl w:val="A08ED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767B1E"/>
    <w:multiLevelType w:val="hybridMultilevel"/>
    <w:tmpl w:val="39525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E22E8B"/>
    <w:multiLevelType w:val="hybridMultilevel"/>
    <w:tmpl w:val="20269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5B5449"/>
    <w:multiLevelType w:val="hybridMultilevel"/>
    <w:tmpl w:val="71EA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D30C54"/>
    <w:multiLevelType w:val="hybridMultilevel"/>
    <w:tmpl w:val="3CF61EE4"/>
    <w:lvl w:ilvl="0" w:tplc="5C743164">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853E1E"/>
    <w:multiLevelType w:val="hybridMultilevel"/>
    <w:tmpl w:val="A634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6E7BE0"/>
    <w:multiLevelType w:val="hybridMultilevel"/>
    <w:tmpl w:val="D46822A0"/>
    <w:lvl w:ilvl="0" w:tplc="08AE4BF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5"/>
  </w:num>
  <w:num w:numId="4">
    <w:abstractNumId w:val="1"/>
  </w:num>
  <w:num w:numId="5">
    <w:abstractNumId w:val="11"/>
  </w:num>
  <w:num w:numId="6">
    <w:abstractNumId w:val="6"/>
  </w:num>
  <w:num w:numId="7">
    <w:abstractNumId w:val="15"/>
  </w:num>
  <w:num w:numId="8">
    <w:abstractNumId w:val="10"/>
  </w:num>
  <w:num w:numId="9">
    <w:abstractNumId w:val="2"/>
  </w:num>
  <w:num w:numId="10">
    <w:abstractNumId w:val="17"/>
  </w:num>
  <w:num w:numId="11">
    <w:abstractNumId w:val="7"/>
  </w:num>
  <w:num w:numId="12">
    <w:abstractNumId w:val="16"/>
  </w:num>
  <w:num w:numId="13">
    <w:abstractNumId w:val="9"/>
  </w:num>
  <w:num w:numId="14">
    <w:abstractNumId w:val="14"/>
  </w:num>
  <w:num w:numId="15">
    <w:abstractNumId w:val="4"/>
  </w:num>
  <w:num w:numId="16">
    <w:abstractNumId w:val="8"/>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1C1B"/>
    <w:rsid w:val="000437F7"/>
    <w:rsid w:val="00046B4B"/>
    <w:rsid w:val="00050985"/>
    <w:rsid w:val="0005501E"/>
    <w:rsid w:val="00055883"/>
    <w:rsid w:val="00056B48"/>
    <w:rsid w:val="0006044D"/>
    <w:rsid w:val="00060D37"/>
    <w:rsid w:val="00062324"/>
    <w:rsid w:val="00063C0E"/>
    <w:rsid w:val="00072EA7"/>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6C82"/>
    <w:rsid w:val="001174C2"/>
    <w:rsid w:val="00120E85"/>
    <w:rsid w:val="00123ADA"/>
    <w:rsid w:val="00125573"/>
    <w:rsid w:val="0012642A"/>
    <w:rsid w:val="00126D17"/>
    <w:rsid w:val="001305BF"/>
    <w:rsid w:val="00131D58"/>
    <w:rsid w:val="00136E02"/>
    <w:rsid w:val="001370B1"/>
    <w:rsid w:val="001377CA"/>
    <w:rsid w:val="00140B94"/>
    <w:rsid w:val="001450FB"/>
    <w:rsid w:val="0014658A"/>
    <w:rsid w:val="00147DB8"/>
    <w:rsid w:val="00151683"/>
    <w:rsid w:val="0015392F"/>
    <w:rsid w:val="0015563E"/>
    <w:rsid w:val="00155F66"/>
    <w:rsid w:val="0016197E"/>
    <w:rsid w:val="0016390D"/>
    <w:rsid w:val="00164057"/>
    <w:rsid w:val="00165B37"/>
    <w:rsid w:val="00170369"/>
    <w:rsid w:val="00173757"/>
    <w:rsid w:val="00174176"/>
    <w:rsid w:val="00181D92"/>
    <w:rsid w:val="001823B6"/>
    <w:rsid w:val="0018264A"/>
    <w:rsid w:val="001848EB"/>
    <w:rsid w:val="00187DB9"/>
    <w:rsid w:val="0019077D"/>
    <w:rsid w:val="0019194D"/>
    <w:rsid w:val="0019723B"/>
    <w:rsid w:val="001A4240"/>
    <w:rsid w:val="001A6821"/>
    <w:rsid w:val="001A734D"/>
    <w:rsid w:val="001B4224"/>
    <w:rsid w:val="001B7472"/>
    <w:rsid w:val="001C10AC"/>
    <w:rsid w:val="001C1B9C"/>
    <w:rsid w:val="001C52F6"/>
    <w:rsid w:val="001C55FB"/>
    <w:rsid w:val="001D12BC"/>
    <w:rsid w:val="001D2F8E"/>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2A0E"/>
    <w:rsid w:val="00214BB9"/>
    <w:rsid w:val="00214D95"/>
    <w:rsid w:val="00215531"/>
    <w:rsid w:val="002162B2"/>
    <w:rsid w:val="00216F54"/>
    <w:rsid w:val="00220933"/>
    <w:rsid w:val="00220C72"/>
    <w:rsid w:val="0022540C"/>
    <w:rsid w:val="00225A4E"/>
    <w:rsid w:val="00226AA4"/>
    <w:rsid w:val="00233C8A"/>
    <w:rsid w:val="00236036"/>
    <w:rsid w:val="00240D90"/>
    <w:rsid w:val="00253CB1"/>
    <w:rsid w:val="002543F9"/>
    <w:rsid w:val="00257ADD"/>
    <w:rsid w:val="00263723"/>
    <w:rsid w:val="00263CF8"/>
    <w:rsid w:val="00265635"/>
    <w:rsid w:val="00266389"/>
    <w:rsid w:val="002675F7"/>
    <w:rsid w:val="002725A5"/>
    <w:rsid w:val="0027314F"/>
    <w:rsid w:val="0028289F"/>
    <w:rsid w:val="00284157"/>
    <w:rsid w:val="00285631"/>
    <w:rsid w:val="00290D94"/>
    <w:rsid w:val="00291A54"/>
    <w:rsid w:val="0029203C"/>
    <w:rsid w:val="00294873"/>
    <w:rsid w:val="0029719A"/>
    <w:rsid w:val="002A4A81"/>
    <w:rsid w:val="002A73A2"/>
    <w:rsid w:val="002A7CE8"/>
    <w:rsid w:val="002B0671"/>
    <w:rsid w:val="002B262F"/>
    <w:rsid w:val="002B3553"/>
    <w:rsid w:val="002B5E06"/>
    <w:rsid w:val="002C0CFF"/>
    <w:rsid w:val="002D09B9"/>
    <w:rsid w:val="002D16A0"/>
    <w:rsid w:val="002D2930"/>
    <w:rsid w:val="002D2DFF"/>
    <w:rsid w:val="002D3D6D"/>
    <w:rsid w:val="002D5BF8"/>
    <w:rsid w:val="002D7ECC"/>
    <w:rsid w:val="002E07AC"/>
    <w:rsid w:val="002E1B8F"/>
    <w:rsid w:val="002E2DEF"/>
    <w:rsid w:val="002E4E3E"/>
    <w:rsid w:val="002E76B2"/>
    <w:rsid w:val="002E79A2"/>
    <w:rsid w:val="002F05E6"/>
    <w:rsid w:val="002F4F4B"/>
    <w:rsid w:val="002F55FD"/>
    <w:rsid w:val="002F594C"/>
    <w:rsid w:val="00301984"/>
    <w:rsid w:val="00301B0B"/>
    <w:rsid w:val="00301E84"/>
    <w:rsid w:val="00302E7A"/>
    <w:rsid w:val="00303D1B"/>
    <w:rsid w:val="003046B7"/>
    <w:rsid w:val="00310265"/>
    <w:rsid w:val="00317A57"/>
    <w:rsid w:val="00320A99"/>
    <w:rsid w:val="0032144B"/>
    <w:rsid w:val="00322D5B"/>
    <w:rsid w:val="00325AC2"/>
    <w:rsid w:val="00326A1C"/>
    <w:rsid w:val="00327FDC"/>
    <w:rsid w:val="003360E3"/>
    <w:rsid w:val="003371D5"/>
    <w:rsid w:val="003376CD"/>
    <w:rsid w:val="00340810"/>
    <w:rsid w:val="003452C3"/>
    <w:rsid w:val="003501A7"/>
    <w:rsid w:val="0035048A"/>
    <w:rsid w:val="0036263B"/>
    <w:rsid w:val="00363B62"/>
    <w:rsid w:val="003645B0"/>
    <w:rsid w:val="00364B2C"/>
    <w:rsid w:val="003664F1"/>
    <w:rsid w:val="00367E3F"/>
    <w:rsid w:val="00377EA5"/>
    <w:rsid w:val="00377F77"/>
    <w:rsid w:val="00383073"/>
    <w:rsid w:val="0038438F"/>
    <w:rsid w:val="00385D92"/>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97ED0"/>
    <w:rsid w:val="003A0F30"/>
    <w:rsid w:val="003A4C44"/>
    <w:rsid w:val="003A5912"/>
    <w:rsid w:val="003A5AD0"/>
    <w:rsid w:val="003A6CE3"/>
    <w:rsid w:val="003A7899"/>
    <w:rsid w:val="003B15EE"/>
    <w:rsid w:val="003B4188"/>
    <w:rsid w:val="003B517D"/>
    <w:rsid w:val="003B60EC"/>
    <w:rsid w:val="003C00ED"/>
    <w:rsid w:val="003C1C0A"/>
    <w:rsid w:val="003C35DF"/>
    <w:rsid w:val="003C4A68"/>
    <w:rsid w:val="003C554F"/>
    <w:rsid w:val="003C61DD"/>
    <w:rsid w:val="003D5C80"/>
    <w:rsid w:val="003D63E7"/>
    <w:rsid w:val="003E05F1"/>
    <w:rsid w:val="003E113B"/>
    <w:rsid w:val="003E5092"/>
    <w:rsid w:val="003E715D"/>
    <w:rsid w:val="003F103E"/>
    <w:rsid w:val="003F2E48"/>
    <w:rsid w:val="003F440C"/>
    <w:rsid w:val="003F525A"/>
    <w:rsid w:val="003F7BE6"/>
    <w:rsid w:val="004006A9"/>
    <w:rsid w:val="00404548"/>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33C0B"/>
    <w:rsid w:val="0044079D"/>
    <w:rsid w:val="00446780"/>
    <w:rsid w:val="004507E5"/>
    <w:rsid w:val="004519AD"/>
    <w:rsid w:val="0045459A"/>
    <w:rsid w:val="004545DB"/>
    <w:rsid w:val="0045786A"/>
    <w:rsid w:val="00460F76"/>
    <w:rsid w:val="00462F12"/>
    <w:rsid w:val="00463050"/>
    <w:rsid w:val="0046340F"/>
    <w:rsid w:val="00466168"/>
    <w:rsid w:val="0046778B"/>
    <w:rsid w:val="004714D4"/>
    <w:rsid w:val="00475712"/>
    <w:rsid w:val="00480CCE"/>
    <w:rsid w:val="00482FAA"/>
    <w:rsid w:val="0049075F"/>
    <w:rsid w:val="00492DA8"/>
    <w:rsid w:val="004A0888"/>
    <w:rsid w:val="004A43B6"/>
    <w:rsid w:val="004A70EE"/>
    <w:rsid w:val="004A774E"/>
    <w:rsid w:val="004A7D3E"/>
    <w:rsid w:val="004A7FF9"/>
    <w:rsid w:val="004B379D"/>
    <w:rsid w:val="004B5F0C"/>
    <w:rsid w:val="004B6031"/>
    <w:rsid w:val="004B7C9A"/>
    <w:rsid w:val="004C046E"/>
    <w:rsid w:val="004C1609"/>
    <w:rsid w:val="004C216B"/>
    <w:rsid w:val="004C5DD3"/>
    <w:rsid w:val="004D30F9"/>
    <w:rsid w:val="004D4A32"/>
    <w:rsid w:val="004D64AB"/>
    <w:rsid w:val="004E7CE8"/>
    <w:rsid w:val="004F271D"/>
    <w:rsid w:val="004F5114"/>
    <w:rsid w:val="004F756C"/>
    <w:rsid w:val="005001FA"/>
    <w:rsid w:val="00500BD2"/>
    <w:rsid w:val="005019AF"/>
    <w:rsid w:val="0050488D"/>
    <w:rsid w:val="00504D12"/>
    <w:rsid w:val="0050527A"/>
    <w:rsid w:val="0050535A"/>
    <w:rsid w:val="005106F5"/>
    <w:rsid w:val="00511192"/>
    <w:rsid w:val="005118AD"/>
    <w:rsid w:val="00512353"/>
    <w:rsid w:val="005220C2"/>
    <w:rsid w:val="00522E88"/>
    <w:rsid w:val="00523369"/>
    <w:rsid w:val="0052398F"/>
    <w:rsid w:val="005247E2"/>
    <w:rsid w:val="00527CA3"/>
    <w:rsid w:val="00531AB2"/>
    <w:rsid w:val="00532960"/>
    <w:rsid w:val="00545A73"/>
    <w:rsid w:val="00546DEB"/>
    <w:rsid w:val="00546F0F"/>
    <w:rsid w:val="005477E7"/>
    <w:rsid w:val="00550159"/>
    <w:rsid w:val="00551897"/>
    <w:rsid w:val="00551BD9"/>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2E20"/>
    <w:rsid w:val="005A751F"/>
    <w:rsid w:val="005A7719"/>
    <w:rsid w:val="005A77C2"/>
    <w:rsid w:val="005B291B"/>
    <w:rsid w:val="005B76C5"/>
    <w:rsid w:val="005B7AF0"/>
    <w:rsid w:val="005B7B8A"/>
    <w:rsid w:val="005C09C6"/>
    <w:rsid w:val="005C458D"/>
    <w:rsid w:val="005C491E"/>
    <w:rsid w:val="005C5B49"/>
    <w:rsid w:val="005C5E0A"/>
    <w:rsid w:val="005C6C0C"/>
    <w:rsid w:val="005D2276"/>
    <w:rsid w:val="005D25FD"/>
    <w:rsid w:val="005D2808"/>
    <w:rsid w:val="005E0858"/>
    <w:rsid w:val="005E2794"/>
    <w:rsid w:val="005E3CBF"/>
    <w:rsid w:val="005E6F9D"/>
    <w:rsid w:val="005E7B5A"/>
    <w:rsid w:val="005F01FC"/>
    <w:rsid w:val="005F0C89"/>
    <w:rsid w:val="005F1258"/>
    <w:rsid w:val="005F3701"/>
    <w:rsid w:val="005F39D6"/>
    <w:rsid w:val="005F41DF"/>
    <w:rsid w:val="005F4521"/>
    <w:rsid w:val="005F5478"/>
    <w:rsid w:val="005F5C1E"/>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DC7"/>
    <w:rsid w:val="006511FB"/>
    <w:rsid w:val="00651A9D"/>
    <w:rsid w:val="00654C93"/>
    <w:rsid w:val="00656092"/>
    <w:rsid w:val="0065741C"/>
    <w:rsid w:val="00660B85"/>
    <w:rsid w:val="00662DCE"/>
    <w:rsid w:val="00664F6D"/>
    <w:rsid w:val="006650B8"/>
    <w:rsid w:val="00666329"/>
    <w:rsid w:val="006672EE"/>
    <w:rsid w:val="0067011F"/>
    <w:rsid w:val="0067015E"/>
    <w:rsid w:val="00676346"/>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C5359"/>
    <w:rsid w:val="006D0EE8"/>
    <w:rsid w:val="006D3162"/>
    <w:rsid w:val="006D37E7"/>
    <w:rsid w:val="006D5146"/>
    <w:rsid w:val="006D59D6"/>
    <w:rsid w:val="006D5C04"/>
    <w:rsid w:val="006D7508"/>
    <w:rsid w:val="006E0210"/>
    <w:rsid w:val="006E0F2F"/>
    <w:rsid w:val="006E19D7"/>
    <w:rsid w:val="006E71B9"/>
    <w:rsid w:val="006F39B2"/>
    <w:rsid w:val="006F5384"/>
    <w:rsid w:val="006F6604"/>
    <w:rsid w:val="006F71D8"/>
    <w:rsid w:val="006F7D1A"/>
    <w:rsid w:val="00702F6F"/>
    <w:rsid w:val="0070346C"/>
    <w:rsid w:val="007051A0"/>
    <w:rsid w:val="00706496"/>
    <w:rsid w:val="00706A99"/>
    <w:rsid w:val="00711A12"/>
    <w:rsid w:val="00711F11"/>
    <w:rsid w:val="007154C4"/>
    <w:rsid w:val="00715DB9"/>
    <w:rsid w:val="007174BE"/>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5F21"/>
    <w:rsid w:val="007561FC"/>
    <w:rsid w:val="00761D34"/>
    <w:rsid w:val="00762D2D"/>
    <w:rsid w:val="00764622"/>
    <w:rsid w:val="00764CAD"/>
    <w:rsid w:val="007672CA"/>
    <w:rsid w:val="00770FA1"/>
    <w:rsid w:val="00773884"/>
    <w:rsid w:val="00774813"/>
    <w:rsid w:val="0078052A"/>
    <w:rsid w:val="007812FB"/>
    <w:rsid w:val="00784032"/>
    <w:rsid w:val="00786E79"/>
    <w:rsid w:val="00787925"/>
    <w:rsid w:val="00790E31"/>
    <w:rsid w:val="00793B87"/>
    <w:rsid w:val="0079566E"/>
    <w:rsid w:val="00796509"/>
    <w:rsid w:val="0079691E"/>
    <w:rsid w:val="00797723"/>
    <w:rsid w:val="007B1EEE"/>
    <w:rsid w:val="007B249B"/>
    <w:rsid w:val="007B6D4D"/>
    <w:rsid w:val="007B6FAF"/>
    <w:rsid w:val="007B7A09"/>
    <w:rsid w:val="007C0F7A"/>
    <w:rsid w:val="007D24A9"/>
    <w:rsid w:val="007D27FA"/>
    <w:rsid w:val="007D30B5"/>
    <w:rsid w:val="007D6218"/>
    <w:rsid w:val="007D6699"/>
    <w:rsid w:val="007D7E30"/>
    <w:rsid w:val="007E6419"/>
    <w:rsid w:val="007F6815"/>
    <w:rsid w:val="007F6BA8"/>
    <w:rsid w:val="008040A0"/>
    <w:rsid w:val="0080681B"/>
    <w:rsid w:val="0080738C"/>
    <w:rsid w:val="00810B77"/>
    <w:rsid w:val="008158AF"/>
    <w:rsid w:val="0081675A"/>
    <w:rsid w:val="00817436"/>
    <w:rsid w:val="00822217"/>
    <w:rsid w:val="0082416C"/>
    <w:rsid w:val="0082542D"/>
    <w:rsid w:val="00827834"/>
    <w:rsid w:val="00832835"/>
    <w:rsid w:val="00835110"/>
    <w:rsid w:val="008351FC"/>
    <w:rsid w:val="00841F50"/>
    <w:rsid w:val="00843A0E"/>
    <w:rsid w:val="00845DFE"/>
    <w:rsid w:val="00846E17"/>
    <w:rsid w:val="0085200A"/>
    <w:rsid w:val="00854283"/>
    <w:rsid w:val="008573E3"/>
    <w:rsid w:val="0086073F"/>
    <w:rsid w:val="00861E81"/>
    <w:rsid w:val="008645FF"/>
    <w:rsid w:val="00866D42"/>
    <w:rsid w:val="0087030E"/>
    <w:rsid w:val="00870AAC"/>
    <w:rsid w:val="00871085"/>
    <w:rsid w:val="008734F7"/>
    <w:rsid w:val="00874E9F"/>
    <w:rsid w:val="00877842"/>
    <w:rsid w:val="008806F8"/>
    <w:rsid w:val="008808E2"/>
    <w:rsid w:val="00881456"/>
    <w:rsid w:val="00881ACB"/>
    <w:rsid w:val="00884140"/>
    <w:rsid w:val="00885FC9"/>
    <w:rsid w:val="00891328"/>
    <w:rsid w:val="00891A47"/>
    <w:rsid w:val="00892809"/>
    <w:rsid w:val="0089370F"/>
    <w:rsid w:val="008939AF"/>
    <w:rsid w:val="00893FED"/>
    <w:rsid w:val="0089449A"/>
    <w:rsid w:val="00895E0B"/>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7226"/>
    <w:rsid w:val="008D7B80"/>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526B"/>
    <w:rsid w:val="00936B81"/>
    <w:rsid w:val="00944701"/>
    <w:rsid w:val="00950ED1"/>
    <w:rsid w:val="00952A7A"/>
    <w:rsid w:val="00953A02"/>
    <w:rsid w:val="0095444E"/>
    <w:rsid w:val="00955C67"/>
    <w:rsid w:val="00957B65"/>
    <w:rsid w:val="0096018E"/>
    <w:rsid w:val="00960AFF"/>
    <w:rsid w:val="00963F62"/>
    <w:rsid w:val="00965EFC"/>
    <w:rsid w:val="0097161B"/>
    <w:rsid w:val="00972CE4"/>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3C3B"/>
    <w:rsid w:val="00996CE4"/>
    <w:rsid w:val="009A0FB3"/>
    <w:rsid w:val="009A3F36"/>
    <w:rsid w:val="009A48D8"/>
    <w:rsid w:val="009A5F21"/>
    <w:rsid w:val="009A6C59"/>
    <w:rsid w:val="009A7878"/>
    <w:rsid w:val="009B0888"/>
    <w:rsid w:val="009B33DF"/>
    <w:rsid w:val="009B4270"/>
    <w:rsid w:val="009B44CC"/>
    <w:rsid w:val="009B5651"/>
    <w:rsid w:val="009B62E4"/>
    <w:rsid w:val="009C4319"/>
    <w:rsid w:val="009D109E"/>
    <w:rsid w:val="009D1CD9"/>
    <w:rsid w:val="009D1F28"/>
    <w:rsid w:val="009D4830"/>
    <w:rsid w:val="009D797A"/>
    <w:rsid w:val="009E026A"/>
    <w:rsid w:val="009E3B56"/>
    <w:rsid w:val="009E49B5"/>
    <w:rsid w:val="009E551E"/>
    <w:rsid w:val="009E7066"/>
    <w:rsid w:val="009F1EF8"/>
    <w:rsid w:val="009F4604"/>
    <w:rsid w:val="009F4B78"/>
    <w:rsid w:val="009F606B"/>
    <w:rsid w:val="009F6E66"/>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2FBA"/>
    <w:rsid w:val="00A44DA6"/>
    <w:rsid w:val="00A50921"/>
    <w:rsid w:val="00A5160D"/>
    <w:rsid w:val="00A53AD7"/>
    <w:rsid w:val="00A56CA4"/>
    <w:rsid w:val="00A65F04"/>
    <w:rsid w:val="00A65F2E"/>
    <w:rsid w:val="00A71AD5"/>
    <w:rsid w:val="00A8073E"/>
    <w:rsid w:val="00A80883"/>
    <w:rsid w:val="00A81BED"/>
    <w:rsid w:val="00A82FC6"/>
    <w:rsid w:val="00A85A0D"/>
    <w:rsid w:val="00A92270"/>
    <w:rsid w:val="00AA10AE"/>
    <w:rsid w:val="00AA329F"/>
    <w:rsid w:val="00AA77FE"/>
    <w:rsid w:val="00AA7B6A"/>
    <w:rsid w:val="00AB593E"/>
    <w:rsid w:val="00AB5D37"/>
    <w:rsid w:val="00AB683F"/>
    <w:rsid w:val="00AC4A2E"/>
    <w:rsid w:val="00AD1885"/>
    <w:rsid w:val="00AD2B00"/>
    <w:rsid w:val="00AD50BA"/>
    <w:rsid w:val="00AE02E7"/>
    <w:rsid w:val="00AE0F75"/>
    <w:rsid w:val="00AE319E"/>
    <w:rsid w:val="00AE3B2C"/>
    <w:rsid w:val="00AE3B4E"/>
    <w:rsid w:val="00AE4EC5"/>
    <w:rsid w:val="00AE676F"/>
    <w:rsid w:val="00AE709C"/>
    <w:rsid w:val="00AE7DD9"/>
    <w:rsid w:val="00AF2B38"/>
    <w:rsid w:val="00AF4B22"/>
    <w:rsid w:val="00B004C1"/>
    <w:rsid w:val="00B0168B"/>
    <w:rsid w:val="00B03458"/>
    <w:rsid w:val="00B04B8E"/>
    <w:rsid w:val="00B1072F"/>
    <w:rsid w:val="00B15820"/>
    <w:rsid w:val="00B1591E"/>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6651C"/>
    <w:rsid w:val="00B73979"/>
    <w:rsid w:val="00B751B0"/>
    <w:rsid w:val="00B762E0"/>
    <w:rsid w:val="00B86C54"/>
    <w:rsid w:val="00B874C4"/>
    <w:rsid w:val="00B97AA2"/>
    <w:rsid w:val="00B97B8E"/>
    <w:rsid w:val="00BA00A8"/>
    <w:rsid w:val="00BA0378"/>
    <w:rsid w:val="00BA37A4"/>
    <w:rsid w:val="00BA4FB0"/>
    <w:rsid w:val="00BA6138"/>
    <w:rsid w:val="00BA6E75"/>
    <w:rsid w:val="00BB1930"/>
    <w:rsid w:val="00BB3478"/>
    <w:rsid w:val="00BC2247"/>
    <w:rsid w:val="00BC5572"/>
    <w:rsid w:val="00BD497C"/>
    <w:rsid w:val="00BD57EE"/>
    <w:rsid w:val="00BE4E8A"/>
    <w:rsid w:val="00BF2A79"/>
    <w:rsid w:val="00BF375F"/>
    <w:rsid w:val="00C02372"/>
    <w:rsid w:val="00C033EA"/>
    <w:rsid w:val="00C044C3"/>
    <w:rsid w:val="00C10453"/>
    <w:rsid w:val="00C13BCA"/>
    <w:rsid w:val="00C141B9"/>
    <w:rsid w:val="00C158CF"/>
    <w:rsid w:val="00C16518"/>
    <w:rsid w:val="00C1787D"/>
    <w:rsid w:val="00C20F14"/>
    <w:rsid w:val="00C22B7C"/>
    <w:rsid w:val="00C23B8E"/>
    <w:rsid w:val="00C25A89"/>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316C"/>
    <w:rsid w:val="00C65E4E"/>
    <w:rsid w:val="00C66610"/>
    <w:rsid w:val="00C66648"/>
    <w:rsid w:val="00C66FEF"/>
    <w:rsid w:val="00C70CB4"/>
    <w:rsid w:val="00C727A7"/>
    <w:rsid w:val="00C728D5"/>
    <w:rsid w:val="00C72CF7"/>
    <w:rsid w:val="00C75119"/>
    <w:rsid w:val="00C76DD6"/>
    <w:rsid w:val="00C829C4"/>
    <w:rsid w:val="00C84280"/>
    <w:rsid w:val="00C87402"/>
    <w:rsid w:val="00C90B62"/>
    <w:rsid w:val="00C91C08"/>
    <w:rsid w:val="00C92589"/>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5651"/>
    <w:rsid w:val="00CC73FF"/>
    <w:rsid w:val="00CD141E"/>
    <w:rsid w:val="00CD45DA"/>
    <w:rsid w:val="00CE2EA4"/>
    <w:rsid w:val="00CE5714"/>
    <w:rsid w:val="00CE6138"/>
    <w:rsid w:val="00CE6F59"/>
    <w:rsid w:val="00CE7AAB"/>
    <w:rsid w:val="00CF1D38"/>
    <w:rsid w:val="00CF2673"/>
    <w:rsid w:val="00CF2DA1"/>
    <w:rsid w:val="00CF43B1"/>
    <w:rsid w:val="00D04179"/>
    <w:rsid w:val="00D0614B"/>
    <w:rsid w:val="00D06AD1"/>
    <w:rsid w:val="00D1209A"/>
    <w:rsid w:val="00D17549"/>
    <w:rsid w:val="00D17C38"/>
    <w:rsid w:val="00D24D97"/>
    <w:rsid w:val="00D275F5"/>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4984"/>
    <w:rsid w:val="00D8540E"/>
    <w:rsid w:val="00D85C4D"/>
    <w:rsid w:val="00D86F7A"/>
    <w:rsid w:val="00D8730B"/>
    <w:rsid w:val="00D9072A"/>
    <w:rsid w:val="00D94852"/>
    <w:rsid w:val="00DA039C"/>
    <w:rsid w:val="00DA10B4"/>
    <w:rsid w:val="00DA6EBE"/>
    <w:rsid w:val="00DB27CC"/>
    <w:rsid w:val="00DB2A54"/>
    <w:rsid w:val="00DB4EF9"/>
    <w:rsid w:val="00DB664F"/>
    <w:rsid w:val="00DC29FE"/>
    <w:rsid w:val="00DC430C"/>
    <w:rsid w:val="00DC60FB"/>
    <w:rsid w:val="00DC7319"/>
    <w:rsid w:val="00DC742E"/>
    <w:rsid w:val="00DD38DC"/>
    <w:rsid w:val="00DD410D"/>
    <w:rsid w:val="00DD63FF"/>
    <w:rsid w:val="00DF1BBF"/>
    <w:rsid w:val="00DF3145"/>
    <w:rsid w:val="00DF4B0E"/>
    <w:rsid w:val="00E01E4B"/>
    <w:rsid w:val="00E062B0"/>
    <w:rsid w:val="00E0711E"/>
    <w:rsid w:val="00E0770C"/>
    <w:rsid w:val="00E10B1C"/>
    <w:rsid w:val="00E14DFA"/>
    <w:rsid w:val="00E17EA5"/>
    <w:rsid w:val="00E229DB"/>
    <w:rsid w:val="00E2571A"/>
    <w:rsid w:val="00E26EDC"/>
    <w:rsid w:val="00E2713C"/>
    <w:rsid w:val="00E30B42"/>
    <w:rsid w:val="00E342D7"/>
    <w:rsid w:val="00E34D1F"/>
    <w:rsid w:val="00E35C26"/>
    <w:rsid w:val="00E40931"/>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97A9D"/>
    <w:rsid w:val="00EA01A0"/>
    <w:rsid w:val="00EA155A"/>
    <w:rsid w:val="00EA24D4"/>
    <w:rsid w:val="00EA2851"/>
    <w:rsid w:val="00EA3515"/>
    <w:rsid w:val="00EA55FE"/>
    <w:rsid w:val="00EB0B4F"/>
    <w:rsid w:val="00EB1B59"/>
    <w:rsid w:val="00EB2E17"/>
    <w:rsid w:val="00EB4384"/>
    <w:rsid w:val="00EB54F0"/>
    <w:rsid w:val="00EB6065"/>
    <w:rsid w:val="00EB7DD3"/>
    <w:rsid w:val="00EC0826"/>
    <w:rsid w:val="00EC4E99"/>
    <w:rsid w:val="00ED3A21"/>
    <w:rsid w:val="00ED54F9"/>
    <w:rsid w:val="00ED6982"/>
    <w:rsid w:val="00EE0218"/>
    <w:rsid w:val="00EE0E54"/>
    <w:rsid w:val="00EE1033"/>
    <w:rsid w:val="00EE6BD5"/>
    <w:rsid w:val="00EF24BB"/>
    <w:rsid w:val="00EF2B90"/>
    <w:rsid w:val="00EF32F6"/>
    <w:rsid w:val="00EF4114"/>
    <w:rsid w:val="00EF448F"/>
    <w:rsid w:val="00EF4634"/>
    <w:rsid w:val="00EF472E"/>
    <w:rsid w:val="00EF4A5A"/>
    <w:rsid w:val="00EF4EC4"/>
    <w:rsid w:val="00EF5C9D"/>
    <w:rsid w:val="00EF66A9"/>
    <w:rsid w:val="00EF74D8"/>
    <w:rsid w:val="00F01898"/>
    <w:rsid w:val="00F04E45"/>
    <w:rsid w:val="00F05EE0"/>
    <w:rsid w:val="00F06985"/>
    <w:rsid w:val="00F07DE8"/>
    <w:rsid w:val="00F10DAE"/>
    <w:rsid w:val="00F156B3"/>
    <w:rsid w:val="00F15FD8"/>
    <w:rsid w:val="00F1702E"/>
    <w:rsid w:val="00F21154"/>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236B"/>
    <w:rsid w:val="00F82957"/>
    <w:rsid w:val="00F83BD2"/>
    <w:rsid w:val="00F857CA"/>
    <w:rsid w:val="00F92C2B"/>
    <w:rsid w:val="00F94241"/>
    <w:rsid w:val="00F945CD"/>
    <w:rsid w:val="00F95ECF"/>
    <w:rsid w:val="00F9792C"/>
    <w:rsid w:val="00F97AAA"/>
    <w:rsid w:val="00FA4AD8"/>
    <w:rsid w:val="00FB3597"/>
    <w:rsid w:val="00FB53CA"/>
    <w:rsid w:val="00FC008E"/>
    <w:rsid w:val="00FC3750"/>
    <w:rsid w:val="00FC487C"/>
    <w:rsid w:val="00FC51A5"/>
    <w:rsid w:val="00FD0B36"/>
    <w:rsid w:val="00FD15AC"/>
    <w:rsid w:val="00FD168A"/>
    <w:rsid w:val="00FD3643"/>
    <w:rsid w:val="00FD553C"/>
    <w:rsid w:val="00FD6F5E"/>
    <w:rsid w:val="00FE087D"/>
    <w:rsid w:val="00FE133D"/>
    <w:rsid w:val="00FE2090"/>
    <w:rsid w:val="00FE358C"/>
    <w:rsid w:val="00FE359D"/>
    <w:rsid w:val="00FE47EA"/>
    <w:rsid w:val="00FE4D5F"/>
    <w:rsid w:val="00FE7BC4"/>
    <w:rsid w:val="00FF062F"/>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paragraph" w:styleId="Header">
    <w:name w:val="header"/>
    <w:basedOn w:val="Normal"/>
    <w:link w:val="HeaderChar"/>
    <w:uiPriority w:val="99"/>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uiPriority w:val="99"/>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numbering" w:customStyle="1" w:styleId="NoList1">
    <w:name w:val="No List1"/>
    <w:next w:val="NoList"/>
    <w:uiPriority w:val="99"/>
    <w:semiHidden/>
    <w:unhideWhenUsed/>
    <w:rsid w:val="0093526B"/>
  </w:style>
  <w:style w:type="paragraph" w:styleId="Caption">
    <w:name w:val="caption"/>
    <w:basedOn w:val="Normal"/>
    <w:next w:val="Normal"/>
    <w:qFormat/>
    <w:rsid w:val="0093526B"/>
    <w:pPr>
      <w:spacing w:before="120" w:after="120"/>
    </w:pPr>
    <w:rPr>
      <w:rFonts w:ascii="Times" w:eastAsia="SimSun" w:hAnsi="Times"/>
      <w:b/>
      <w:szCs w:val="20"/>
      <w:lang w:val="en-US" w:eastAsia="en-US"/>
    </w:rPr>
  </w:style>
  <w:style w:type="character" w:customStyle="1" w:styleId="BalloonTextChar">
    <w:name w:val="Balloon Text Char"/>
    <w:basedOn w:val="DefaultParagraphFont"/>
    <w:link w:val="BalloonText"/>
    <w:uiPriority w:val="99"/>
    <w:semiHidden/>
    <w:rsid w:val="0093526B"/>
    <w:rPr>
      <w:rFonts w:ascii="Tahoma" w:hAnsi="Tahoma" w:cs="Tahoma"/>
      <w:sz w:val="16"/>
      <w:szCs w:val="16"/>
      <w:lang w:val="de-DE" w:eastAsia="ja-JP"/>
    </w:rPr>
  </w:style>
  <w:style w:type="paragraph" w:styleId="Revision">
    <w:name w:val="Revision"/>
    <w:hidden/>
    <w:uiPriority w:val="99"/>
    <w:semiHidden/>
    <w:rsid w:val="0093526B"/>
    <w:rPr>
      <w:rFonts w:asciiTheme="minorHAnsi" w:eastAsiaTheme="minorEastAsia" w:hAnsiTheme="minorHAnsi" w:cstheme="minorBidi"/>
      <w:sz w:val="22"/>
      <w:szCs w:val="22"/>
      <w:lang w:val="en-US" w:eastAsia="zh-CN"/>
    </w:rPr>
  </w:style>
  <w:style w:type="paragraph" w:styleId="ListParagraph">
    <w:name w:val="List Paragraph"/>
    <w:basedOn w:val="Normal"/>
    <w:uiPriority w:val="34"/>
    <w:qFormat/>
    <w:rsid w:val="0093526B"/>
    <w:pPr>
      <w:spacing w:after="160" w:line="259" w:lineRule="auto"/>
      <w:ind w:left="720"/>
      <w:contextualSpacing/>
    </w:pPr>
    <w:rPr>
      <w:rFonts w:asciiTheme="minorHAnsi" w:eastAsiaTheme="minorEastAsia" w:hAnsiTheme="minorHAnsi" w:cstheme="minorBidi"/>
      <w:sz w:val="22"/>
      <w:szCs w:val="22"/>
      <w:lang w:val="en-US" w:eastAsia="zh-CN"/>
    </w:rPr>
  </w:style>
  <w:style w:type="paragraph" w:customStyle="1" w:styleId="ReturnAddress">
    <w:name w:val="Return Address"/>
    <w:basedOn w:val="Normal"/>
    <w:rsid w:val="0093526B"/>
    <w:pPr>
      <w:keepLines/>
      <w:framePr w:w="4320" w:h="965" w:hSpace="187" w:vSpace="187" w:wrap="notBeside" w:vAnchor="page" w:hAnchor="margin" w:xAlign="right" w:y="966" w:anchorLock="1"/>
      <w:tabs>
        <w:tab w:val="left" w:pos="2160"/>
      </w:tabs>
      <w:spacing w:line="160" w:lineRule="atLeast"/>
    </w:pPr>
    <w:rPr>
      <w:rFonts w:ascii="Arial" w:eastAsia="SimSun" w:hAnsi="Arial"/>
      <w:sz w:val="14"/>
      <w:szCs w:val="20"/>
      <w:lang w:val="en-US" w:eastAsia="en-US"/>
    </w:rPr>
  </w:style>
  <w:style w:type="table" w:customStyle="1" w:styleId="ListTable2-Accent61">
    <w:name w:val="List Table 2 - Accent 61"/>
    <w:basedOn w:val="TableNormal"/>
    <w:uiPriority w:val="47"/>
    <w:rsid w:val="0093526B"/>
    <w:rPr>
      <w:rFonts w:ascii="Times" w:eastAsia="SimSun" w:hAnsi="Times"/>
      <w:lang w:val="en-US" w:eastAsia="zh-CN"/>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LineNumber">
    <w:name w:val="line number"/>
    <w:basedOn w:val="DefaultParagraphFont"/>
    <w:uiPriority w:val="99"/>
    <w:semiHidden/>
    <w:unhideWhenUsed/>
    <w:rsid w:val="0093526B"/>
  </w:style>
  <w:style w:type="table" w:customStyle="1" w:styleId="ListTable2-Accent611">
    <w:name w:val="List Table 2 - Accent 611"/>
    <w:basedOn w:val="TableNormal"/>
    <w:uiPriority w:val="47"/>
    <w:rsid w:val="0086073F"/>
    <w:rPr>
      <w:rFonts w:ascii="Times" w:eastAsia="SimSun" w:hAnsi="Times"/>
      <w:lang w:val="en-US" w:eastAsia="zh-CN"/>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612">
    <w:name w:val="List Table 2 - Accent 612"/>
    <w:basedOn w:val="TableNormal"/>
    <w:uiPriority w:val="47"/>
    <w:rsid w:val="00310265"/>
    <w:rPr>
      <w:rFonts w:ascii="Times" w:eastAsia="SimSun" w:hAnsi="Times"/>
      <w:lang w:val="en-US" w:eastAsia="zh-CN"/>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5.xml><?xml version="1.0" encoding="utf-8"?>
<ct:contentTypeSchema xmlns:ct="http://schemas.microsoft.com/office/2006/metadata/contentType" xmlns:ma="http://schemas.microsoft.com/office/2006/metadata/properties/metaAttributes" ct:_="" ma:_="" ma:contentTypeName="Document" ma:contentTypeID="0x0101008BEAF299BAD5C443B7B94D359352909D" ma:contentTypeVersion="13" ma:contentTypeDescription="Create a new document." ma:contentTypeScope="" ma:versionID="4842a0b491ceedf1f2e6e3ca3ac6584c">
  <xsd:schema xmlns:xsd="http://www.w3.org/2001/XMLSchema" xmlns:xs="http://www.w3.org/2001/XMLSchema" xmlns:p="http://schemas.microsoft.com/office/2006/metadata/properties" xmlns:ns3="0c4992ee-a5fe-4357-9f94-bbd1fb75d23e" xmlns:ns4="0557a493-af67-429d-80c7-3ec9377d9df9" targetNamespace="http://schemas.microsoft.com/office/2006/metadata/properties" ma:root="true" ma:fieldsID="dbf8565a9e5a1fa3854d2b8dcd16ed82" ns3:_="" ns4:_="">
    <xsd:import namespace="0c4992ee-a5fe-4357-9f94-bbd1fb75d23e"/>
    <xsd:import namespace="0557a493-af67-429d-80c7-3ec9377d9d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992ee-a5fe-4357-9f94-bbd1fb75d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7a493-af67-429d-80c7-3ec9377d9df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0F0DB-69C8-4BB2-A1CC-EA96B667A8BC}">
  <ds:schemaRefs>
    <ds:schemaRef ds:uri="http://schemas.openxmlformats.org/officeDocument/2006/bibliography"/>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5.xml><?xml version="1.0" encoding="utf-8"?>
<ds:datastoreItem xmlns:ds="http://schemas.openxmlformats.org/officeDocument/2006/customXml" ds:itemID="{8BFE695C-2F88-4CE8-8E6E-7A5663333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992ee-a5fe-4357-9f94-bbd1fb75d23e"/>
    <ds:schemaRef ds:uri="0557a493-af67-429d-80c7-3ec9377d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1800</Words>
  <Characters>10351</Characters>
  <Application>Microsoft Office Word</Application>
  <DocSecurity>0</DocSecurity>
  <Lines>152</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2021-06-25T19:57:00Z</dcterms:created>
  <dcterms:modified xsi:type="dcterms:W3CDTF">2021-06-25T20:13:00Z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0x0101008BEAF299BAD5C443B7B94D359352909D</vt:lpwstr>
  </property>
  <property fmtid="{D5CDD505-2E9C-101B-9397-08002B2CF9AE}" pid="3" name="Mendeley Document_1">
    <vt:lpwstr>True</vt:lpwstr>
  </property>
  <property fmtid="{D5CDD505-2E9C-101B-9397-08002B2CF9AE}" pid="4" name="Mendeley Unique User Id_1">
    <vt:lpwstr>2204883e-2a5e-39cd-a5b5-56477f00303a</vt:lpwstr>
  </property>
  <property fmtid="{D5CDD505-2E9C-101B-9397-08002B2CF9AE}" pid="5" name="Mendeley Citation Style_1">
    <vt:lpwstr>http://www.zotero.org/styles/small</vt:lpwstr>
  </property>
  <property fmtid="{D5CDD505-2E9C-101B-9397-08002B2CF9AE}" pid="6" name="Mendeley Recent Style Id 0_1">
    <vt:lpwstr>http://www.zotero.org/styles/acs-nano</vt:lpwstr>
  </property>
  <property fmtid="{D5CDD505-2E9C-101B-9397-08002B2CF9AE}" pid="7" name="Mendeley Recent Style Name 0_1">
    <vt:lpwstr>ACS Nano</vt:lpwstr>
  </property>
  <property fmtid="{D5CDD505-2E9C-101B-9397-08002B2CF9AE}" pid="8" name="Mendeley Recent Style Id 1_1">
    <vt:lpwstr>http://www.zotero.org/styles/advanced-materials</vt:lpwstr>
  </property>
  <property fmtid="{D5CDD505-2E9C-101B-9397-08002B2CF9AE}" pid="9" name="Mendeley Recent Style Name 1_1">
    <vt:lpwstr>Advanced Materials</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http://www.zotero.org/styles/lab-on-a-chip</vt:lpwstr>
  </property>
  <property fmtid="{D5CDD505-2E9C-101B-9397-08002B2CF9AE}" pid="13" name="Mendeley Recent Style Name 3_1">
    <vt:lpwstr>Lab on a Chip</vt:lpwstr>
  </property>
  <property fmtid="{D5CDD505-2E9C-101B-9397-08002B2CF9AE}" pid="14" name="Mendeley Recent Style Id 4_1">
    <vt:lpwstr>http://www.zotero.org/styles/modern-language-association</vt:lpwstr>
  </property>
  <property fmtid="{D5CDD505-2E9C-101B-9397-08002B2CF9AE}" pid="15" name="Mendeley Recent Style Name 4_1">
    <vt:lpwstr>Modern Language Association 8th edition</vt:lpwstr>
  </property>
  <property fmtid="{D5CDD505-2E9C-101B-9397-08002B2CF9AE}" pid="16" name="Mendeley Recent Style Id 5_1">
    <vt:lpwstr>http://www.zotero.org/styles/national-institute-of-health-research</vt:lpwstr>
  </property>
  <property fmtid="{D5CDD505-2E9C-101B-9397-08002B2CF9AE}" pid="17" name="Mendeley Recent Style Name 5_1">
    <vt:lpwstr>National Institute of Health Research</vt:lpwstr>
  </property>
  <property fmtid="{D5CDD505-2E9C-101B-9397-08002B2CF9AE}" pid="18" name="Mendeley Recent Style Id 6_1">
    <vt:lpwstr>http://www.zotero.org/styles/nature-communications</vt:lpwstr>
  </property>
  <property fmtid="{D5CDD505-2E9C-101B-9397-08002B2CF9AE}" pid="19" name="Mendeley Recent Style Name 6_1">
    <vt:lpwstr>Nature Communications</vt:lpwstr>
  </property>
  <property fmtid="{D5CDD505-2E9C-101B-9397-08002B2CF9AE}" pid="20" name="Mendeley Recent Style Id 7_1">
    <vt:lpwstr>http://www.zotero.org/styles/pnas</vt:lpwstr>
  </property>
  <property fmtid="{D5CDD505-2E9C-101B-9397-08002B2CF9AE}" pid="21" name="Mendeley Recent Style Name 7_1">
    <vt:lpwstr>Proceedings of the National Academy of Sciences of the United States of America</vt:lpwstr>
  </property>
  <property fmtid="{D5CDD505-2E9C-101B-9397-08002B2CF9AE}" pid="22" name="Mendeley Recent Style Id 8_1">
    <vt:lpwstr>http://www.zotero.org/styles/science-advances</vt:lpwstr>
  </property>
  <property fmtid="{D5CDD505-2E9C-101B-9397-08002B2CF9AE}" pid="23" name="Mendeley Recent Style Name 8_1">
    <vt:lpwstr>Science Advances</vt:lpwstr>
  </property>
  <property fmtid="{D5CDD505-2E9C-101B-9397-08002B2CF9AE}" pid="24" name="Mendeley Recent Style Id 9_1">
    <vt:lpwstr>http://www.zotero.org/styles/small</vt:lpwstr>
  </property>
  <property fmtid="{D5CDD505-2E9C-101B-9397-08002B2CF9AE}" pid="25" name="Mendeley Recent Style Name 9_1">
    <vt:lpwstr>Small</vt:lpwstr>
  </property>
</Properties>
</file>