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000000" w:themeColor="text1"/>
          <w:kern w:val="2"/>
          <w:sz w:val="36"/>
          <w:szCs w:val="22"/>
          <w:highlight w:val="black"/>
          <w:lang w:val="zh-CN"/>
        </w:rPr>
        <w:id w:val="1625041004"/>
        <w:docPartObj>
          <w:docPartGallery w:val="Table of Contents"/>
          <w:docPartUnique/>
        </w:docPartObj>
      </w:sdtPr>
      <w:sdtEndPr>
        <w:rPr>
          <w:b/>
          <w:bCs/>
          <w:color w:val="auto"/>
          <w:sz w:val="21"/>
          <w:highlight w:val="none"/>
        </w:rPr>
      </w:sdtEndPr>
      <w:sdtContent>
        <w:p w:rsidR="00172ABA" w:rsidRPr="00172ABA" w:rsidRDefault="00172ABA" w:rsidP="00172ABA">
          <w:pPr>
            <w:pStyle w:val="TOC"/>
            <w:jc w:val="center"/>
            <w:rPr>
              <w:color w:val="000000" w:themeColor="text1"/>
              <w:sz w:val="48"/>
            </w:rPr>
          </w:pPr>
          <w:r w:rsidRPr="00172ABA">
            <w:rPr>
              <w:rFonts w:hint="eastAsia"/>
              <w:color w:val="000000" w:themeColor="text1"/>
              <w:sz w:val="36"/>
              <w:lang w:val="zh-CN"/>
            </w:rPr>
            <w:t>C</w:t>
          </w:r>
          <w:r w:rsidRPr="00172ABA">
            <w:rPr>
              <w:color w:val="000000" w:themeColor="text1"/>
              <w:sz w:val="36"/>
              <w:lang w:val="zh-CN"/>
            </w:rPr>
            <w:t>ontents</w:t>
          </w:r>
        </w:p>
        <w:p w:rsidR="002E5241" w:rsidRDefault="00172ABA">
          <w:pPr>
            <w:pStyle w:val="21"/>
            <w:tabs>
              <w:tab w:val="right" w:leader="dot" w:pos="8296"/>
            </w:tabs>
            <w:rPr>
              <w:noProof/>
            </w:rPr>
          </w:pPr>
          <w:r>
            <w:fldChar w:fldCharType="begin"/>
          </w:r>
          <w:r>
            <w:instrText xml:space="preserve"> TOC \o "1-3" \h \z \u </w:instrText>
          </w:r>
          <w:r>
            <w:fldChar w:fldCharType="separate"/>
          </w:r>
          <w:hyperlink w:anchor="_Toc74521923" w:history="1">
            <w:r w:rsidR="002E5241" w:rsidRPr="003D264C">
              <w:rPr>
                <w:rStyle w:val="a8"/>
                <w:rFonts w:ascii="Times New Roman" w:hAnsi="Times New Roman" w:cs="Times New Roman"/>
                <w:noProof/>
              </w:rPr>
              <w:t>Appendix 1: MEDLINE search strategy</w:t>
            </w:r>
            <w:r w:rsidR="002E5241">
              <w:rPr>
                <w:noProof/>
                <w:webHidden/>
              </w:rPr>
              <w:tab/>
            </w:r>
            <w:r w:rsidR="002E5241">
              <w:rPr>
                <w:noProof/>
                <w:webHidden/>
              </w:rPr>
              <w:fldChar w:fldCharType="begin"/>
            </w:r>
            <w:r w:rsidR="002E5241">
              <w:rPr>
                <w:noProof/>
                <w:webHidden/>
              </w:rPr>
              <w:instrText xml:space="preserve"> PAGEREF _Toc74521923 \h </w:instrText>
            </w:r>
            <w:r w:rsidR="002E5241">
              <w:rPr>
                <w:noProof/>
                <w:webHidden/>
              </w:rPr>
            </w:r>
            <w:r w:rsidR="002E5241">
              <w:rPr>
                <w:noProof/>
                <w:webHidden/>
              </w:rPr>
              <w:fldChar w:fldCharType="separate"/>
            </w:r>
            <w:r w:rsidR="00713861">
              <w:rPr>
                <w:noProof/>
                <w:webHidden/>
              </w:rPr>
              <w:t>3</w:t>
            </w:r>
            <w:r w:rsidR="002E5241">
              <w:rPr>
                <w:noProof/>
                <w:webHidden/>
              </w:rPr>
              <w:fldChar w:fldCharType="end"/>
            </w:r>
          </w:hyperlink>
        </w:p>
        <w:p w:rsidR="002E5241" w:rsidRDefault="007C290F">
          <w:pPr>
            <w:pStyle w:val="21"/>
            <w:tabs>
              <w:tab w:val="right" w:leader="dot" w:pos="8296"/>
            </w:tabs>
            <w:rPr>
              <w:noProof/>
            </w:rPr>
          </w:pPr>
          <w:hyperlink w:anchor="_Toc74521924" w:history="1">
            <w:r w:rsidR="002E5241" w:rsidRPr="003D264C">
              <w:rPr>
                <w:rStyle w:val="a8"/>
                <w:rFonts w:ascii="Times New Roman" w:hAnsi="Times New Roman" w:cs="Times New Roman"/>
                <w:noProof/>
              </w:rPr>
              <w:t>Appendix 2: Statistical methods in detail</w:t>
            </w:r>
            <w:r w:rsidR="002E5241">
              <w:rPr>
                <w:noProof/>
                <w:webHidden/>
              </w:rPr>
              <w:tab/>
            </w:r>
            <w:r w:rsidR="002E5241">
              <w:rPr>
                <w:noProof/>
                <w:webHidden/>
              </w:rPr>
              <w:fldChar w:fldCharType="begin"/>
            </w:r>
            <w:r w:rsidR="002E5241">
              <w:rPr>
                <w:noProof/>
                <w:webHidden/>
              </w:rPr>
              <w:instrText xml:space="preserve"> PAGEREF _Toc74521924 \h </w:instrText>
            </w:r>
            <w:r w:rsidR="002E5241">
              <w:rPr>
                <w:noProof/>
                <w:webHidden/>
              </w:rPr>
            </w:r>
            <w:r w:rsidR="002E5241">
              <w:rPr>
                <w:noProof/>
                <w:webHidden/>
              </w:rPr>
              <w:fldChar w:fldCharType="separate"/>
            </w:r>
            <w:r w:rsidR="00713861">
              <w:rPr>
                <w:noProof/>
                <w:webHidden/>
              </w:rPr>
              <w:t>4</w:t>
            </w:r>
            <w:r w:rsidR="002E5241">
              <w:rPr>
                <w:noProof/>
                <w:webHidden/>
              </w:rPr>
              <w:fldChar w:fldCharType="end"/>
            </w:r>
          </w:hyperlink>
        </w:p>
        <w:p w:rsidR="002E5241" w:rsidRDefault="007C290F">
          <w:pPr>
            <w:pStyle w:val="21"/>
            <w:tabs>
              <w:tab w:val="right" w:leader="dot" w:pos="8296"/>
            </w:tabs>
            <w:rPr>
              <w:noProof/>
            </w:rPr>
          </w:pPr>
          <w:hyperlink w:anchor="_Toc74521925" w:history="1">
            <w:r w:rsidR="002E5241" w:rsidRPr="003D264C">
              <w:rPr>
                <w:rStyle w:val="a8"/>
                <w:rFonts w:ascii="Times New Roman" w:hAnsi="Times New Roman" w:cs="Times New Roman"/>
                <w:noProof/>
              </w:rPr>
              <w:t>Appendix 3: Flowchart of literature search and study selection.</w:t>
            </w:r>
            <w:r w:rsidR="002E5241">
              <w:rPr>
                <w:noProof/>
                <w:webHidden/>
              </w:rPr>
              <w:tab/>
            </w:r>
            <w:r w:rsidR="002E5241">
              <w:rPr>
                <w:noProof/>
                <w:webHidden/>
              </w:rPr>
              <w:fldChar w:fldCharType="begin"/>
            </w:r>
            <w:r w:rsidR="002E5241">
              <w:rPr>
                <w:noProof/>
                <w:webHidden/>
              </w:rPr>
              <w:instrText xml:space="preserve"> PAGEREF _Toc74521925 \h </w:instrText>
            </w:r>
            <w:r w:rsidR="002E5241">
              <w:rPr>
                <w:noProof/>
                <w:webHidden/>
              </w:rPr>
            </w:r>
            <w:r w:rsidR="002E5241">
              <w:rPr>
                <w:noProof/>
                <w:webHidden/>
              </w:rPr>
              <w:fldChar w:fldCharType="separate"/>
            </w:r>
            <w:r w:rsidR="00713861">
              <w:rPr>
                <w:noProof/>
                <w:webHidden/>
              </w:rPr>
              <w:t>5</w:t>
            </w:r>
            <w:r w:rsidR="002E5241">
              <w:rPr>
                <w:noProof/>
                <w:webHidden/>
              </w:rPr>
              <w:fldChar w:fldCharType="end"/>
            </w:r>
          </w:hyperlink>
        </w:p>
        <w:p w:rsidR="002E5241" w:rsidRDefault="007C290F">
          <w:pPr>
            <w:pStyle w:val="21"/>
            <w:tabs>
              <w:tab w:val="right" w:leader="dot" w:pos="8296"/>
            </w:tabs>
            <w:rPr>
              <w:noProof/>
            </w:rPr>
          </w:pPr>
          <w:hyperlink w:anchor="_Toc74521926" w:history="1">
            <w:r w:rsidR="002E5241" w:rsidRPr="003D264C">
              <w:rPr>
                <w:rStyle w:val="a8"/>
                <w:rFonts w:ascii="Times New Roman" w:hAnsi="Times New Roman" w:cs="Times New Roman"/>
                <w:noProof/>
              </w:rPr>
              <w:t>Appendix 4: Details of included and excluded studies</w:t>
            </w:r>
            <w:r w:rsidR="002E5241">
              <w:rPr>
                <w:noProof/>
                <w:webHidden/>
              </w:rPr>
              <w:tab/>
            </w:r>
            <w:r w:rsidR="002E5241">
              <w:rPr>
                <w:noProof/>
                <w:webHidden/>
              </w:rPr>
              <w:fldChar w:fldCharType="begin"/>
            </w:r>
            <w:r w:rsidR="002E5241">
              <w:rPr>
                <w:noProof/>
                <w:webHidden/>
              </w:rPr>
              <w:instrText xml:space="preserve"> PAGEREF _Toc74521926 \h </w:instrText>
            </w:r>
            <w:r w:rsidR="002E5241">
              <w:rPr>
                <w:noProof/>
                <w:webHidden/>
              </w:rPr>
            </w:r>
            <w:r w:rsidR="002E5241">
              <w:rPr>
                <w:noProof/>
                <w:webHidden/>
              </w:rPr>
              <w:fldChar w:fldCharType="separate"/>
            </w:r>
            <w:r w:rsidR="00713861">
              <w:rPr>
                <w:noProof/>
                <w:webHidden/>
              </w:rPr>
              <w:t>6</w:t>
            </w:r>
            <w:r w:rsidR="002E5241">
              <w:rPr>
                <w:noProof/>
                <w:webHidden/>
              </w:rPr>
              <w:fldChar w:fldCharType="end"/>
            </w:r>
          </w:hyperlink>
        </w:p>
        <w:p w:rsidR="002E5241" w:rsidRDefault="007C290F">
          <w:pPr>
            <w:pStyle w:val="21"/>
            <w:tabs>
              <w:tab w:val="right" w:leader="dot" w:pos="8296"/>
            </w:tabs>
            <w:rPr>
              <w:noProof/>
            </w:rPr>
          </w:pPr>
          <w:hyperlink w:anchor="_Toc74521927" w:history="1">
            <w:r w:rsidR="002E5241" w:rsidRPr="003D264C">
              <w:rPr>
                <w:rStyle w:val="a8"/>
                <w:rFonts w:ascii="Times New Roman" w:hAnsi="Times New Roman" w:cs="Times New Roman"/>
                <w:noProof/>
              </w:rPr>
              <w:t>Appendix 5: PEDro assessment quality results of included studies</w:t>
            </w:r>
            <w:r w:rsidR="002E5241">
              <w:rPr>
                <w:noProof/>
                <w:webHidden/>
              </w:rPr>
              <w:tab/>
            </w:r>
            <w:r w:rsidR="002E5241">
              <w:rPr>
                <w:noProof/>
                <w:webHidden/>
              </w:rPr>
              <w:fldChar w:fldCharType="begin"/>
            </w:r>
            <w:r w:rsidR="002E5241">
              <w:rPr>
                <w:noProof/>
                <w:webHidden/>
              </w:rPr>
              <w:instrText xml:space="preserve"> PAGEREF _Toc74521927 \h </w:instrText>
            </w:r>
            <w:r w:rsidR="002E5241">
              <w:rPr>
                <w:noProof/>
                <w:webHidden/>
              </w:rPr>
            </w:r>
            <w:r w:rsidR="002E5241">
              <w:rPr>
                <w:noProof/>
                <w:webHidden/>
              </w:rPr>
              <w:fldChar w:fldCharType="separate"/>
            </w:r>
            <w:r w:rsidR="00713861">
              <w:rPr>
                <w:noProof/>
                <w:webHidden/>
              </w:rPr>
              <w:t>23</w:t>
            </w:r>
            <w:r w:rsidR="002E5241">
              <w:rPr>
                <w:noProof/>
                <w:webHidden/>
              </w:rPr>
              <w:fldChar w:fldCharType="end"/>
            </w:r>
          </w:hyperlink>
        </w:p>
        <w:p w:rsidR="002E5241" w:rsidRDefault="007C290F">
          <w:pPr>
            <w:pStyle w:val="21"/>
            <w:tabs>
              <w:tab w:val="right" w:leader="dot" w:pos="8296"/>
            </w:tabs>
            <w:rPr>
              <w:noProof/>
            </w:rPr>
          </w:pPr>
          <w:hyperlink w:anchor="_Toc74521928" w:history="1">
            <w:r w:rsidR="002E5241" w:rsidRPr="003D264C">
              <w:rPr>
                <w:rStyle w:val="a8"/>
                <w:rFonts w:ascii="Times New Roman" w:hAnsi="Times New Roman" w:cs="Times New Roman"/>
                <w:noProof/>
              </w:rPr>
              <w:t>Appendix 6: Side-split analyses from network meta-analysis of studies</w:t>
            </w:r>
            <w:r w:rsidR="002E5241" w:rsidRPr="003D264C">
              <w:rPr>
                <w:rStyle w:val="a8"/>
                <w:noProof/>
              </w:rPr>
              <w:t xml:space="preserve"> </w:t>
            </w:r>
            <w:r w:rsidR="002E5241" w:rsidRPr="003D264C">
              <w:rPr>
                <w:rStyle w:val="a8"/>
                <w:rFonts w:ascii="Times New Roman" w:hAnsi="Times New Roman" w:cs="Times New Roman"/>
                <w:noProof/>
              </w:rPr>
              <w:t>examining the efficacy of exercise intervention in postmenopausal women.</w:t>
            </w:r>
            <w:r w:rsidR="002E5241">
              <w:rPr>
                <w:noProof/>
                <w:webHidden/>
              </w:rPr>
              <w:tab/>
            </w:r>
            <w:r w:rsidR="002E5241">
              <w:rPr>
                <w:noProof/>
                <w:webHidden/>
              </w:rPr>
              <w:fldChar w:fldCharType="begin"/>
            </w:r>
            <w:r w:rsidR="002E5241">
              <w:rPr>
                <w:noProof/>
                <w:webHidden/>
              </w:rPr>
              <w:instrText xml:space="preserve"> PAGEREF _Toc74521928 \h </w:instrText>
            </w:r>
            <w:r w:rsidR="002E5241">
              <w:rPr>
                <w:noProof/>
                <w:webHidden/>
              </w:rPr>
            </w:r>
            <w:r w:rsidR="002E5241">
              <w:rPr>
                <w:noProof/>
                <w:webHidden/>
              </w:rPr>
              <w:fldChar w:fldCharType="separate"/>
            </w:r>
            <w:r w:rsidR="00713861">
              <w:rPr>
                <w:noProof/>
                <w:webHidden/>
              </w:rPr>
              <w:t>27</w:t>
            </w:r>
            <w:r w:rsidR="002E5241">
              <w:rPr>
                <w:noProof/>
                <w:webHidden/>
              </w:rPr>
              <w:fldChar w:fldCharType="end"/>
            </w:r>
          </w:hyperlink>
        </w:p>
        <w:p w:rsidR="002E5241" w:rsidRDefault="007C290F">
          <w:pPr>
            <w:pStyle w:val="21"/>
            <w:tabs>
              <w:tab w:val="right" w:leader="dot" w:pos="8296"/>
            </w:tabs>
            <w:rPr>
              <w:noProof/>
            </w:rPr>
          </w:pPr>
          <w:hyperlink w:anchor="_Toc74521929" w:history="1">
            <w:r w:rsidR="002E5241" w:rsidRPr="003D264C">
              <w:rPr>
                <w:rStyle w:val="a8"/>
                <w:rFonts w:ascii="Times New Roman" w:hAnsi="Times New Roman" w:cs="Times New Roman"/>
                <w:noProof/>
              </w:rPr>
              <w:t>Appendix 7: Network graph of included studies for bone mineral density</w:t>
            </w:r>
            <w:r w:rsidR="002E5241">
              <w:rPr>
                <w:noProof/>
                <w:webHidden/>
              </w:rPr>
              <w:tab/>
            </w:r>
            <w:r w:rsidR="002E5241">
              <w:rPr>
                <w:noProof/>
                <w:webHidden/>
              </w:rPr>
              <w:fldChar w:fldCharType="begin"/>
            </w:r>
            <w:r w:rsidR="002E5241">
              <w:rPr>
                <w:noProof/>
                <w:webHidden/>
              </w:rPr>
              <w:instrText xml:space="preserve"> PAGEREF _Toc74521929 \h </w:instrText>
            </w:r>
            <w:r w:rsidR="002E5241">
              <w:rPr>
                <w:noProof/>
                <w:webHidden/>
              </w:rPr>
            </w:r>
            <w:r w:rsidR="002E5241">
              <w:rPr>
                <w:noProof/>
                <w:webHidden/>
              </w:rPr>
              <w:fldChar w:fldCharType="separate"/>
            </w:r>
            <w:r w:rsidR="00713861">
              <w:rPr>
                <w:noProof/>
                <w:webHidden/>
              </w:rPr>
              <w:t>29</w:t>
            </w:r>
            <w:r w:rsidR="002E5241">
              <w:rPr>
                <w:noProof/>
                <w:webHidden/>
              </w:rPr>
              <w:fldChar w:fldCharType="end"/>
            </w:r>
          </w:hyperlink>
        </w:p>
        <w:p w:rsidR="002E5241" w:rsidRDefault="007C290F">
          <w:pPr>
            <w:pStyle w:val="21"/>
            <w:tabs>
              <w:tab w:val="right" w:leader="dot" w:pos="8296"/>
            </w:tabs>
            <w:rPr>
              <w:noProof/>
            </w:rPr>
          </w:pPr>
          <w:hyperlink w:anchor="_Toc74521930" w:history="1">
            <w:r w:rsidR="002E5241" w:rsidRPr="003D264C">
              <w:rPr>
                <w:rStyle w:val="a8"/>
                <w:rFonts w:ascii="Times New Roman" w:hAnsi="Times New Roman" w:cs="Times New Roman"/>
                <w:noProof/>
              </w:rPr>
              <w:t>Appendix 8: Cumulative ranking plots for BMD at LS</w:t>
            </w:r>
            <w:r w:rsidR="002E5241">
              <w:rPr>
                <w:noProof/>
                <w:webHidden/>
              </w:rPr>
              <w:tab/>
            </w:r>
            <w:r w:rsidR="002E5241">
              <w:rPr>
                <w:noProof/>
                <w:webHidden/>
              </w:rPr>
              <w:fldChar w:fldCharType="begin"/>
            </w:r>
            <w:r w:rsidR="002E5241">
              <w:rPr>
                <w:noProof/>
                <w:webHidden/>
              </w:rPr>
              <w:instrText xml:space="preserve"> PAGEREF _Toc74521930 \h </w:instrText>
            </w:r>
            <w:r w:rsidR="002E5241">
              <w:rPr>
                <w:noProof/>
                <w:webHidden/>
              </w:rPr>
            </w:r>
            <w:r w:rsidR="002E5241">
              <w:rPr>
                <w:noProof/>
                <w:webHidden/>
              </w:rPr>
              <w:fldChar w:fldCharType="separate"/>
            </w:r>
            <w:r w:rsidR="00713861">
              <w:rPr>
                <w:noProof/>
                <w:webHidden/>
              </w:rPr>
              <w:t>31</w:t>
            </w:r>
            <w:r w:rsidR="002E5241">
              <w:rPr>
                <w:noProof/>
                <w:webHidden/>
              </w:rPr>
              <w:fldChar w:fldCharType="end"/>
            </w:r>
          </w:hyperlink>
        </w:p>
        <w:p w:rsidR="002E5241" w:rsidRDefault="007C290F">
          <w:pPr>
            <w:pStyle w:val="21"/>
            <w:tabs>
              <w:tab w:val="right" w:leader="dot" w:pos="8296"/>
            </w:tabs>
            <w:rPr>
              <w:noProof/>
            </w:rPr>
          </w:pPr>
          <w:hyperlink w:anchor="_Toc74521931" w:history="1">
            <w:r w:rsidR="002E5241" w:rsidRPr="003D264C">
              <w:rPr>
                <w:rStyle w:val="a8"/>
                <w:rFonts w:ascii="Times New Roman" w:hAnsi="Times New Roman" w:cs="Times New Roman"/>
                <w:noProof/>
              </w:rPr>
              <w:t>Appendix 9: Cumulative ranking plots for BMD at FN</w:t>
            </w:r>
            <w:r w:rsidR="002E5241">
              <w:rPr>
                <w:noProof/>
                <w:webHidden/>
              </w:rPr>
              <w:tab/>
            </w:r>
            <w:r w:rsidR="002E5241">
              <w:rPr>
                <w:noProof/>
                <w:webHidden/>
              </w:rPr>
              <w:fldChar w:fldCharType="begin"/>
            </w:r>
            <w:r w:rsidR="002E5241">
              <w:rPr>
                <w:noProof/>
                <w:webHidden/>
              </w:rPr>
              <w:instrText xml:space="preserve"> PAGEREF _Toc74521931 \h </w:instrText>
            </w:r>
            <w:r w:rsidR="002E5241">
              <w:rPr>
                <w:noProof/>
                <w:webHidden/>
              </w:rPr>
            </w:r>
            <w:r w:rsidR="002E5241">
              <w:rPr>
                <w:noProof/>
                <w:webHidden/>
              </w:rPr>
              <w:fldChar w:fldCharType="separate"/>
            </w:r>
            <w:r w:rsidR="00713861">
              <w:rPr>
                <w:noProof/>
                <w:webHidden/>
              </w:rPr>
              <w:t>32</w:t>
            </w:r>
            <w:r w:rsidR="002E5241">
              <w:rPr>
                <w:noProof/>
                <w:webHidden/>
              </w:rPr>
              <w:fldChar w:fldCharType="end"/>
            </w:r>
          </w:hyperlink>
        </w:p>
        <w:p w:rsidR="002E5241" w:rsidRDefault="007C290F">
          <w:pPr>
            <w:pStyle w:val="21"/>
            <w:tabs>
              <w:tab w:val="right" w:leader="dot" w:pos="8296"/>
            </w:tabs>
            <w:rPr>
              <w:noProof/>
            </w:rPr>
          </w:pPr>
          <w:hyperlink w:anchor="_Toc74521932" w:history="1">
            <w:r w:rsidR="002E5241" w:rsidRPr="003D264C">
              <w:rPr>
                <w:rStyle w:val="a8"/>
                <w:rFonts w:ascii="Times New Roman" w:hAnsi="Times New Roman" w:cs="Times New Roman"/>
                <w:noProof/>
              </w:rPr>
              <w:t>Appendix 10: Cumulative ranking plots for BMD at TH</w:t>
            </w:r>
            <w:r w:rsidR="002E5241">
              <w:rPr>
                <w:noProof/>
                <w:webHidden/>
              </w:rPr>
              <w:tab/>
            </w:r>
            <w:r w:rsidR="002E5241">
              <w:rPr>
                <w:noProof/>
                <w:webHidden/>
              </w:rPr>
              <w:fldChar w:fldCharType="begin"/>
            </w:r>
            <w:r w:rsidR="002E5241">
              <w:rPr>
                <w:noProof/>
                <w:webHidden/>
              </w:rPr>
              <w:instrText xml:space="preserve"> PAGEREF _Toc74521932 \h </w:instrText>
            </w:r>
            <w:r w:rsidR="002E5241">
              <w:rPr>
                <w:noProof/>
                <w:webHidden/>
              </w:rPr>
            </w:r>
            <w:r w:rsidR="002E5241">
              <w:rPr>
                <w:noProof/>
                <w:webHidden/>
              </w:rPr>
              <w:fldChar w:fldCharType="separate"/>
            </w:r>
            <w:r w:rsidR="00713861">
              <w:rPr>
                <w:noProof/>
                <w:webHidden/>
              </w:rPr>
              <w:t>33</w:t>
            </w:r>
            <w:r w:rsidR="002E5241">
              <w:rPr>
                <w:noProof/>
                <w:webHidden/>
              </w:rPr>
              <w:fldChar w:fldCharType="end"/>
            </w:r>
          </w:hyperlink>
        </w:p>
        <w:p w:rsidR="002E5241" w:rsidRDefault="007C290F">
          <w:pPr>
            <w:pStyle w:val="21"/>
            <w:tabs>
              <w:tab w:val="right" w:leader="dot" w:pos="8296"/>
            </w:tabs>
            <w:rPr>
              <w:noProof/>
            </w:rPr>
          </w:pPr>
          <w:hyperlink w:anchor="_Toc74521933" w:history="1">
            <w:r w:rsidR="002E5241" w:rsidRPr="003D264C">
              <w:rPr>
                <w:rStyle w:val="a8"/>
                <w:rFonts w:ascii="Times New Roman" w:hAnsi="Times New Roman" w:cs="Times New Roman"/>
                <w:noProof/>
              </w:rPr>
              <w:t>Appendix 11: Relative effect estimates for the contrasts between the different interventions and control arms on BMD at TH</w:t>
            </w:r>
            <w:r w:rsidR="002E5241">
              <w:rPr>
                <w:noProof/>
                <w:webHidden/>
              </w:rPr>
              <w:tab/>
            </w:r>
            <w:r w:rsidR="002E5241">
              <w:rPr>
                <w:noProof/>
                <w:webHidden/>
              </w:rPr>
              <w:fldChar w:fldCharType="begin"/>
            </w:r>
            <w:r w:rsidR="002E5241">
              <w:rPr>
                <w:noProof/>
                <w:webHidden/>
              </w:rPr>
              <w:instrText xml:space="preserve"> PAGEREF _Toc74521933 \h </w:instrText>
            </w:r>
            <w:r w:rsidR="002E5241">
              <w:rPr>
                <w:noProof/>
                <w:webHidden/>
              </w:rPr>
            </w:r>
            <w:r w:rsidR="002E5241">
              <w:rPr>
                <w:noProof/>
                <w:webHidden/>
              </w:rPr>
              <w:fldChar w:fldCharType="separate"/>
            </w:r>
            <w:r w:rsidR="00713861">
              <w:rPr>
                <w:noProof/>
                <w:webHidden/>
              </w:rPr>
              <w:t>34</w:t>
            </w:r>
            <w:r w:rsidR="002E5241">
              <w:rPr>
                <w:noProof/>
                <w:webHidden/>
              </w:rPr>
              <w:fldChar w:fldCharType="end"/>
            </w:r>
          </w:hyperlink>
        </w:p>
        <w:p w:rsidR="002E5241" w:rsidRDefault="007C290F">
          <w:pPr>
            <w:pStyle w:val="21"/>
            <w:tabs>
              <w:tab w:val="right" w:leader="dot" w:pos="8296"/>
            </w:tabs>
            <w:rPr>
              <w:noProof/>
            </w:rPr>
          </w:pPr>
          <w:hyperlink w:anchor="_Toc74521934" w:history="1">
            <w:r w:rsidR="002E5241" w:rsidRPr="003D264C">
              <w:rPr>
                <w:rStyle w:val="a8"/>
                <w:rFonts w:ascii="Times New Roman" w:hAnsi="Times New Roman" w:cs="Times New Roman"/>
                <w:noProof/>
              </w:rPr>
              <w:t>Appendix 12.1: Relative effect estimates for the contrasts between the different interventions and control arms on BMD at LS in participants with age no less than 60</w:t>
            </w:r>
            <w:r w:rsidR="002E5241">
              <w:rPr>
                <w:noProof/>
                <w:webHidden/>
              </w:rPr>
              <w:tab/>
            </w:r>
            <w:r w:rsidR="002E5241">
              <w:rPr>
                <w:noProof/>
                <w:webHidden/>
              </w:rPr>
              <w:fldChar w:fldCharType="begin"/>
            </w:r>
            <w:r w:rsidR="002E5241">
              <w:rPr>
                <w:noProof/>
                <w:webHidden/>
              </w:rPr>
              <w:instrText xml:space="preserve"> PAGEREF _Toc74521934 \h </w:instrText>
            </w:r>
            <w:r w:rsidR="002E5241">
              <w:rPr>
                <w:noProof/>
                <w:webHidden/>
              </w:rPr>
            </w:r>
            <w:r w:rsidR="002E5241">
              <w:rPr>
                <w:noProof/>
                <w:webHidden/>
              </w:rPr>
              <w:fldChar w:fldCharType="separate"/>
            </w:r>
            <w:r w:rsidR="00713861">
              <w:rPr>
                <w:noProof/>
                <w:webHidden/>
              </w:rPr>
              <w:t>35</w:t>
            </w:r>
            <w:r w:rsidR="002E5241">
              <w:rPr>
                <w:noProof/>
                <w:webHidden/>
              </w:rPr>
              <w:fldChar w:fldCharType="end"/>
            </w:r>
          </w:hyperlink>
        </w:p>
        <w:p w:rsidR="002E5241" w:rsidRDefault="007C290F">
          <w:pPr>
            <w:pStyle w:val="21"/>
            <w:tabs>
              <w:tab w:val="right" w:leader="dot" w:pos="8296"/>
            </w:tabs>
            <w:rPr>
              <w:noProof/>
            </w:rPr>
          </w:pPr>
          <w:hyperlink w:anchor="_Toc74521935" w:history="1">
            <w:r w:rsidR="002E5241" w:rsidRPr="003D264C">
              <w:rPr>
                <w:rStyle w:val="a8"/>
                <w:rFonts w:ascii="Times New Roman" w:hAnsi="Times New Roman" w:cs="Times New Roman"/>
                <w:noProof/>
              </w:rPr>
              <w:t>Appendix 12.2: Relative effect estimates for the contrasts between the different interventions and control arms on BMD at FN in participants with age no less than 60</w:t>
            </w:r>
            <w:r w:rsidR="002E5241">
              <w:rPr>
                <w:noProof/>
                <w:webHidden/>
              </w:rPr>
              <w:tab/>
            </w:r>
            <w:r w:rsidR="002E5241">
              <w:rPr>
                <w:noProof/>
                <w:webHidden/>
              </w:rPr>
              <w:fldChar w:fldCharType="begin"/>
            </w:r>
            <w:r w:rsidR="002E5241">
              <w:rPr>
                <w:noProof/>
                <w:webHidden/>
              </w:rPr>
              <w:instrText xml:space="preserve"> PAGEREF _Toc74521935 \h </w:instrText>
            </w:r>
            <w:r w:rsidR="002E5241">
              <w:rPr>
                <w:noProof/>
                <w:webHidden/>
              </w:rPr>
            </w:r>
            <w:r w:rsidR="002E5241">
              <w:rPr>
                <w:noProof/>
                <w:webHidden/>
              </w:rPr>
              <w:fldChar w:fldCharType="separate"/>
            </w:r>
            <w:r w:rsidR="00713861">
              <w:rPr>
                <w:noProof/>
                <w:webHidden/>
              </w:rPr>
              <w:t>36</w:t>
            </w:r>
            <w:r w:rsidR="002E5241">
              <w:rPr>
                <w:noProof/>
                <w:webHidden/>
              </w:rPr>
              <w:fldChar w:fldCharType="end"/>
            </w:r>
          </w:hyperlink>
        </w:p>
        <w:p w:rsidR="002E5241" w:rsidRDefault="007C290F">
          <w:pPr>
            <w:pStyle w:val="21"/>
            <w:tabs>
              <w:tab w:val="right" w:leader="dot" w:pos="8296"/>
            </w:tabs>
            <w:rPr>
              <w:noProof/>
            </w:rPr>
          </w:pPr>
          <w:hyperlink w:anchor="_Toc74521936" w:history="1">
            <w:r w:rsidR="002E5241" w:rsidRPr="003D264C">
              <w:rPr>
                <w:rStyle w:val="a8"/>
                <w:rFonts w:ascii="Times New Roman" w:hAnsi="Times New Roman" w:cs="Times New Roman"/>
                <w:noProof/>
              </w:rPr>
              <w:t>Appendix 12.3: Relative effect estimates for the contrasts between the different interventions and control arms on BMD at TH in participants with age no less than 60</w:t>
            </w:r>
            <w:r w:rsidR="002E5241">
              <w:rPr>
                <w:noProof/>
                <w:webHidden/>
              </w:rPr>
              <w:tab/>
            </w:r>
            <w:r w:rsidR="002E5241">
              <w:rPr>
                <w:noProof/>
                <w:webHidden/>
              </w:rPr>
              <w:fldChar w:fldCharType="begin"/>
            </w:r>
            <w:r w:rsidR="002E5241">
              <w:rPr>
                <w:noProof/>
                <w:webHidden/>
              </w:rPr>
              <w:instrText xml:space="preserve"> PAGEREF _Toc74521936 \h </w:instrText>
            </w:r>
            <w:r w:rsidR="002E5241">
              <w:rPr>
                <w:noProof/>
                <w:webHidden/>
              </w:rPr>
            </w:r>
            <w:r w:rsidR="002E5241">
              <w:rPr>
                <w:noProof/>
                <w:webHidden/>
              </w:rPr>
              <w:fldChar w:fldCharType="separate"/>
            </w:r>
            <w:r w:rsidR="00713861">
              <w:rPr>
                <w:noProof/>
                <w:webHidden/>
              </w:rPr>
              <w:t>37</w:t>
            </w:r>
            <w:r w:rsidR="002E5241">
              <w:rPr>
                <w:noProof/>
                <w:webHidden/>
              </w:rPr>
              <w:fldChar w:fldCharType="end"/>
            </w:r>
          </w:hyperlink>
        </w:p>
        <w:p w:rsidR="002E5241" w:rsidRDefault="007C290F">
          <w:pPr>
            <w:pStyle w:val="21"/>
            <w:tabs>
              <w:tab w:val="right" w:leader="dot" w:pos="8296"/>
            </w:tabs>
            <w:rPr>
              <w:noProof/>
            </w:rPr>
          </w:pPr>
          <w:hyperlink w:anchor="_Toc74521937" w:history="1">
            <w:r w:rsidR="002E5241" w:rsidRPr="003D264C">
              <w:rPr>
                <w:rStyle w:val="a8"/>
                <w:rFonts w:ascii="Times New Roman" w:hAnsi="Times New Roman" w:cs="Times New Roman"/>
                <w:noProof/>
              </w:rPr>
              <w:t>Appendix 13: Cumulative ranking plots to show comparative effectiveness of treatments from a BMD outcome at (A) LS, (B) FN, and (C) FN network meta-analysis in participants with age no less than 60</w:t>
            </w:r>
            <w:r w:rsidR="002E5241">
              <w:rPr>
                <w:noProof/>
                <w:webHidden/>
              </w:rPr>
              <w:tab/>
            </w:r>
            <w:r w:rsidR="002E5241">
              <w:rPr>
                <w:noProof/>
                <w:webHidden/>
              </w:rPr>
              <w:fldChar w:fldCharType="begin"/>
            </w:r>
            <w:r w:rsidR="002E5241">
              <w:rPr>
                <w:noProof/>
                <w:webHidden/>
              </w:rPr>
              <w:instrText xml:space="preserve"> PAGEREF _Toc74521937 \h </w:instrText>
            </w:r>
            <w:r w:rsidR="002E5241">
              <w:rPr>
                <w:noProof/>
                <w:webHidden/>
              </w:rPr>
            </w:r>
            <w:r w:rsidR="002E5241">
              <w:rPr>
                <w:noProof/>
                <w:webHidden/>
              </w:rPr>
              <w:fldChar w:fldCharType="separate"/>
            </w:r>
            <w:r w:rsidR="00713861">
              <w:rPr>
                <w:noProof/>
                <w:webHidden/>
              </w:rPr>
              <w:t>38</w:t>
            </w:r>
            <w:r w:rsidR="002E5241">
              <w:rPr>
                <w:noProof/>
                <w:webHidden/>
              </w:rPr>
              <w:fldChar w:fldCharType="end"/>
            </w:r>
          </w:hyperlink>
        </w:p>
        <w:p w:rsidR="002E5241" w:rsidRDefault="007C290F">
          <w:pPr>
            <w:pStyle w:val="21"/>
            <w:tabs>
              <w:tab w:val="right" w:leader="dot" w:pos="8296"/>
            </w:tabs>
            <w:rPr>
              <w:noProof/>
            </w:rPr>
          </w:pPr>
          <w:hyperlink w:anchor="_Toc74521938" w:history="1">
            <w:r w:rsidR="002E5241" w:rsidRPr="003D264C">
              <w:rPr>
                <w:rStyle w:val="a8"/>
                <w:rFonts w:ascii="Times New Roman" w:hAnsi="Times New Roman" w:cs="Times New Roman"/>
                <w:noProof/>
              </w:rPr>
              <w:t>Appendix 14.1: Relative effect estimates for the contrasts between the different interventions and control arms on BMD at LS in participants younger than 60</w:t>
            </w:r>
            <w:r w:rsidR="002E5241" w:rsidRPr="003D264C">
              <w:rPr>
                <w:rStyle w:val="a8"/>
                <w:noProof/>
              </w:rPr>
              <w:t xml:space="preserve"> </w:t>
            </w:r>
            <w:r w:rsidR="002E5241" w:rsidRPr="003D264C">
              <w:rPr>
                <w:rStyle w:val="a8"/>
                <w:rFonts w:ascii="Times New Roman" w:hAnsi="Times New Roman" w:cs="Times New Roman"/>
                <w:noProof/>
              </w:rPr>
              <w:t>years old</w:t>
            </w:r>
            <w:r w:rsidR="002E5241">
              <w:rPr>
                <w:noProof/>
                <w:webHidden/>
              </w:rPr>
              <w:tab/>
            </w:r>
            <w:r w:rsidR="002E5241">
              <w:rPr>
                <w:noProof/>
                <w:webHidden/>
              </w:rPr>
              <w:fldChar w:fldCharType="begin"/>
            </w:r>
            <w:r w:rsidR="002E5241">
              <w:rPr>
                <w:noProof/>
                <w:webHidden/>
              </w:rPr>
              <w:instrText xml:space="preserve"> PAGEREF _Toc74521938 \h </w:instrText>
            </w:r>
            <w:r w:rsidR="002E5241">
              <w:rPr>
                <w:noProof/>
                <w:webHidden/>
              </w:rPr>
            </w:r>
            <w:r w:rsidR="002E5241">
              <w:rPr>
                <w:noProof/>
                <w:webHidden/>
              </w:rPr>
              <w:fldChar w:fldCharType="separate"/>
            </w:r>
            <w:r w:rsidR="00713861">
              <w:rPr>
                <w:noProof/>
                <w:webHidden/>
              </w:rPr>
              <w:t>40</w:t>
            </w:r>
            <w:r w:rsidR="002E5241">
              <w:rPr>
                <w:noProof/>
                <w:webHidden/>
              </w:rPr>
              <w:fldChar w:fldCharType="end"/>
            </w:r>
          </w:hyperlink>
        </w:p>
        <w:p w:rsidR="002E5241" w:rsidRDefault="007C290F">
          <w:pPr>
            <w:pStyle w:val="21"/>
            <w:tabs>
              <w:tab w:val="right" w:leader="dot" w:pos="8296"/>
            </w:tabs>
            <w:rPr>
              <w:noProof/>
            </w:rPr>
          </w:pPr>
          <w:hyperlink w:anchor="_Toc74521939" w:history="1">
            <w:r w:rsidR="002E5241" w:rsidRPr="003D264C">
              <w:rPr>
                <w:rStyle w:val="a8"/>
                <w:rFonts w:ascii="Times New Roman" w:hAnsi="Times New Roman" w:cs="Times New Roman"/>
                <w:noProof/>
              </w:rPr>
              <w:t>Appendix 14.2: Relative effect estimates for the contrasts between the different interventions and control arms on BMD at FN in participants younger than 60 years old</w:t>
            </w:r>
            <w:r w:rsidR="002E5241">
              <w:rPr>
                <w:noProof/>
                <w:webHidden/>
              </w:rPr>
              <w:tab/>
            </w:r>
            <w:r w:rsidR="002E5241">
              <w:rPr>
                <w:noProof/>
                <w:webHidden/>
              </w:rPr>
              <w:fldChar w:fldCharType="begin"/>
            </w:r>
            <w:r w:rsidR="002E5241">
              <w:rPr>
                <w:noProof/>
                <w:webHidden/>
              </w:rPr>
              <w:instrText xml:space="preserve"> PAGEREF _Toc74521939 \h </w:instrText>
            </w:r>
            <w:r w:rsidR="002E5241">
              <w:rPr>
                <w:noProof/>
                <w:webHidden/>
              </w:rPr>
            </w:r>
            <w:r w:rsidR="002E5241">
              <w:rPr>
                <w:noProof/>
                <w:webHidden/>
              </w:rPr>
              <w:fldChar w:fldCharType="separate"/>
            </w:r>
            <w:r w:rsidR="00713861">
              <w:rPr>
                <w:noProof/>
                <w:webHidden/>
              </w:rPr>
              <w:t>41</w:t>
            </w:r>
            <w:r w:rsidR="002E5241">
              <w:rPr>
                <w:noProof/>
                <w:webHidden/>
              </w:rPr>
              <w:fldChar w:fldCharType="end"/>
            </w:r>
          </w:hyperlink>
        </w:p>
        <w:p w:rsidR="002E5241" w:rsidRDefault="007C290F">
          <w:pPr>
            <w:pStyle w:val="21"/>
            <w:tabs>
              <w:tab w:val="right" w:leader="dot" w:pos="8296"/>
            </w:tabs>
            <w:rPr>
              <w:noProof/>
            </w:rPr>
          </w:pPr>
          <w:hyperlink w:anchor="_Toc74521940" w:history="1">
            <w:r w:rsidR="002E5241" w:rsidRPr="003D264C">
              <w:rPr>
                <w:rStyle w:val="a8"/>
                <w:rFonts w:ascii="Times New Roman" w:hAnsi="Times New Roman" w:cs="Times New Roman"/>
                <w:noProof/>
              </w:rPr>
              <w:t>Appendix 14.3: Relative effect estimates for the contrasts between the different interventions and control arms on BMD at TH in participants younger than 60</w:t>
            </w:r>
            <w:r w:rsidR="002E5241" w:rsidRPr="003D264C">
              <w:rPr>
                <w:rStyle w:val="a8"/>
                <w:noProof/>
              </w:rPr>
              <w:t xml:space="preserve"> </w:t>
            </w:r>
            <w:r w:rsidR="002E5241" w:rsidRPr="003D264C">
              <w:rPr>
                <w:rStyle w:val="a8"/>
                <w:rFonts w:ascii="Times New Roman" w:hAnsi="Times New Roman" w:cs="Times New Roman"/>
                <w:noProof/>
              </w:rPr>
              <w:t>years old</w:t>
            </w:r>
            <w:r w:rsidR="002E5241">
              <w:rPr>
                <w:noProof/>
                <w:webHidden/>
              </w:rPr>
              <w:tab/>
            </w:r>
            <w:r w:rsidR="002E5241">
              <w:rPr>
                <w:noProof/>
                <w:webHidden/>
              </w:rPr>
              <w:fldChar w:fldCharType="begin"/>
            </w:r>
            <w:r w:rsidR="002E5241">
              <w:rPr>
                <w:noProof/>
                <w:webHidden/>
              </w:rPr>
              <w:instrText xml:space="preserve"> PAGEREF _Toc74521940 \h </w:instrText>
            </w:r>
            <w:r w:rsidR="002E5241">
              <w:rPr>
                <w:noProof/>
                <w:webHidden/>
              </w:rPr>
            </w:r>
            <w:r w:rsidR="002E5241">
              <w:rPr>
                <w:noProof/>
                <w:webHidden/>
              </w:rPr>
              <w:fldChar w:fldCharType="separate"/>
            </w:r>
            <w:r w:rsidR="00713861">
              <w:rPr>
                <w:noProof/>
                <w:webHidden/>
              </w:rPr>
              <w:t>42</w:t>
            </w:r>
            <w:r w:rsidR="002E5241">
              <w:rPr>
                <w:noProof/>
                <w:webHidden/>
              </w:rPr>
              <w:fldChar w:fldCharType="end"/>
            </w:r>
          </w:hyperlink>
        </w:p>
        <w:p w:rsidR="002E5241" w:rsidRDefault="007C290F">
          <w:pPr>
            <w:pStyle w:val="21"/>
            <w:tabs>
              <w:tab w:val="right" w:leader="dot" w:pos="8296"/>
            </w:tabs>
            <w:rPr>
              <w:noProof/>
            </w:rPr>
          </w:pPr>
          <w:hyperlink w:anchor="_Toc74521941" w:history="1">
            <w:r w:rsidR="002E5241" w:rsidRPr="003D264C">
              <w:rPr>
                <w:rStyle w:val="a8"/>
                <w:rFonts w:ascii="Times New Roman" w:hAnsi="Times New Roman" w:cs="Times New Roman"/>
                <w:noProof/>
              </w:rPr>
              <w:t>Appendix 15: Cumulative ranking plots to show comparative effectiveness of treatments from a BMD outcome at (A) LS, (B) FN, and (C) FN network meta-analysis in participants younger than 60 years old</w:t>
            </w:r>
            <w:r w:rsidR="002E5241">
              <w:rPr>
                <w:noProof/>
                <w:webHidden/>
              </w:rPr>
              <w:tab/>
            </w:r>
            <w:r w:rsidR="002E5241">
              <w:rPr>
                <w:noProof/>
                <w:webHidden/>
              </w:rPr>
              <w:fldChar w:fldCharType="begin"/>
            </w:r>
            <w:r w:rsidR="002E5241">
              <w:rPr>
                <w:noProof/>
                <w:webHidden/>
              </w:rPr>
              <w:instrText xml:space="preserve"> PAGEREF _Toc74521941 \h </w:instrText>
            </w:r>
            <w:r w:rsidR="002E5241">
              <w:rPr>
                <w:noProof/>
                <w:webHidden/>
              </w:rPr>
            </w:r>
            <w:r w:rsidR="002E5241">
              <w:rPr>
                <w:noProof/>
                <w:webHidden/>
              </w:rPr>
              <w:fldChar w:fldCharType="separate"/>
            </w:r>
            <w:r w:rsidR="00713861">
              <w:rPr>
                <w:noProof/>
                <w:webHidden/>
              </w:rPr>
              <w:t>43</w:t>
            </w:r>
            <w:r w:rsidR="002E5241">
              <w:rPr>
                <w:noProof/>
                <w:webHidden/>
              </w:rPr>
              <w:fldChar w:fldCharType="end"/>
            </w:r>
          </w:hyperlink>
        </w:p>
        <w:p w:rsidR="002E5241" w:rsidRDefault="007C290F">
          <w:pPr>
            <w:pStyle w:val="21"/>
            <w:tabs>
              <w:tab w:val="right" w:leader="dot" w:pos="8296"/>
            </w:tabs>
            <w:rPr>
              <w:noProof/>
            </w:rPr>
          </w:pPr>
          <w:hyperlink w:anchor="_Toc74521942" w:history="1">
            <w:r w:rsidR="002E5241" w:rsidRPr="003D264C">
              <w:rPr>
                <w:rStyle w:val="a8"/>
                <w:rFonts w:ascii="Times New Roman" w:hAnsi="Times New Roman" w:cs="Times New Roman"/>
                <w:noProof/>
              </w:rPr>
              <w:t>Appendix 16.1: Relative effect estimates for the contrasts between the different interventions and control arms on BMD at LS when exercise intervention with</w:t>
            </w:r>
            <w:r w:rsidR="002E5241" w:rsidRPr="003D264C">
              <w:rPr>
                <w:rStyle w:val="a8"/>
                <w:noProof/>
              </w:rPr>
              <w:t xml:space="preserve"> </w:t>
            </w:r>
            <w:r w:rsidR="002E5241" w:rsidRPr="003D264C">
              <w:rPr>
                <w:rStyle w:val="a8"/>
                <w:rFonts w:ascii="Times New Roman" w:hAnsi="Times New Roman" w:cs="Times New Roman"/>
                <w:noProof/>
              </w:rPr>
              <w:t>duration no more than eight months</w:t>
            </w:r>
            <w:r w:rsidR="002E5241">
              <w:rPr>
                <w:noProof/>
                <w:webHidden/>
              </w:rPr>
              <w:tab/>
            </w:r>
            <w:r w:rsidR="002E5241">
              <w:rPr>
                <w:noProof/>
                <w:webHidden/>
              </w:rPr>
              <w:fldChar w:fldCharType="begin"/>
            </w:r>
            <w:r w:rsidR="002E5241">
              <w:rPr>
                <w:noProof/>
                <w:webHidden/>
              </w:rPr>
              <w:instrText xml:space="preserve"> PAGEREF _Toc74521942 \h </w:instrText>
            </w:r>
            <w:r w:rsidR="002E5241">
              <w:rPr>
                <w:noProof/>
                <w:webHidden/>
              </w:rPr>
            </w:r>
            <w:r w:rsidR="002E5241">
              <w:rPr>
                <w:noProof/>
                <w:webHidden/>
              </w:rPr>
              <w:fldChar w:fldCharType="separate"/>
            </w:r>
            <w:r w:rsidR="00713861">
              <w:rPr>
                <w:noProof/>
                <w:webHidden/>
              </w:rPr>
              <w:t>45</w:t>
            </w:r>
            <w:r w:rsidR="002E5241">
              <w:rPr>
                <w:noProof/>
                <w:webHidden/>
              </w:rPr>
              <w:fldChar w:fldCharType="end"/>
            </w:r>
          </w:hyperlink>
        </w:p>
        <w:p w:rsidR="002E5241" w:rsidRDefault="007C290F">
          <w:pPr>
            <w:pStyle w:val="21"/>
            <w:tabs>
              <w:tab w:val="right" w:leader="dot" w:pos="8296"/>
            </w:tabs>
            <w:rPr>
              <w:noProof/>
            </w:rPr>
          </w:pPr>
          <w:hyperlink w:anchor="_Toc74521943" w:history="1">
            <w:r w:rsidR="002E5241" w:rsidRPr="003D264C">
              <w:rPr>
                <w:rStyle w:val="a8"/>
                <w:rFonts w:ascii="Times New Roman" w:hAnsi="Times New Roman" w:cs="Times New Roman"/>
                <w:noProof/>
              </w:rPr>
              <w:t>Appendix 16.2: Relative effect estimates for the contrasts between the different interventions and control arms on BMD at FN when exercise intervention with</w:t>
            </w:r>
            <w:r w:rsidR="002E5241" w:rsidRPr="003D264C">
              <w:rPr>
                <w:rStyle w:val="a8"/>
                <w:noProof/>
              </w:rPr>
              <w:t xml:space="preserve"> </w:t>
            </w:r>
            <w:r w:rsidR="002E5241" w:rsidRPr="003D264C">
              <w:rPr>
                <w:rStyle w:val="a8"/>
                <w:rFonts w:ascii="Times New Roman" w:hAnsi="Times New Roman" w:cs="Times New Roman"/>
                <w:noProof/>
              </w:rPr>
              <w:t>duration no more than eight months</w:t>
            </w:r>
            <w:r w:rsidR="002E5241">
              <w:rPr>
                <w:noProof/>
                <w:webHidden/>
              </w:rPr>
              <w:tab/>
            </w:r>
            <w:r w:rsidR="002E5241">
              <w:rPr>
                <w:noProof/>
                <w:webHidden/>
              </w:rPr>
              <w:fldChar w:fldCharType="begin"/>
            </w:r>
            <w:r w:rsidR="002E5241">
              <w:rPr>
                <w:noProof/>
                <w:webHidden/>
              </w:rPr>
              <w:instrText xml:space="preserve"> PAGEREF _Toc74521943 \h </w:instrText>
            </w:r>
            <w:r w:rsidR="002E5241">
              <w:rPr>
                <w:noProof/>
                <w:webHidden/>
              </w:rPr>
            </w:r>
            <w:r w:rsidR="002E5241">
              <w:rPr>
                <w:noProof/>
                <w:webHidden/>
              </w:rPr>
              <w:fldChar w:fldCharType="separate"/>
            </w:r>
            <w:r w:rsidR="00713861">
              <w:rPr>
                <w:noProof/>
                <w:webHidden/>
              </w:rPr>
              <w:t>46</w:t>
            </w:r>
            <w:r w:rsidR="002E5241">
              <w:rPr>
                <w:noProof/>
                <w:webHidden/>
              </w:rPr>
              <w:fldChar w:fldCharType="end"/>
            </w:r>
          </w:hyperlink>
        </w:p>
        <w:p w:rsidR="002E5241" w:rsidRDefault="007C290F">
          <w:pPr>
            <w:pStyle w:val="21"/>
            <w:tabs>
              <w:tab w:val="right" w:leader="dot" w:pos="8296"/>
            </w:tabs>
            <w:rPr>
              <w:noProof/>
            </w:rPr>
          </w:pPr>
          <w:hyperlink w:anchor="_Toc74521944" w:history="1">
            <w:r w:rsidR="002E5241" w:rsidRPr="003D264C">
              <w:rPr>
                <w:rStyle w:val="a8"/>
                <w:rFonts w:ascii="Times New Roman" w:hAnsi="Times New Roman" w:cs="Times New Roman"/>
                <w:noProof/>
              </w:rPr>
              <w:t>Appendix 16.3: Relative effect estimates for the contrasts between the different interventions and control arms on BMD at TH when exercise intervention with</w:t>
            </w:r>
            <w:r w:rsidR="002E5241" w:rsidRPr="003D264C">
              <w:rPr>
                <w:rStyle w:val="a8"/>
                <w:noProof/>
              </w:rPr>
              <w:t xml:space="preserve"> </w:t>
            </w:r>
            <w:r w:rsidR="002E5241" w:rsidRPr="003D264C">
              <w:rPr>
                <w:rStyle w:val="a8"/>
                <w:rFonts w:ascii="Times New Roman" w:hAnsi="Times New Roman" w:cs="Times New Roman"/>
                <w:noProof/>
              </w:rPr>
              <w:t>duration no more than eight months</w:t>
            </w:r>
            <w:r w:rsidR="002E5241">
              <w:rPr>
                <w:noProof/>
                <w:webHidden/>
              </w:rPr>
              <w:tab/>
            </w:r>
            <w:r w:rsidR="002E5241">
              <w:rPr>
                <w:noProof/>
                <w:webHidden/>
              </w:rPr>
              <w:fldChar w:fldCharType="begin"/>
            </w:r>
            <w:r w:rsidR="002E5241">
              <w:rPr>
                <w:noProof/>
                <w:webHidden/>
              </w:rPr>
              <w:instrText xml:space="preserve"> PAGEREF _Toc74521944 \h </w:instrText>
            </w:r>
            <w:r w:rsidR="002E5241">
              <w:rPr>
                <w:noProof/>
                <w:webHidden/>
              </w:rPr>
            </w:r>
            <w:r w:rsidR="002E5241">
              <w:rPr>
                <w:noProof/>
                <w:webHidden/>
              </w:rPr>
              <w:fldChar w:fldCharType="separate"/>
            </w:r>
            <w:r w:rsidR="00713861">
              <w:rPr>
                <w:noProof/>
                <w:webHidden/>
              </w:rPr>
              <w:t>47</w:t>
            </w:r>
            <w:r w:rsidR="002E5241">
              <w:rPr>
                <w:noProof/>
                <w:webHidden/>
              </w:rPr>
              <w:fldChar w:fldCharType="end"/>
            </w:r>
          </w:hyperlink>
        </w:p>
        <w:p w:rsidR="002E5241" w:rsidRDefault="007C290F">
          <w:pPr>
            <w:pStyle w:val="21"/>
            <w:tabs>
              <w:tab w:val="right" w:leader="dot" w:pos="8296"/>
            </w:tabs>
            <w:rPr>
              <w:noProof/>
            </w:rPr>
          </w:pPr>
          <w:hyperlink w:anchor="_Toc74521945" w:history="1">
            <w:r w:rsidR="002E5241" w:rsidRPr="003D264C">
              <w:rPr>
                <w:rStyle w:val="a8"/>
                <w:rFonts w:ascii="Times New Roman" w:hAnsi="Times New Roman" w:cs="Times New Roman"/>
                <w:noProof/>
              </w:rPr>
              <w:t xml:space="preserve">Appendix 17: Cumulative ranking plots to show comparative effectiveness of treatments from </w:t>
            </w:r>
            <w:r w:rsidR="002E5241" w:rsidRPr="003D264C">
              <w:rPr>
                <w:rStyle w:val="a8"/>
                <w:rFonts w:ascii="Times New Roman" w:hAnsi="Times New Roman" w:cs="Times New Roman"/>
                <w:noProof/>
              </w:rPr>
              <w:lastRenderedPageBreak/>
              <w:t>a BMD outcome at (A) LS, (B) FN, and (C) FN network meta-analysis when exercise intervention with duration no more than eight months</w:t>
            </w:r>
            <w:r w:rsidR="002E5241">
              <w:rPr>
                <w:noProof/>
                <w:webHidden/>
              </w:rPr>
              <w:tab/>
            </w:r>
            <w:r w:rsidR="002E5241">
              <w:rPr>
                <w:noProof/>
                <w:webHidden/>
              </w:rPr>
              <w:fldChar w:fldCharType="begin"/>
            </w:r>
            <w:r w:rsidR="002E5241">
              <w:rPr>
                <w:noProof/>
                <w:webHidden/>
              </w:rPr>
              <w:instrText xml:space="preserve"> PAGEREF _Toc74521945 \h </w:instrText>
            </w:r>
            <w:r w:rsidR="002E5241">
              <w:rPr>
                <w:noProof/>
                <w:webHidden/>
              </w:rPr>
            </w:r>
            <w:r w:rsidR="002E5241">
              <w:rPr>
                <w:noProof/>
                <w:webHidden/>
              </w:rPr>
              <w:fldChar w:fldCharType="separate"/>
            </w:r>
            <w:r w:rsidR="00713861">
              <w:rPr>
                <w:noProof/>
                <w:webHidden/>
              </w:rPr>
              <w:t>48</w:t>
            </w:r>
            <w:r w:rsidR="002E5241">
              <w:rPr>
                <w:noProof/>
                <w:webHidden/>
              </w:rPr>
              <w:fldChar w:fldCharType="end"/>
            </w:r>
          </w:hyperlink>
        </w:p>
        <w:p w:rsidR="002E5241" w:rsidRDefault="007C290F">
          <w:pPr>
            <w:pStyle w:val="21"/>
            <w:tabs>
              <w:tab w:val="right" w:leader="dot" w:pos="8296"/>
            </w:tabs>
            <w:rPr>
              <w:noProof/>
            </w:rPr>
          </w:pPr>
          <w:hyperlink w:anchor="_Toc74521946" w:history="1">
            <w:r w:rsidR="002E5241" w:rsidRPr="003D264C">
              <w:rPr>
                <w:rStyle w:val="a8"/>
                <w:rFonts w:ascii="Times New Roman" w:hAnsi="Times New Roman" w:cs="Times New Roman"/>
                <w:noProof/>
              </w:rPr>
              <w:t>Appendix 18.1: Relative effect estimates for the contrasts between the different interventions and control arms on BMD at LS when exercise intervention with</w:t>
            </w:r>
            <w:r w:rsidR="002E5241" w:rsidRPr="003D264C">
              <w:rPr>
                <w:rStyle w:val="a8"/>
                <w:noProof/>
              </w:rPr>
              <w:t xml:space="preserve"> </w:t>
            </w:r>
            <w:r w:rsidR="002E5241" w:rsidRPr="003D264C">
              <w:rPr>
                <w:rStyle w:val="a8"/>
                <w:rFonts w:ascii="Times New Roman" w:hAnsi="Times New Roman" w:cs="Times New Roman"/>
                <w:noProof/>
              </w:rPr>
              <w:t>duration between 9 to 18 months</w:t>
            </w:r>
            <w:r w:rsidR="002E5241">
              <w:rPr>
                <w:noProof/>
                <w:webHidden/>
              </w:rPr>
              <w:tab/>
            </w:r>
            <w:r w:rsidR="002E5241">
              <w:rPr>
                <w:noProof/>
                <w:webHidden/>
              </w:rPr>
              <w:fldChar w:fldCharType="begin"/>
            </w:r>
            <w:r w:rsidR="002E5241">
              <w:rPr>
                <w:noProof/>
                <w:webHidden/>
              </w:rPr>
              <w:instrText xml:space="preserve"> PAGEREF _Toc74521946 \h </w:instrText>
            </w:r>
            <w:r w:rsidR="002E5241">
              <w:rPr>
                <w:noProof/>
                <w:webHidden/>
              </w:rPr>
            </w:r>
            <w:r w:rsidR="002E5241">
              <w:rPr>
                <w:noProof/>
                <w:webHidden/>
              </w:rPr>
              <w:fldChar w:fldCharType="separate"/>
            </w:r>
            <w:r w:rsidR="00713861">
              <w:rPr>
                <w:noProof/>
                <w:webHidden/>
              </w:rPr>
              <w:t>50</w:t>
            </w:r>
            <w:r w:rsidR="002E5241">
              <w:rPr>
                <w:noProof/>
                <w:webHidden/>
              </w:rPr>
              <w:fldChar w:fldCharType="end"/>
            </w:r>
          </w:hyperlink>
        </w:p>
        <w:p w:rsidR="002E5241" w:rsidRDefault="007C290F">
          <w:pPr>
            <w:pStyle w:val="21"/>
            <w:tabs>
              <w:tab w:val="right" w:leader="dot" w:pos="8296"/>
            </w:tabs>
            <w:rPr>
              <w:noProof/>
            </w:rPr>
          </w:pPr>
          <w:hyperlink w:anchor="_Toc74521947" w:history="1">
            <w:r w:rsidR="002E5241" w:rsidRPr="003D264C">
              <w:rPr>
                <w:rStyle w:val="a8"/>
                <w:rFonts w:ascii="Times New Roman" w:hAnsi="Times New Roman" w:cs="Times New Roman"/>
                <w:noProof/>
              </w:rPr>
              <w:t>Appendix 18.2: Relative effect estimates for the contrasts between the different interventions and control arms on BMD at FN when exercise intervention with</w:t>
            </w:r>
            <w:r w:rsidR="002E5241" w:rsidRPr="003D264C">
              <w:rPr>
                <w:rStyle w:val="a8"/>
                <w:noProof/>
              </w:rPr>
              <w:t xml:space="preserve"> </w:t>
            </w:r>
            <w:r w:rsidR="002E5241" w:rsidRPr="003D264C">
              <w:rPr>
                <w:rStyle w:val="a8"/>
                <w:rFonts w:ascii="Times New Roman" w:hAnsi="Times New Roman" w:cs="Times New Roman"/>
                <w:noProof/>
              </w:rPr>
              <w:t>duration between 9 to 18 months</w:t>
            </w:r>
            <w:r w:rsidR="002E5241">
              <w:rPr>
                <w:noProof/>
                <w:webHidden/>
              </w:rPr>
              <w:tab/>
            </w:r>
            <w:r w:rsidR="002E5241">
              <w:rPr>
                <w:noProof/>
                <w:webHidden/>
              </w:rPr>
              <w:fldChar w:fldCharType="begin"/>
            </w:r>
            <w:r w:rsidR="002E5241">
              <w:rPr>
                <w:noProof/>
                <w:webHidden/>
              </w:rPr>
              <w:instrText xml:space="preserve"> PAGEREF _Toc74521947 \h </w:instrText>
            </w:r>
            <w:r w:rsidR="002E5241">
              <w:rPr>
                <w:noProof/>
                <w:webHidden/>
              </w:rPr>
            </w:r>
            <w:r w:rsidR="002E5241">
              <w:rPr>
                <w:noProof/>
                <w:webHidden/>
              </w:rPr>
              <w:fldChar w:fldCharType="separate"/>
            </w:r>
            <w:r w:rsidR="00713861">
              <w:rPr>
                <w:noProof/>
                <w:webHidden/>
              </w:rPr>
              <w:t>51</w:t>
            </w:r>
            <w:r w:rsidR="002E5241">
              <w:rPr>
                <w:noProof/>
                <w:webHidden/>
              </w:rPr>
              <w:fldChar w:fldCharType="end"/>
            </w:r>
          </w:hyperlink>
        </w:p>
        <w:p w:rsidR="002E5241" w:rsidRDefault="007C290F">
          <w:pPr>
            <w:pStyle w:val="21"/>
            <w:tabs>
              <w:tab w:val="right" w:leader="dot" w:pos="8296"/>
            </w:tabs>
            <w:rPr>
              <w:noProof/>
            </w:rPr>
          </w:pPr>
          <w:hyperlink w:anchor="_Toc74521948" w:history="1">
            <w:r w:rsidR="002E5241" w:rsidRPr="003D264C">
              <w:rPr>
                <w:rStyle w:val="a8"/>
                <w:rFonts w:ascii="Times New Roman" w:hAnsi="Times New Roman" w:cs="Times New Roman"/>
                <w:noProof/>
              </w:rPr>
              <w:t>Appendix 18.3: Relative effect estimates for the contrasts between the different interventions and control arms on BMD at TH when exercise intervention with duration between 9 to 18 months</w:t>
            </w:r>
            <w:r w:rsidR="002E5241">
              <w:rPr>
                <w:noProof/>
                <w:webHidden/>
              </w:rPr>
              <w:tab/>
            </w:r>
            <w:r w:rsidR="002E5241">
              <w:rPr>
                <w:noProof/>
                <w:webHidden/>
              </w:rPr>
              <w:fldChar w:fldCharType="begin"/>
            </w:r>
            <w:r w:rsidR="002E5241">
              <w:rPr>
                <w:noProof/>
                <w:webHidden/>
              </w:rPr>
              <w:instrText xml:space="preserve"> PAGEREF _Toc74521948 \h </w:instrText>
            </w:r>
            <w:r w:rsidR="002E5241">
              <w:rPr>
                <w:noProof/>
                <w:webHidden/>
              </w:rPr>
            </w:r>
            <w:r w:rsidR="002E5241">
              <w:rPr>
                <w:noProof/>
                <w:webHidden/>
              </w:rPr>
              <w:fldChar w:fldCharType="separate"/>
            </w:r>
            <w:r w:rsidR="00713861">
              <w:rPr>
                <w:noProof/>
                <w:webHidden/>
              </w:rPr>
              <w:t>52</w:t>
            </w:r>
            <w:r w:rsidR="002E5241">
              <w:rPr>
                <w:noProof/>
                <w:webHidden/>
              </w:rPr>
              <w:fldChar w:fldCharType="end"/>
            </w:r>
          </w:hyperlink>
        </w:p>
        <w:p w:rsidR="002E5241" w:rsidRDefault="007C290F">
          <w:pPr>
            <w:pStyle w:val="21"/>
            <w:tabs>
              <w:tab w:val="right" w:leader="dot" w:pos="8296"/>
            </w:tabs>
            <w:rPr>
              <w:noProof/>
            </w:rPr>
          </w:pPr>
          <w:hyperlink w:anchor="_Toc74521949" w:history="1">
            <w:r w:rsidR="002E5241" w:rsidRPr="003D264C">
              <w:rPr>
                <w:rStyle w:val="a8"/>
                <w:rFonts w:ascii="Times New Roman" w:hAnsi="Times New Roman" w:cs="Times New Roman"/>
                <w:noProof/>
              </w:rPr>
              <w:t>Appendix 19: Cumulative ranking plots to show comparative effectiveness of treatments from a BMD outcome at (A) LS, (B) FN, and (C) FN network meta-analysis when exercise intervention with duration between 9 to 18 months</w:t>
            </w:r>
            <w:r w:rsidR="002E5241">
              <w:rPr>
                <w:noProof/>
                <w:webHidden/>
              </w:rPr>
              <w:tab/>
            </w:r>
            <w:r w:rsidR="002E5241">
              <w:rPr>
                <w:noProof/>
                <w:webHidden/>
              </w:rPr>
              <w:fldChar w:fldCharType="begin"/>
            </w:r>
            <w:r w:rsidR="002E5241">
              <w:rPr>
                <w:noProof/>
                <w:webHidden/>
              </w:rPr>
              <w:instrText xml:space="preserve"> PAGEREF _Toc74521949 \h </w:instrText>
            </w:r>
            <w:r w:rsidR="002E5241">
              <w:rPr>
                <w:noProof/>
                <w:webHidden/>
              </w:rPr>
            </w:r>
            <w:r w:rsidR="002E5241">
              <w:rPr>
                <w:noProof/>
                <w:webHidden/>
              </w:rPr>
              <w:fldChar w:fldCharType="separate"/>
            </w:r>
            <w:r w:rsidR="00713861">
              <w:rPr>
                <w:noProof/>
                <w:webHidden/>
              </w:rPr>
              <w:t>53</w:t>
            </w:r>
            <w:r w:rsidR="002E5241">
              <w:rPr>
                <w:noProof/>
                <w:webHidden/>
              </w:rPr>
              <w:fldChar w:fldCharType="end"/>
            </w:r>
          </w:hyperlink>
        </w:p>
        <w:p w:rsidR="002E5241" w:rsidRDefault="007C290F">
          <w:pPr>
            <w:pStyle w:val="21"/>
            <w:tabs>
              <w:tab w:val="right" w:leader="dot" w:pos="8296"/>
            </w:tabs>
            <w:rPr>
              <w:noProof/>
            </w:rPr>
          </w:pPr>
          <w:hyperlink w:anchor="_Toc74521950" w:history="1">
            <w:r w:rsidR="002E5241" w:rsidRPr="003D264C">
              <w:rPr>
                <w:rStyle w:val="a8"/>
                <w:rFonts w:ascii="Times New Roman" w:hAnsi="Times New Roman" w:cs="Times New Roman"/>
                <w:noProof/>
              </w:rPr>
              <w:t>Appendix 20: Summary of certainty of evidence for network meta-analysis in studies examining the effects of physical exercise in postmenopausal women for BMD at LS, FN, and TH.</w:t>
            </w:r>
            <w:r w:rsidR="002E5241">
              <w:rPr>
                <w:noProof/>
                <w:webHidden/>
              </w:rPr>
              <w:tab/>
            </w:r>
            <w:r w:rsidR="002E5241">
              <w:rPr>
                <w:noProof/>
                <w:webHidden/>
              </w:rPr>
              <w:fldChar w:fldCharType="begin"/>
            </w:r>
            <w:r w:rsidR="002E5241">
              <w:rPr>
                <w:noProof/>
                <w:webHidden/>
              </w:rPr>
              <w:instrText xml:space="preserve"> PAGEREF _Toc74521950 \h </w:instrText>
            </w:r>
            <w:r w:rsidR="002E5241">
              <w:rPr>
                <w:noProof/>
                <w:webHidden/>
              </w:rPr>
            </w:r>
            <w:r w:rsidR="002E5241">
              <w:rPr>
                <w:noProof/>
                <w:webHidden/>
              </w:rPr>
              <w:fldChar w:fldCharType="separate"/>
            </w:r>
            <w:r w:rsidR="00713861">
              <w:rPr>
                <w:noProof/>
                <w:webHidden/>
              </w:rPr>
              <w:t>55</w:t>
            </w:r>
            <w:r w:rsidR="002E5241">
              <w:rPr>
                <w:noProof/>
                <w:webHidden/>
              </w:rPr>
              <w:fldChar w:fldCharType="end"/>
            </w:r>
          </w:hyperlink>
        </w:p>
        <w:p w:rsidR="002E5241" w:rsidRDefault="007C290F">
          <w:pPr>
            <w:pStyle w:val="21"/>
            <w:tabs>
              <w:tab w:val="right" w:leader="dot" w:pos="8296"/>
            </w:tabs>
            <w:rPr>
              <w:noProof/>
            </w:rPr>
          </w:pPr>
          <w:hyperlink w:anchor="_Toc74521951" w:history="1">
            <w:r w:rsidR="002E5241" w:rsidRPr="003D264C">
              <w:rPr>
                <w:rStyle w:val="a8"/>
                <w:rFonts w:ascii="Times New Roman" w:hAnsi="Times New Roman" w:cs="Times New Roman"/>
                <w:noProof/>
              </w:rPr>
              <w:t>Appendix 21.1: Details on the CINeMA assessment of each pairwise comparisons for BMD at LS</w:t>
            </w:r>
            <w:r w:rsidR="002E5241">
              <w:rPr>
                <w:noProof/>
                <w:webHidden/>
              </w:rPr>
              <w:tab/>
            </w:r>
            <w:r w:rsidR="002E5241">
              <w:rPr>
                <w:noProof/>
                <w:webHidden/>
              </w:rPr>
              <w:fldChar w:fldCharType="begin"/>
            </w:r>
            <w:r w:rsidR="002E5241">
              <w:rPr>
                <w:noProof/>
                <w:webHidden/>
              </w:rPr>
              <w:instrText xml:space="preserve"> PAGEREF _Toc74521951 \h </w:instrText>
            </w:r>
            <w:r w:rsidR="002E5241">
              <w:rPr>
                <w:noProof/>
                <w:webHidden/>
              </w:rPr>
            </w:r>
            <w:r w:rsidR="002E5241">
              <w:rPr>
                <w:noProof/>
                <w:webHidden/>
              </w:rPr>
              <w:fldChar w:fldCharType="separate"/>
            </w:r>
            <w:r w:rsidR="00713861">
              <w:rPr>
                <w:noProof/>
                <w:webHidden/>
              </w:rPr>
              <w:t>56</w:t>
            </w:r>
            <w:r w:rsidR="002E5241">
              <w:rPr>
                <w:noProof/>
                <w:webHidden/>
              </w:rPr>
              <w:fldChar w:fldCharType="end"/>
            </w:r>
          </w:hyperlink>
        </w:p>
        <w:p w:rsidR="002E5241" w:rsidRDefault="007C290F">
          <w:pPr>
            <w:pStyle w:val="21"/>
            <w:tabs>
              <w:tab w:val="right" w:leader="dot" w:pos="8296"/>
            </w:tabs>
            <w:rPr>
              <w:noProof/>
            </w:rPr>
          </w:pPr>
          <w:hyperlink w:anchor="_Toc74521952" w:history="1">
            <w:r w:rsidR="002E5241" w:rsidRPr="003D264C">
              <w:rPr>
                <w:rStyle w:val="a8"/>
                <w:rFonts w:ascii="Times New Roman" w:hAnsi="Times New Roman" w:cs="Times New Roman"/>
                <w:noProof/>
              </w:rPr>
              <w:t>Appendix 21.2: Details on the CINeMA assessment of each pairwise comparisons for BMD at FN</w:t>
            </w:r>
            <w:r w:rsidR="002E5241">
              <w:rPr>
                <w:noProof/>
                <w:webHidden/>
              </w:rPr>
              <w:tab/>
            </w:r>
            <w:r w:rsidR="002E5241">
              <w:rPr>
                <w:noProof/>
                <w:webHidden/>
              </w:rPr>
              <w:fldChar w:fldCharType="begin"/>
            </w:r>
            <w:r w:rsidR="002E5241">
              <w:rPr>
                <w:noProof/>
                <w:webHidden/>
              </w:rPr>
              <w:instrText xml:space="preserve"> PAGEREF _Toc74521952 \h </w:instrText>
            </w:r>
            <w:r w:rsidR="002E5241">
              <w:rPr>
                <w:noProof/>
                <w:webHidden/>
              </w:rPr>
            </w:r>
            <w:r w:rsidR="002E5241">
              <w:rPr>
                <w:noProof/>
                <w:webHidden/>
              </w:rPr>
              <w:fldChar w:fldCharType="separate"/>
            </w:r>
            <w:r w:rsidR="00713861">
              <w:rPr>
                <w:noProof/>
                <w:webHidden/>
              </w:rPr>
              <w:t>60</w:t>
            </w:r>
            <w:r w:rsidR="002E5241">
              <w:rPr>
                <w:noProof/>
                <w:webHidden/>
              </w:rPr>
              <w:fldChar w:fldCharType="end"/>
            </w:r>
          </w:hyperlink>
        </w:p>
        <w:p w:rsidR="002E5241" w:rsidRDefault="007C290F">
          <w:pPr>
            <w:pStyle w:val="21"/>
            <w:tabs>
              <w:tab w:val="right" w:leader="dot" w:pos="8296"/>
            </w:tabs>
            <w:rPr>
              <w:noProof/>
            </w:rPr>
          </w:pPr>
          <w:hyperlink w:anchor="_Toc74521953" w:history="1">
            <w:r w:rsidR="002E5241" w:rsidRPr="003D264C">
              <w:rPr>
                <w:rStyle w:val="a8"/>
                <w:rFonts w:ascii="Times New Roman" w:hAnsi="Times New Roman" w:cs="Times New Roman"/>
                <w:noProof/>
              </w:rPr>
              <w:t>Appendix 21.3: Details on the CINeMA assessment of each pairwise comparisons for BMD at TH</w:t>
            </w:r>
            <w:r w:rsidR="002E5241">
              <w:rPr>
                <w:noProof/>
                <w:webHidden/>
              </w:rPr>
              <w:tab/>
            </w:r>
            <w:r w:rsidR="002E5241">
              <w:rPr>
                <w:noProof/>
                <w:webHidden/>
              </w:rPr>
              <w:fldChar w:fldCharType="begin"/>
            </w:r>
            <w:r w:rsidR="002E5241">
              <w:rPr>
                <w:noProof/>
                <w:webHidden/>
              </w:rPr>
              <w:instrText xml:space="preserve"> PAGEREF _Toc74521953 \h </w:instrText>
            </w:r>
            <w:r w:rsidR="002E5241">
              <w:rPr>
                <w:noProof/>
                <w:webHidden/>
              </w:rPr>
            </w:r>
            <w:r w:rsidR="002E5241">
              <w:rPr>
                <w:noProof/>
                <w:webHidden/>
              </w:rPr>
              <w:fldChar w:fldCharType="separate"/>
            </w:r>
            <w:r w:rsidR="00713861">
              <w:rPr>
                <w:noProof/>
                <w:webHidden/>
              </w:rPr>
              <w:t>64</w:t>
            </w:r>
            <w:r w:rsidR="002E5241">
              <w:rPr>
                <w:noProof/>
                <w:webHidden/>
              </w:rPr>
              <w:fldChar w:fldCharType="end"/>
            </w:r>
          </w:hyperlink>
        </w:p>
        <w:p w:rsidR="002E5241" w:rsidRDefault="007C290F">
          <w:pPr>
            <w:pStyle w:val="21"/>
            <w:tabs>
              <w:tab w:val="right" w:leader="dot" w:pos="8296"/>
            </w:tabs>
            <w:rPr>
              <w:noProof/>
            </w:rPr>
          </w:pPr>
          <w:hyperlink w:anchor="_Toc74521954" w:history="1">
            <w:r w:rsidR="002E5241" w:rsidRPr="003D264C">
              <w:rPr>
                <w:rStyle w:val="a8"/>
                <w:rFonts w:ascii="Times New Roman" w:hAnsi="Times New Roman" w:cs="Times New Roman"/>
                <w:noProof/>
              </w:rPr>
              <w:t>Appendix 22: Funnel plot for the BMT at (A) LS, (B) FN, and (C) FN network</w:t>
            </w:r>
            <w:r w:rsidR="002E5241">
              <w:rPr>
                <w:noProof/>
                <w:webHidden/>
              </w:rPr>
              <w:tab/>
            </w:r>
            <w:r w:rsidR="002E5241">
              <w:rPr>
                <w:noProof/>
                <w:webHidden/>
              </w:rPr>
              <w:fldChar w:fldCharType="begin"/>
            </w:r>
            <w:r w:rsidR="002E5241">
              <w:rPr>
                <w:noProof/>
                <w:webHidden/>
              </w:rPr>
              <w:instrText xml:space="preserve"> PAGEREF _Toc74521954 \h </w:instrText>
            </w:r>
            <w:r w:rsidR="002E5241">
              <w:rPr>
                <w:noProof/>
                <w:webHidden/>
              </w:rPr>
            </w:r>
            <w:r w:rsidR="002E5241">
              <w:rPr>
                <w:noProof/>
                <w:webHidden/>
              </w:rPr>
              <w:fldChar w:fldCharType="separate"/>
            </w:r>
            <w:r w:rsidR="00713861">
              <w:rPr>
                <w:noProof/>
                <w:webHidden/>
              </w:rPr>
              <w:t>67</w:t>
            </w:r>
            <w:r w:rsidR="002E5241">
              <w:rPr>
                <w:noProof/>
                <w:webHidden/>
              </w:rPr>
              <w:fldChar w:fldCharType="end"/>
            </w:r>
          </w:hyperlink>
        </w:p>
        <w:p w:rsidR="002E5241" w:rsidRDefault="007C290F">
          <w:pPr>
            <w:pStyle w:val="21"/>
            <w:tabs>
              <w:tab w:val="right" w:leader="dot" w:pos="8296"/>
            </w:tabs>
            <w:rPr>
              <w:noProof/>
            </w:rPr>
          </w:pPr>
          <w:hyperlink w:anchor="_Toc74521955" w:history="1">
            <w:r w:rsidR="002E5241" w:rsidRPr="003D264C">
              <w:rPr>
                <w:rStyle w:val="a8"/>
                <w:rFonts w:ascii="Times New Roman" w:hAnsi="Times New Roman" w:cs="Times New Roman"/>
                <w:noProof/>
              </w:rPr>
              <w:t>Reference</w:t>
            </w:r>
            <w:r w:rsidR="002E5241">
              <w:rPr>
                <w:noProof/>
                <w:webHidden/>
              </w:rPr>
              <w:tab/>
            </w:r>
            <w:r w:rsidR="002E5241">
              <w:rPr>
                <w:noProof/>
                <w:webHidden/>
              </w:rPr>
              <w:fldChar w:fldCharType="begin"/>
            </w:r>
            <w:r w:rsidR="002E5241">
              <w:rPr>
                <w:noProof/>
                <w:webHidden/>
              </w:rPr>
              <w:instrText xml:space="preserve"> PAGEREF _Toc74521955 \h </w:instrText>
            </w:r>
            <w:r w:rsidR="002E5241">
              <w:rPr>
                <w:noProof/>
                <w:webHidden/>
              </w:rPr>
            </w:r>
            <w:r w:rsidR="002E5241">
              <w:rPr>
                <w:noProof/>
                <w:webHidden/>
              </w:rPr>
              <w:fldChar w:fldCharType="separate"/>
            </w:r>
            <w:r w:rsidR="00713861">
              <w:rPr>
                <w:noProof/>
                <w:webHidden/>
              </w:rPr>
              <w:t>69</w:t>
            </w:r>
            <w:r w:rsidR="002E5241">
              <w:rPr>
                <w:noProof/>
                <w:webHidden/>
              </w:rPr>
              <w:fldChar w:fldCharType="end"/>
            </w:r>
          </w:hyperlink>
        </w:p>
        <w:p w:rsidR="00172ABA" w:rsidRDefault="00172ABA" w:rsidP="002E5241">
          <w:r>
            <w:rPr>
              <w:b/>
              <w:bCs/>
              <w:lang w:val="zh-CN"/>
            </w:rPr>
            <w:fldChar w:fldCharType="end"/>
          </w:r>
        </w:p>
      </w:sdtContent>
    </w:sdt>
    <w:p w:rsidR="00172ABA" w:rsidRDefault="00172ABA" w:rsidP="00172ABA">
      <w:pPr>
        <w:rPr>
          <w:rFonts w:asciiTheme="majorHAnsi" w:eastAsiaTheme="majorEastAsia" w:hAnsiTheme="majorHAnsi" w:cstheme="majorBidi"/>
          <w:sz w:val="32"/>
          <w:szCs w:val="32"/>
        </w:rPr>
      </w:pPr>
      <w:r>
        <w:br w:type="page"/>
      </w:r>
    </w:p>
    <w:p w:rsidR="00F7218D" w:rsidRPr="00172ABA" w:rsidRDefault="00F7218D" w:rsidP="00172ABA">
      <w:pPr>
        <w:pStyle w:val="2"/>
        <w:rPr>
          <w:rFonts w:ascii="Times New Roman" w:hAnsi="Times New Roman" w:cs="Times New Roman"/>
          <w:sz w:val="24"/>
          <w:szCs w:val="24"/>
        </w:rPr>
      </w:pPr>
      <w:bookmarkStart w:id="0" w:name="_Toc74521923"/>
      <w:r w:rsidRPr="00172ABA">
        <w:rPr>
          <w:rFonts w:ascii="Times New Roman" w:hAnsi="Times New Roman" w:cs="Times New Roman"/>
          <w:sz w:val="24"/>
          <w:szCs w:val="24"/>
        </w:rPr>
        <w:lastRenderedPageBreak/>
        <w:t>Appendix 1: MEDLINE search strategy</w:t>
      </w:r>
      <w:bookmarkEnd w:id="0"/>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 xml:space="preserve">1 </w:t>
      </w:r>
      <w:bookmarkStart w:id="1" w:name="OLE_LINK57"/>
      <w:bookmarkStart w:id="2" w:name="OLE_LINK58"/>
      <w:bookmarkStart w:id="3" w:name="OLE_LINK45"/>
      <w:bookmarkStart w:id="4" w:name="OLE_LINK46"/>
      <w:r w:rsidRPr="00E6180A">
        <w:rPr>
          <w:rFonts w:ascii="Times New Roman" w:hAnsi="Times New Roman" w:cs="Times New Roman"/>
          <w:color w:val="000000"/>
          <w:sz w:val="20"/>
          <w:szCs w:val="20"/>
        </w:rPr>
        <w:t>osteoporosis</w:t>
      </w:r>
      <w:bookmarkEnd w:id="1"/>
      <w:bookmarkEnd w:id="2"/>
      <w:r w:rsidRPr="00E6180A">
        <w:rPr>
          <w:rFonts w:ascii="Times New Roman" w:hAnsi="Times New Roman" w:cs="Times New Roman"/>
          <w:color w:val="000000"/>
          <w:sz w:val="20"/>
          <w:szCs w:val="20"/>
        </w:rPr>
        <w:t>/</w:t>
      </w:r>
      <w:bookmarkEnd w:id="3"/>
      <w:bookmarkEnd w:id="4"/>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 xml:space="preserve">2 </w:t>
      </w:r>
      <w:bookmarkStart w:id="5" w:name="OLE_LINK2"/>
      <w:bookmarkStart w:id="6" w:name="OLE_LINK1"/>
      <w:bookmarkStart w:id="7" w:name="OLE_LINK33"/>
      <w:r w:rsidRPr="00E6180A">
        <w:rPr>
          <w:rFonts w:ascii="Times New Roman" w:hAnsi="Times New Roman" w:cs="Times New Roman"/>
          <w:color w:val="000000"/>
          <w:sz w:val="20"/>
          <w:szCs w:val="20"/>
        </w:rPr>
        <w:t>osteoporo$.mp.</w:t>
      </w:r>
      <w:bookmarkEnd w:id="5"/>
      <w:bookmarkEnd w:id="6"/>
      <w:bookmarkEnd w:id="7"/>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 xml:space="preserve">3 </w:t>
      </w:r>
      <w:bookmarkStart w:id="8" w:name="OLE_LINK34"/>
      <w:bookmarkStart w:id="9" w:name="OLE_LINK35"/>
      <w:r w:rsidRPr="00E6180A">
        <w:rPr>
          <w:rFonts w:ascii="Times New Roman" w:hAnsi="Times New Roman" w:cs="Times New Roman"/>
          <w:color w:val="000000"/>
          <w:sz w:val="20"/>
          <w:szCs w:val="20"/>
        </w:rPr>
        <w:t>osteopenia.mp.</w:t>
      </w:r>
      <w:bookmarkEnd w:id="8"/>
      <w:bookmarkEnd w:id="9"/>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 xml:space="preserve">4 </w:t>
      </w:r>
      <w:bookmarkStart w:id="10" w:name="OLE_LINK47"/>
      <w:bookmarkStart w:id="11" w:name="OLE_LINK48"/>
      <w:r w:rsidRPr="00E6180A">
        <w:rPr>
          <w:rFonts w:ascii="Times New Roman" w:hAnsi="Times New Roman" w:cs="Times New Roman"/>
          <w:color w:val="000000"/>
          <w:sz w:val="20"/>
          <w:szCs w:val="20"/>
        </w:rPr>
        <w:t>bone density/</w:t>
      </w:r>
      <w:bookmarkEnd w:id="10"/>
      <w:bookmarkEnd w:id="11"/>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 xml:space="preserve">5 </w:t>
      </w:r>
      <w:bookmarkStart w:id="12" w:name="OLE_LINK36"/>
      <w:r w:rsidRPr="00E6180A">
        <w:rPr>
          <w:rFonts w:ascii="Times New Roman" w:hAnsi="Times New Roman" w:cs="Times New Roman"/>
          <w:color w:val="000000"/>
          <w:sz w:val="20"/>
          <w:szCs w:val="20"/>
        </w:rPr>
        <w:t>bone densit$.mp.</w:t>
      </w:r>
      <w:bookmarkEnd w:id="12"/>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 xml:space="preserve">6 </w:t>
      </w:r>
      <w:bookmarkStart w:id="13" w:name="OLE_LINK49"/>
      <w:r w:rsidRPr="00E6180A">
        <w:rPr>
          <w:rFonts w:ascii="Times New Roman" w:hAnsi="Times New Roman" w:cs="Times New Roman"/>
          <w:color w:val="000000"/>
          <w:sz w:val="20"/>
          <w:szCs w:val="20"/>
        </w:rPr>
        <w:t>bone loss$.mp.</w:t>
      </w:r>
      <w:bookmarkEnd w:id="13"/>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7 bone mass$.mp.</w:t>
      </w:r>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8 bone mineral densit$.mp.</w:t>
      </w:r>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9 bone mineral content$.mp.</w:t>
      </w:r>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10 bone age.mp.</w:t>
      </w:r>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11 bone defect$.mp.</w:t>
      </w:r>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12 bone deminerali?ation.mp.</w:t>
      </w:r>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13 bone mineral$.mp.</w:t>
      </w:r>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14 bone strength.mp.</w:t>
      </w:r>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15 decalcifi$.mp.</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 xml:space="preserve">16 </w:t>
      </w:r>
      <w:bookmarkStart w:id="14" w:name="OLE_LINK37"/>
      <w:bookmarkStart w:id="15" w:name="OLE_LINK50"/>
      <w:r w:rsidRPr="00E6180A">
        <w:rPr>
          <w:rFonts w:ascii="Times New Roman" w:hAnsi="Times New Roman" w:cs="Times New Roman"/>
          <w:color w:val="000000"/>
          <w:sz w:val="20"/>
          <w:szCs w:val="20"/>
        </w:rPr>
        <w:t>deminerali?ed bone.mp.</w:t>
      </w:r>
      <w:bookmarkEnd w:id="14"/>
      <w:bookmarkEnd w:id="15"/>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17 or/1-16</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1</w:t>
      </w:r>
      <w:r w:rsidRPr="00E6180A">
        <w:rPr>
          <w:rFonts w:ascii="Times New Roman" w:hAnsi="Times New Roman" w:cs="Times New Roman"/>
          <w:color w:val="000000"/>
          <w:sz w:val="20"/>
          <w:szCs w:val="20"/>
        </w:rPr>
        <w:t>8</w:t>
      </w:r>
      <w:bookmarkStart w:id="16" w:name="OLE_LINK3"/>
      <w:bookmarkStart w:id="17" w:name="OLE_LINK4"/>
      <w:r w:rsidRPr="00E6180A">
        <w:rPr>
          <w:rFonts w:ascii="Times New Roman" w:hAnsi="Times New Roman" w:cs="Times New Roman"/>
          <w:color w:val="000000"/>
          <w:sz w:val="20"/>
          <w:szCs w:val="20"/>
        </w:rPr>
        <w:t xml:space="preserve"> exp Menopause/</w:t>
      </w:r>
      <w:bookmarkEnd w:id="16"/>
      <w:bookmarkEnd w:id="17"/>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1</w:t>
      </w:r>
      <w:r w:rsidRPr="00E6180A">
        <w:rPr>
          <w:rFonts w:ascii="Times New Roman" w:hAnsi="Times New Roman" w:cs="Times New Roman"/>
          <w:color w:val="000000"/>
          <w:sz w:val="20"/>
          <w:szCs w:val="20"/>
        </w:rPr>
        <w:t>9</w:t>
      </w:r>
      <w:bookmarkStart w:id="18" w:name="OLE_LINK5"/>
      <w:bookmarkStart w:id="19" w:name="OLE_LINK6"/>
      <w:r w:rsidRPr="00E6180A">
        <w:rPr>
          <w:rFonts w:ascii="Times New Roman" w:hAnsi="Times New Roman" w:cs="Times New Roman"/>
          <w:color w:val="000000"/>
          <w:sz w:val="20"/>
          <w:szCs w:val="20"/>
        </w:rPr>
        <w:t xml:space="preserve"> </w:t>
      </w:r>
      <w:bookmarkStart w:id="20" w:name="OLE_LINK51"/>
      <w:bookmarkStart w:id="21" w:name="OLE_LINK52"/>
      <w:r w:rsidRPr="00E6180A">
        <w:rPr>
          <w:rFonts w:ascii="Times New Roman" w:hAnsi="Times New Roman" w:cs="Times New Roman"/>
          <w:color w:val="000000"/>
          <w:sz w:val="20"/>
          <w:szCs w:val="20"/>
        </w:rPr>
        <w:t>(menopaus$ or postmenopaus$ or post-menopaus$ or (post adj menopause$)).mp.</w:t>
      </w:r>
      <w:bookmarkEnd w:id="18"/>
      <w:bookmarkEnd w:id="19"/>
      <w:bookmarkEnd w:id="20"/>
      <w:bookmarkEnd w:id="21"/>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2</w:t>
      </w:r>
      <w:r w:rsidRPr="00E6180A">
        <w:rPr>
          <w:rFonts w:ascii="Times New Roman" w:hAnsi="Times New Roman" w:cs="Times New Roman"/>
          <w:color w:val="000000"/>
          <w:sz w:val="20"/>
          <w:szCs w:val="20"/>
        </w:rPr>
        <w:t xml:space="preserve">0 </w:t>
      </w:r>
      <w:r w:rsidRPr="00E6180A">
        <w:rPr>
          <w:rFonts w:ascii="Times New Roman" w:hAnsi="Times New Roman" w:cs="Times New Roman" w:hint="eastAsia"/>
          <w:color w:val="000000"/>
          <w:sz w:val="20"/>
          <w:szCs w:val="20"/>
        </w:rPr>
        <w:t>1</w:t>
      </w:r>
      <w:r w:rsidRPr="00E6180A">
        <w:rPr>
          <w:rFonts w:ascii="Times New Roman" w:hAnsi="Times New Roman" w:cs="Times New Roman"/>
          <w:color w:val="000000"/>
          <w:sz w:val="20"/>
          <w:szCs w:val="20"/>
        </w:rPr>
        <w:t xml:space="preserve">8 or </w:t>
      </w:r>
      <w:r w:rsidRPr="00E6180A">
        <w:rPr>
          <w:rFonts w:ascii="Times New Roman" w:hAnsi="Times New Roman" w:cs="Times New Roman" w:hint="eastAsia"/>
          <w:color w:val="000000"/>
          <w:sz w:val="20"/>
          <w:szCs w:val="20"/>
        </w:rPr>
        <w:t>1</w:t>
      </w:r>
      <w:r w:rsidRPr="00E6180A">
        <w:rPr>
          <w:rFonts w:ascii="Times New Roman" w:hAnsi="Times New Roman" w:cs="Times New Roman"/>
          <w:color w:val="000000"/>
          <w:sz w:val="20"/>
          <w:szCs w:val="20"/>
        </w:rPr>
        <w:t>9</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2</w:t>
      </w:r>
      <w:r w:rsidRPr="00E6180A">
        <w:rPr>
          <w:rFonts w:ascii="Times New Roman" w:hAnsi="Times New Roman" w:cs="Times New Roman"/>
          <w:color w:val="000000"/>
          <w:sz w:val="20"/>
          <w:szCs w:val="20"/>
        </w:rPr>
        <w:t xml:space="preserve">1 17 and </w:t>
      </w:r>
      <w:r w:rsidRPr="00E6180A">
        <w:rPr>
          <w:rFonts w:ascii="Times New Roman" w:hAnsi="Times New Roman" w:cs="Times New Roman" w:hint="eastAsia"/>
          <w:color w:val="000000"/>
          <w:sz w:val="20"/>
          <w:szCs w:val="20"/>
        </w:rPr>
        <w:t>2</w:t>
      </w:r>
      <w:r w:rsidRPr="00E6180A">
        <w:rPr>
          <w:rFonts w:ascii="Times New Roman" w:hAnsi="Times New Roman" w:cs="Times New Roman"/>
          <w:color w:val="000000"/>
          <w:sz w:val="20"/>
          <w:szCs w:val="20"/>
        </w:rPr>
        <w:t>0</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22</w:t>
      </w:r>
      <w:bookmarkStart w:id="22" w:name="OLE_LINK53"/>
      <w:bookmarkStart w:id="23" w:name="OLE_LINK54"/>
      <w:r w:rsidRPr="00E6180A">
        <w:rPr>
          <w:rFonts w:ascii="Times New Roman" w:hAnsi="Times New Roman" w:cs="Times New Roman"/>
          <w:color w:val="000000"/>
          <w:sz w:val="20"/>
          <w:szCs w:val="20"/>
        </w:rPr>
        <w:t xml:space="preserve"> </w:t>
      </w:r>
      <w:bookmarkStart w:id="24" w:name="OLE_LINK38"/>
      <w:bookmarkStart w:id="25" w:name="OLE_LINK39"/>
      <w:r w:rsidRPr="00E6180A">
        <w:rPr>
          <w:rFonts w:ascii="Times New Roman" w:hAnsi="Times New Roman" w:cs="Times New Roman"/>
          <w:color w:val="000000"/>
          <w:sz w:val="20"/>
          <w:szCs w:val="20"/>
        </w:rPr>
        <w:t xml:space="preserve">exp </w:t>
      </w:r>
      <w:bookmarkStart w:id="26" w:name="OLE_LINK59"/>
      <w:r w:rsidRPr="00E6180A">
        <w:rPr>
          <w:rFonts w:ascii="Times New Roman" w:hAnsi="Times New Roman" w:cs="Times New Roman"/>
          <w:color w:val="000000"/>
          <w:sz w:val="20"/>
          <w:szCs w:val="20"/>
        </w:rPr>
        <w:t>exercise</w:t>
      </w:r>
      <w:bookmarkEnd w:id="26"/>
      <w:r w:rsidRPr="00E6180A">
        <w:rPr>
          <w:rFonts w:ascii="Times New Roman" w:hAnsi="Times New Roman" w:cs="Times New Roman"/>
          <w:color w:val="000000"/>
          <w:sz w:val="20"/>
          <w:szCs w:val="20"/>
        </w:rPr>
        <w:t>/</w:t>
      </w:r>
      <w:bookmarkEnd w:id="24"/>
      <w:bookmarkEnd w:id="25"/>
    </w:p>
    <w:bookmarkEnd w:id="22"/>
    <w:bookmarkEnd w:id="23"/>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23</w:t>
      </w:r>
      <w:r w:rsidRPr="00E6180A">
        <w:rPr>
          <w:rFonts w:ascii="Times New Roman" w:hAnsi="Times New Roman" w:cs="Times New Roman"/>
          <w:color w:val="000000"/>
          <w:sz w:val="20"/>
          <w:szCs w:val="20"/>
        </w:rPr>
        <w:t xml:space="preserve"> </w:t>
      </w:r>
      <w:bookmarkStart w:id="27" w:name="OLE_LINK11"/>
      <w:bookmarkStart w:id="28" w:name="OLE_LINK12"/>
      <w:bookmarkStart w:id="29" w:name="OLE_LINK40"/>
      <w:bookmarkStart w:id="30" w:name="OLE_LINK41"/>
      <w:bookmarkStart w:id="31" w:name="OLE_LINK55"/>
      <w:r w:rsidRPr="00E6180A">
        <w:rPr>
          <w:rFonts w:ascii="Times New Roman" w:hAnsi="Times New Roman" w:cs="Times New Roman"/>
          <w:color w:val="000000"/>
          <w:sz w:val="20"/>
          <w:szCs w:val="20"/>
        </w:rPr>
        <w:t xml:space="preserve">exp </w:t>
      </w:r>
      <w:bookmarkStart w:id="32" w:name="OLE_LINK60"/>
      <w:bookmarkStart w:id="33" w:name="OLE_LINK61"/>
      <w:r w:rsidRPr="00E6180A">
        <w:rPr>
          <w:rFonts w:ascii="Times New Roman" w:hAnsi="Times New Roman" w:cs="Times New Roman"/>
          <w:color w:val="000000"/>
          <w:sz w:val="20"/>
          <w:szCs w:val="20"/>
        </w:rPr>
        <w:t>exercise therapy</w:t>
      </w:r>
      <w:bookmarkEnd w:id="32"/>
      <w:bookmarkEnd w:id="33"/>
      <w:r w:rsidRPr="00E6180A">
        <w:rPr>
          <w:rFonts w:ascii="Times New Roman" w:hAnsi="Times New Roman" w:cs="Times New Roman"/>
          <w:color w:val="000000"/>
          <w:sz w:val="20"/>
          <w:szCs w:val="20"/>
        </w:rPr>
        <w:t>/</w:t>
      </w:r>
      <w:bookmarkEnd w:id="27"/>
      <w:bookmarkEnd w:id="28"/>
      <w:bookmarkEnd w:id="29"/>
      <w:bookmarkEnd w:id="30"/>
      <w:bookmarkEnd w:id="31"/>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 xml:space="preserve">24 </w:t>
      </w:r>
      <w:bookmarkStart w:id="34" w:name="OLE_LINK13"/>
      <w:bookmarkStart w:id="35" w:name="OLE_LINK14"/>
      <w:r w:rsidRPr="00E6180A">
        <w:rPr>
          <w:rFonts w:ascii="Times New Roman" w:hAnsi="Times New Roman" w:cs="Times New Roman"/>
          <w:color w:val="000000"/>
          <w:sz w:val="20"/>
          <w:szCs w:val="20"/>
        </w:rPr>
        <w:t>exerci$.mp.</w:t>
      </w:r>
      <w:bookmarkEnd w:id="34"/>
      <w:bookmarkEnd w:id="35"/>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25</w:t>
      </w:r>
      <w:bookmarkStart w:id="36" w:name="OLE_LINK15"/>
      <w:bookmarkStart w:id="37" w:name="OLE_LINK16"/>
      <w:r w:rsidRPr="00E6180A">
        <w:rPr>
          <w:rFonts w:ascii="Times New Roman" w:hAnsi="Times New Roman" w:cs="Times New Roman"/>
          <w:color w:val="000000"/>
          <w:sz w:val="20"/>
          <w:szCs w:val="20"/>
        </w:rPr>
        <w:t xml:space="preserve"> exp sports/</w:t>
      </w:r>
      <w:bookmarkEnd w:id="36"/>
      <w:bookmarkEnd w:id="37"/>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26</w:t>
      </w:r>
      <w:r w:rsidRPr="00E6180A">
        <w:rPr>
          <w:rFonts w:ascii="Times New Roman" w:hAnsi="Times New Roman" w:cs="Times New Roman"/>
          <w:color w:val="000000"/>
          <w:sz w:val="20"/>
          <w:szCs w:val="20"/>
        </w:rPr>
        <w:t xml:space="preserve"> sport$.mp.</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27</w:t>
      </w:r>
      <w:r w:rsidRPr="00E6180A">
        <w:rPr>
          <w:rFonts w:ascii="Times New Roman" w:hAnsi="Times New Roman" w:cs="Times New Roman"/>
          <w:color w:val="000000"/>
          <w:sz w:val="20"/>
          <w:szCs w:val="20"/>
        </w:rPr>
        <w:t xml:space="preserve"> physical fitness/</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28</w:t>
      </w:r>
      <w:r w:rsidRPr="00E6180A">
        <w:rPr>
          <w:rFonts w:ascii="Times New Roman" w:hAnsi="Times New Roman" w:cs="Times New Roman"/>
          <w:color w:val="000000"/>
          <w:sz w:val="20"/>
          <w:szCs w:val="20"/>
        </w:rPr>
        <w:t xml:space="preserve"> physical fitness.mp.</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29</w:t>
      </w:r>
      <w:r w:rsidRPr="00E6180A">
        <w:rPr>
          <w:rFonts w:ascii="Times New Roman" w:hAnsi="Times New Roman" w:cs="Times New Roman"/>
          <w:color w:val="000000"/>
          <w:sz w:val="20"/>
          <w:szCs w:val="20"/>
        </w:rPr>
        <w:t xml:space="preserve"> </w:t>
      </w:r>
      <w:bookmarkStart w:id="38" w:name="OLE_LINK42"/>
      <w:bookmarkStart w:id="39" w:name="OLE_LINK43"/>
      <w:r w:rsidRPr="00E6180A">
        <w:rPr>
          <w:rFonts w:ascii="Times New Roman" w:hAnsi="Times New Roman" w:cs="Times New Roman"/>
          <w:color w:val="000000"/>
          <w:sz w:val="20"/>
          <w:szCs w:val="20"/>
        </w:rPr>
        <w:t>physical activit$.mp.</w:t>
      </w:r>
      <w:bookmarkEnd w:id="38"/>
      <w:bookmarkEnd w:id="39"/>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30</w:t>
      </w:r>
      <w:r w:rsidRPr="00E6180A">
        <w:rPr>
          <w:rFonts w:ascii="Times New Roman" w:hAnsi="Times New Roman" w:cs="Times New Roman"/>
          <w:color w:val="000000"/>
          <w:sz w:val="20"/>
          <w:szCs w:val="20"/>
        </w:rPr>
        <w:t xml:space="preserve"> vibration/tu</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31</w:t>
      </w:r>
      <w:bookmarkStart w:id="40" w:name="OLE_LINK62"/>
      <w:bookmarkStart w:id="41" w:name="OLE_LINK63"/>
      <w:r w:rsidRPr="00E6180A">
        <w:rPr>
          <w:rFonts w:ascii="Times New Roman" w:hAnsi="Times New Roman" w:cs="Times New Roman"/>
          <w:color w:val="000000"/>
          <w:sz w:val="20"/>
          <w:szCs w:val="20"/>
        </w:rPr>
        <w:t xml:space="preserve"> </w:t>
      </w:r>
      <w:bookmarkStart w:id="42" w:name="OLE_LINK44"/>
      <w:bookmarkStart w:id="43" w:name="OLE_LINK56"/>
      <w:r w:rsidRPr="00E6180A">
        <w:rPr>
          <w:rFonts w:ascii="Times New Roman" w:hAnsi="Times New Roman" w:cs="Times New Roman"/>
          <w:color w:val="000000"/>
          <w:sz w:val="20"/>
          <w:szCs w:val="20"/>
        </w:rPr>
        <w:t>vibration therap$</w:t>
      </w:r>
      <w:bookmarkEnd w:id="40"/>
      <w:bookmarkEnd w:id="41"/>
      <w:r w:rsidRPr="00E6180A">
        <w:rPr>
          <w:rFonts w:ascii="Times New Roman" w:hAnsi="Times New Roman" w:cs="Times New Roman"/>
          <w:color w:val="000000"/>
          <w:sz w:val="20"/>
          <w:szCs w:val="20"/>
        </w:rPr>
        <w:t>.mp.</w:t>
      </w:r>
      <w:bookmarkEnd w:id="42"/>
      <w:bookmarkEnd w:id="43"/>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32 22 OR 23 OR 24 OR 25 OR 26 OR 27 OR 28 OR 29 OR 30 OR 31</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3</w:t>
      </w:r>
      <w:r w:rsidRPr="00E6180A">
        <w:rPr>
          <w:rFonts w:ascii="Times New Roman" w:hAnsi="Times New Roman" w:cs="Times New Roman"/>
          <w:color w:val="000000"/>
          <w:sz w:val="20"/>
          <w:szCs w:val="20"/>
        </w:rPr>
        <w:t>3 randomized controlled trial.pt.</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3</w:t>
      </w:r>
      <w:r w:rsidRPr="00E6180A">
        <w:rPr>
          <w:rFonts w:ascii="Times New Roman" w:hAnsi="Times New Roman" w:cs="Times New Roman"/>
          <w:color w:val="000000"/>
          <w:sz w:val="20"/>
          <w:szCs w:val="20"/>
        </w:rPr>
        <w:t>4 controlled clinical trial.pt.</w:t>
      </w:r>
    </w:p>
    <w:p w:rsidR="00F7218D" w:rsidRPr="00E6180A" w:rsidRDefault="00F7218D" w:rsidP="00E6180A">
      <w:pPr>
        <w:autoSpaceDE w:val="0"/>
        <w:autoSpaceDN w:val="0"/>
        <w:adjustRightInd w:val="0"/>
        <w:jc w:val="left"/>
        <w:rPr>
          <w:rFonts w:ascii="Times New Roman" w:hAnsi="Times New Roman" w:cs="Times New Roman"/>
          <w:color w:val="000000"/>
          <w:sz w:val="20"/>
          <w:szCs w:val="20"/>
        </w:rPr>
      </w:pPr>
      <w:r w:rsidRPr="00E6180A">
        <w:rPr>
          <w:rFonts w:ascii="Times New Roman" w:hAnsi="Times New Roman" w:cs="Times New Roman"/>
          <w:color w:val="000000"/>
          <w:sz w:val="20"/>
          <w:szCs w:val="20"/>
        </w:rPr>
        <w:t>35 randomi?ed.ab.</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hint="eastAsia"/>
          <w:color w:val="000000"/>
          <w:sz w:val="20"/>
          <w:szCs w:val="20"/>
        </w:rPr>
        <w:t>3</w:t>
      </w:r>
      <w:r w:rsidRPr="00E6180A">
        <w:rPr>
          <w:rFonts w:ascii="Times New Roman" w:hAnsi="Times New Roman" w:cs="Times New Roman"/>
          <w:color w:val="000000"/>
          <w:sz w:val="20"/>
          <w:szCs w:val="20"/>
        </w:rPr>
        <w:t>6 placebo.ab.</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37 clinical trials as topic.sh.</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 xml:space="preserve">38 </w:t>
      </w:r>
      <w:bookmarkStart w:id="44" w:name="OLE_LINK29"/>
      <w:bookmarkStart w:id="45" w:name="OLE_LINK30"/>
      <w:r w:rsidRPr="00E6180A">
        <w:rPr>
          <w:rFonts w:ascii="Times New Roman" w:hAnsi="Times New Roman" w:cs="Times New Roman"/>
          <w:color w:val="000000"/>
          <w:sz w:val="20"/>
          <w:szCs w:val="20"/>
        </w:rPr>
        <w:t>randomly.ab.</w:t>
      </w:r>
      <w:bookmarkEnd w:id="44"/>
      <w:bookmarkEnd w:id="45"/>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 xml:space="preserve">39 </w:t>
      </w:r>
      <w:bookmarkStart w:id="46" w:name="OLE_LINK31"/>
      <w:bookmarkStart w:id="47" w:name="OLE_LINK32"/>
      <w:r w:rsidRPr="00E6180A">
        <w:rPr>
          <w:rFonts w:ascii="Times New Roman" w:hAnsi="Times New Roman" w:cs="Times New Roman"/>
          <w:color w:val="000000"/>
          <w:sz w:val="20"/>
          <w:szCs w:val="20"/>
        </w:rPr>
        <w:t>trial.ti.</w:t>
      </w:r>
      <w:bookmarkEnd w:id="46"/>
      <w:bookmarkEnd w:id="47"/>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40 3</w:t>
      </w:r>
      <w:r w:rsidRPr="00E6180A">
        <w:rPr>
          <w:rFonts w:ascii="Times New Roman" w:hAnsi="Times New Roman" w:cs="Times New Roman" w:hint="eastAsia"/>
          <w:color w:val="000000"/>
          <w:sz w:val="20"/>
          <w:szCs w:val="20"/>
        </w:rPr>
        <w:t>3</w:t>
      </w:r>
      <w:r w:rsidRPr="00E6180A">
        <w:rPr>
          <w:rFonts w:ascii="Times New Roman" w:hAnsi="Times New Roman" w:cs="Times New Roman"/>
          <w:color w:val="000000"/>
          <w:sz w:val="20"/>
          <w:szCs w:val="20"/>
        </w:rPr>
        <w:t xml:space="preserve"> OR 3</w:t>
      </w:r>
      <w:r w:rsidRPr="00E6180A">
        <w:rPr>
          <w:rFonts w:ascii="Times New Roman" w:hAnsi="Times New Roman" w:cs="Times New Roman" w:hint="eastAsia"/>
          <w:color w:val="000000"/>
          <w:sz w:val="20"/>
          <w:szCs w:val="20"/>
        </w:rPr>
        <w:t>4</w:t>
      </w:r>
      <w:r w:rsidRPr="00E6180A">
        <w:rPr>
          <w:rFonts w:ascii="Times New Roman" w:hAnsi="Times New Roman" w:cs="Times New Roman"/>
          <w:color w:val="000000"/>
          <w:sz w:val="20"/>
          <w:szCs w:val="20"/>
        </w:rPr>
        <w:t xml:space="preserve"> OR 3</w:t>
      </w:r>
      <w:r w:rsidRPr="00E6180A">
        <w:rPr>
          <w:rFonts w:ascii="Times New Roman" w:hAnsi="Times New Roman" w:cs="Times New Roman" w:hint="eastAsia"/>
          <w:color w:val="000000"/>
          <w:sz w:val="20"/>
          <w:szCs w:val="20"/>
        </w:rPr>
        <w:t>5</w:t>
      </w:r>
      <w:r w:rsidRPr="00E6180A">
        <w:rPr>
          <w:rFonts w:ascii="Times New Roman" w:hAnsi="Times New Roman" w:cs="Times New Roman"/>
          <w:color w:val="000000"/>
          <w:sz w:val="20"/>
          <w:szCs w:val="20"/>
        </w:rPr>
        <w:t xml:space="preserve"> OR 3</w:t>
      </w:r>
      <w:r w:rsidRPr="00E6180A">
        <w:rPr>
          <w:rFonts w:ascii="Times New Roman" w:hAnsi="Times New Roman" w:cs="Times New Roman" w:hint="eastAsia"/>
          <w:color w:val="000000"/>
          <w:sz w:val="20"/>
          <w:szCs w:val="20"/>
        </w:rPr>
        <w:t>6</w:t>
      </w:r>
      <w:r w:rsidRPr="00E6180A">
        <w:rPr>
          <w:rFonts w:ascii="Times New Roman" w:hAnsi="Times New Roman" w:cs="Times New Roman"/>
          <w:color w:val="000000"/>
          <w:sz w:val="20"/>
          <w:szCs w:val="20"/>
        </w:rPr>
        <w:t xml:space="preserve"> OR 3</w:t>
      </w:r>
      <w:r w:rsidRPr="00E6180A">
        <w:rPr>
          <w:rFonts w:ascii="Times New Roman" w:hAnsi="Times New Roman" w:cs="Times New Roman" w:hint="eastAsia"/>
          <w:color w:val="000000"/>
          <w:sz w:val="20"/>
          <w:szCs w:val="20"/>
        </w:rPr>
        <w:t>7</w:t>
      </w:r>
      <w:r w:rsidRPr="00E6180A">
        <w:rPr>
          <w:rFonts w:ascii="Times New Roman" w:hAnsi="Times New Roman" w:cs="Times New Roman"/>
          <w:color w:val="000000"/>
          <w:sz w:val="20"/>
          <w:szCs w:val="20"/>
        </w:rPr>
        <w:t xml:space="preserve"> OR 3</w:t>
      </w:r>
      <w:r w:rsidRPr="00E6180A">
        <w:rPr>
          <w:rFonts w:ascii="Times New Roman" w:hAnsi="Times New Roman" w:cs="Times New Roman" w:hint="eastAsia"/>
          <w:color w:val="000000"/>
          <w:sz w:val="20"/>
          <w:szCs w:val="20"/>
        </w:rPr>
        <w:t>8</w:t>
      </w:r>
      <w:r w:rsidRPr="00E6180A">
        <w:rPr>
          <w:rFonts w:ascii="Times New Roman" w:hAnsi="Times New Roman" w:cs="Times New Roman"/>
          <w:color w:val="000000"/>
          <w:sz w:val="20"/>
          <w:szCs w:val="20"/>
        </w:rPr>
        <w:t xml:space="preserve"> OR 3</w:t>
      </w:r>
      <w:r w:rsidRPr="00E6180A">
        <w:rPr>
          <w:rFonts w:ascii="Times New Roman" w:hAnsi="Times New Roman" w:cs="Times New Roman" w:hint="eastAsia"/>
          <w:color w:val="000000"/>
          <w:sz w:val="20"/>
          <w:szCs w:val="20"/>
        </w:rPr>
        <w:t>9</w:t>
      </w:r>
    </w:p>
    <w:p w:rsidR="00F7218D" w:rsidRPr="00E6180A" w:rsidRDefault="00F7218D" w:rsidP="00E6180A">
      <w:pPr>
        <w:rPr>
          <w:rFonts w:ascii="Times New Roman" w:hAnsi="Times New Roman" w:cs="Times New Roman"/>
          <w:color w:val="000000"/>
          <w:sz w:val="20"/>
          <w:szCs w:val="20"/>
        </w:rPr>
      </w:pPr>
      <w:r w:rsidRPr="00E6180A">
        <w:rPr>
          <w:rFonts w:ascii="Times New Roman" w:hAnsi="Times New Roman" w:cs="Times New Roman"/>
          <w:color w:val="000000"/>
          <w:sz w:val="20"/>
          <w:szCs w:val="20"/>
        </w:rPr>
        <w:t>41 21 AND 32 AND 40</w:t>
      </w:r>
    </w:p>
    <w:p w:rsidR="00E840E8" w:rsidRPr="00172ABA" w:rsidRDefault="00E840E8" w:rsidP="00172ABA">
      <w:pPr>
        <w:pStyle w:val="2"/>
        <w:rPr>
          <w:rFonts w:ascii="Times New Roman" w:hAnsi="Times New Roman" w:cs="Times New Roman"/>
          <w:sz w:val="24"/>
          <w:szCs w:val="24"/>
        </w:rPr>
      </w:pPr>
      <w:bookmarkStart w:id="48" w:name="_Toc74521924"/>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ppendix 2: Statistical methods in detail</w:t>
      </w:r>
      <w:bookmarkEnd w:id="48"/>
    </w:p>
    <w:p w:rsidR="00E840E8" w:rsidRPr="006D0590" w:rsidRDefault="00E840E8" w:rsidP="006D0590">
      <w:pPr>
        <w:autoSpaceDE w:val="0"/>
        <w:autoSpaceDN w:val="0"/>
        <w:adjustRightInd w:val="0"/>
        <w:jc w:val="left"/>
        <w:rPr>
          <w:rFonts w:ascii="Times New Roman" w:hAnsi="Times New Roman" w:cs="Times New Roman"/>
          <w:b/>
          <w:color w:val="000000"/>
          <w:sz w:val="20"/>
          <w:szCs w:val="20"/>
        </w:rPr>
      </w:pPr>
      <w:r w:rsidRPr="006D0590">
        <w:rPr>
          <w:rFonts w:ascii="Times New Roman" w:hAnsi="Times New Roman" w:cs="Times New Roman"/>
          <w:b/>
          <w:color w:val="000000"/>
          <w:sz w:val="20"/>
          <w:szCs w:val="20"/>
        </w:rPr>
        <w:t>Calculation of change score</w:t>
      </w:r>
    </w:p>
    <w:p w:rsidR="00E840E8" w:rsidRPr="006D0590" w:rsidRDefault="00E840E8" w:rsidP="006D0590">
      <w:pPr>
        <w:autoSpaceDE w:val="0"/>
        <w:autoSpaceDN w:val="0"/>
        <w:adjustRightInd w:val="0"/>
        <w:ind w:firstLineChars="100" w:firstLine="200"/>
        <w:jc w:val="left"/>
        <w:rPr>
          <w:rFonts w:ascii="Times New Roman" w:hAnsi="Times New Roman" w:cs="Times New Roman"/>
          <w:sz w:val="20"/>
          <w:szCs w:val="20"/>
        </w:rPr>
      </w:pPr>
      <w:r w:rsidRPr="006D0590">
        <w:rPr>
          <w:rFonts w:ascii="Times New Roman" w:hAnsi="Times New Roman" w:cs="Times New Roman"/>
          <w:sz w:val="20"/>
          <w:szCs w:val="20"/>
        </w:rPr>
        <w:t>If the studies presented a confidence interval (CI) or standard errors (SE), they were converted to standard deviation (SD) by using the following formula: SD=</w:t>
      </w:r>
      <m:oMath>
        <m:r>
          <m:rPr>
            <m:sty m:val="p"/>
          </m:rPr>
          <w:rPr>
            <w:rFonts w:ascii="Cambria Math" w:hAnsi="Cambria Math" w:cs="Times New Roman"/>
            <w:sz w:val="20"/>
            <w:szCs w:val="20"/>
          </w:rPr>
          <m:t>SE×</m:t>
        </m:r>
        <m:rad>
          <m:radPr>
            <m:degHide m:val="1"/>
            <m:ctrlPr>
              <w:rPr>
                <w:rFonts w:ascii="Cambria Math" w:hAnsi="Cambria Math" w:cs="Times New Roman"/>
                <w:sz w:val="20"/>
                <w:szCs w:val="20"/>
              </w:rPr>
            </m:ctrlPr>
          </m:radPr>
          <m:deg/>
          <m:e>
            <m:r>
              <w:rPr>
                <w:rFonts w:ascii="Cambria Math" w:hAnsi="Cambria Math" w:cs="Times New Roman"/>
                <w:sz w:val="20"/>
                <w:szCs w:val="20"/>
              </w:rPr>
              <m:t>N</m:t>
            </m:r>
          </m:e>
        </m:rad>
      </m:oMath>
      <w:r w:rsidRPr="006D0590">
        <w:rPr>
          <w:rFonts w:ascii="Times New Roman" w:hAnsi="Times New Roman" w:cs="Times New Roman"/>
          <w:sz w:val="20"/>
          <w:szCs w:val="20"/>
        </w:rPr>
        <w:t>.</w:t>
      </w:r>
      <w:r w:rsidRPr="006D0590">
        <w:rPr>
          <w:rFonts w:ascii="Times New Roman" w:hAnsi="Times New Roman" w:cs="Times New Roman"/>
          <w:sz w:val="20"/>
          <w:szCs w:val="20"/>
        </w:rPr>
        <w:fldChar w:fldCharType="begin"/>
      </w:r>
      <w:r w:rsidR="0051730B">
        <w:rPr>
          <w:rFonts w:ascii="Times New Roman" w:hAnsi="Times New Roman" w:cs="Times New Roman"/>
          <w:sz w:val="20"/>
          <w:szCs w:val="20"/>
        </w:rPr>
        <w:instrText xml:space="preserve"> ADDIN EN.CITE &lt;EndNote&gt;&lt;Cite&gt;&lt;Author&gt;Higgins JPT&lt;/Author&gt;&lt;Year&gt;2019&lt;/Year&gt;&lt;RecNum&gt;3749&lt;/RecNum&gt;&lt;DisplayText&gt;&lt;style face="superscript"&gt;3&lt;/style&gt;&lt;/DisplayText&gt;&lt;record&gt;&lt;rec-number&gt;3749&lt;/rec-number&gt;&lt;foreign-keys&gt;&lt;key app="EN" db-id="5wed2ztrhz9pz8eetsppewa1z2tzv00datrw" timestamp="1617862827"&gt;3749&lt;/key&gt;&lt;/foreign-keys&gt;&lt;ref-type name="Journal Article"&gt;17&lt;/ref-type&gt;&lt;contributors&gt;&lt;authors&gt;&lt;author&gt;Higgins JPT, Thomas J, Chandler J, Cumpston M, Li T, Page MJ, Welch VA (editors)&lt;/author&gt;&lt;/authors&gt;&lt;/contributors&gt;&lt;titles&gt;&lt;title&gt;Cochrane Handbook for Systematic Reviews of Interventions. 2nd Edition. Chichester (UK): John Wiley &amp;amp; Sons&lt;/title&gt;&lt;/titles&gt;&lt;dates&gt;&lt;year&gt;2019&lt;/year&gt;&lt;/dates&gt;&lt;urls&gt;&lt;/urls&gt;&lt;/record&gt;&lt;/Cite&gt;&lt;/EndNote&gt;</w:instrText>
      </w:r>
      <w:r w:rsidRPr="006D0590">
        <w:rPr>
          <w:rFonts w:ascii="Times New Roman" w:hAnsi="Times New Roman" w:cs="Times New Roman"/>
          <w:sz w:val="20"/>
          <w:szCs w:val="20"/>
        </w:rPr>
        <w:fldChar w:fldCharType="end"/>
      </w:r>
      <w:r w:rsidR="0051730B" w:rsidRPr="0051730B">
        <w:rPr>
          <w:rFonts w:ascii="Times New Roman" w:hAnsi="Times New Roman" w:cs="Times New Roman"/>
          <w:sz w:val="20"/>
          <w:szCs w:val="20"/>
          <w:vertAlign w:val="superscript"/>
        </w:rPr>
        <w:t xml:space="preserve"> 3 2</w:t>
      </w:r>
      <w:r w:rsidR="00B95990" w:rsidRPr="006D0590">
        <w:rPr>
          <w:rFonts w:ascii="Times New Roman" w:hAnsi="Times New Roman" w:cs="Times New Roman"/>
          <w:sz w:val="20"/>
          <w:szCs w:val="20"/>
          <w:vertAlign w:val="superscript"/>
        </w:rPr>
        <w:t xml:space="preserve"> 1 1</w:t>
      </w:r>
      <w:r w:rsidRPr="006D0590">
        <w:rPr>
          <w:rFonts w:ascii="Times New Roman" w:hAnsi="Times New Roman" w:cs="Times New Roman"/>
          <w:sz w:val="20"/>
          <w:szCs w:val="20"/>
          <w:vertAlign w:val="superscript"/>
        </w:rPr>
        <w:t xml:space="preserve"> </w:t>
      </w:r>
      <w:r w:rsidRPr="006D0590">
        <w:rPr>
          <w:rFonts w:ascii="Times New Roman" w:hAnsi="Times New Roman" w:cs="Times New Roman"/>
          <w:sz w:val="20"/>
          <w:szCs w:val="20"/>
        </w:rPr>
        <w:t xml:space="preserve">When the SDs of absolute changes from baseline were not available from individual trials, we imputed them as described in detail in the Cochrane Handbook: </w:t>
      </w:r>
      <m:oMath>
        <m:sSub>
          <m:sSubPr>
            <m:ctrlPr>
              <w:rPr>
                <w:rFonts w:ascii="Cambria Math" w:hAnsi="Cambria Math" w:cs="Times New Roman"/>
                <w:sz w:val="20"/>
                <w:szCs w:val="20"/>
              </w:rPr>
            </m:ctrlPr>
          </m:sSubPr>
          <m:e>
            <m:r>
              <w:rPr>
                <w:rFonts w:ascii="Cambria Math" w:hAnsi="Cambria Math" w:cs="Times New Roman"/>
                <w:sz w:val="20"/>
                <w:szCs w:val="20"/>
              </w:rPr>
              <m:t>SD</m:t>
            </m:r>
          </m:e>
          <m:sub>
            <m:r>
              <w:rPr>
                <w:rFonts w:ascii="Cambria Math" w:hAnsi="Cambria Math" w:cs="Times New Roman"/>
                <w:sz w:val="20"/>
                <w:szCs w:val="20"/>
              </w:rPr>
              <m:t>change</m:t>
            </m:r>
          </m:sub>
        </m:sSub>
        <m:r>
          <m:rPr>
            <m:sty m:val="p"/>
          </m:rPr>
          <w:rPr>
            <w:rFonts w:ascii="Cambria Math" w:hAnsi="Cambria Math" w:cs="Times New Roman"/>
            <w:sz w:val="20"/>
            <w:szCs w:val="20"/>
          </w:rPr>
          <m:t>=</m:t>
        </m:r>
        <m:rad>
          <m:radPr>
            <m:degHide m:val="1"/>
            <m:ctrlPr>
              <w:rPr>
                <w:rFonts w:ascii="Cambria Math" w:hAnsi="Cambria Math" w:cs="Times New Roman"/>
                <w:sz w:val="20"/>
                <w:szCs w:val="20"/>
              </w:rPr>
            </m:ctrlPr>
          </m:radPr>
          <m:deg/>
          <m:e>
            <m:sSub>
              <m:sSubPr>
                <m:ctrlPr>
                  <w:rPr>
                    <w:rFonts w:ascii="Cambria Math" w:hAnsi="Cambria Math" w:cs="Times New Roman"/>
                    <w:i/>
                    <w:sz w:val="20"/>
                    <w:szCs w:val="20"/>
                  </w:rPr>
                </m:ctrlPr>
              </m:sSubPr>
              <m:e>
                <m:sSup>
                  <m:sSupPr>
                    <m:ctrlPr>
                      <w:rPr>
                        <w:rFonts w:ascii="Cambria Math" w:hAnsi="Cambria Math" w:cs="Times New Roman"/>
                        <w:i/>
                        <w:sz w:val="20"/>
                        <w:szCs w:val="20"/>
                      </w:rPr>
                    </m:ctrlPr>
                  </m:sSupPr>
                  <m:e>
                    <m:r>
                      <w:rPr>
                        <w:rFonts w:ascii="Cambria Math" w:hAnsi="Cambria Math" w:cs="Times New Roman"/>
                        <w:sz w:val="20"/>
                        <w:szCs w:val="20"/>
                      </w:rPr>
                      <m:t>SD</m:t>
                    </m:r>
                  </m:e>
                  <m:sup>
                    <m:r>
                      <w:rPr>
                        <w:rFonts w:ascii="Cambria Math" w:hAnsi="Cambria Math" w:cs="Times New Roman"/>
                        <w:sz w:val="20"/>
                        <w:szCs w:val="20"/>
                      </w:rPr>
                      <m:t>2</m:t>
                    </m:r>
                  </m:sup>
                </m:sSup>
              </m:e>
              <m:sub>
                <m:r>
                  <w:rPr>
                    <w:rFonts w:ascii="Cambria Math" w:hAnsi="Cambria Math" w:cs="Times New Roman"/>
                    <w:sz w:val="20"/>
                    <w:szCs w:val="20"/>
                  </w:rPr>
                  <m:t>pre</m:t>
                </m:r>
              </m:sub>
            </m:sSub>
            <m:r>
              <w:rPr>
                <w:rFonts w:ascii="Cambria Math" w:hAnsi="Cambria Math" w:cs="Times New Roman"/>
                <w:sz w:val="20"/>
                <w:szCs w:val="20"/>
              </w:rPr>
              <m:t>+</m:t>
            </m:r>
            <m:sSub>
              <m:sSubPr>
                <m:ctrlPr>
                  <w:rPr>
                    <w:rFonts w:ascii="Cambria Math" w:hAnsi="Cambria Math" w:cs="Times New Roman"/>
                    <w:i/>
                    <w:sz w:val="20"/>
                    <w:szCs w:val="20"/>
                  </w:rPr>
                </m:ctrlPr>
              </m:sSubPr>
              <m:e>
                <m:sSup>
                  <m:sSupPr>
                    <m:ctrlPr>
                      <w:rPr>
                        <w:rFonts w:ascii="Cambria Math" w:hAnsi="Cambria Math" w:cs="Times New Roman"/>
                        <w:i/>
                        <w:sz w:val="20"/>
                        <w:szCs w:val="20"/>
                      </w:rPr>
                    </m:ctrlPr>
                  </m:sSupPr>
                  <m:e>
                    <m:r>
                      <w:rPr>
                        <w:rFonts w:ascii="Cambria Math" w:hAnsi="Cambria Math" w:cs="Times New Roman"/>
                        <w:sz w:val="20"/>
                        <w:szCs w:val="20"/>
                      </w:rPr>
                      <m:t>SD</m:t>
                    </m:r>
                  </m:e>
                  <m:sup>
                    <m:r>
                      <w:rPr>
                        <w:rFonts w:ascii="Cambria Math" w:hAnsi="Cambria Math" w:cs="Times New Roman"/>
                        <w:sz w:val="20"/>
                        <w:szCs w:val="20"/>
                      </w:rPr>
                      <m:t>2</m:t>
                    </m:r>
                  </m:sup>
                </m:sSup>
              </m:e>
              <m:sub>
                <m:r>
                  <w:rPr>
                    <w:rFonts w:ascii="Cambria Math" w:hAnsi="Cambria Math" w:cs="Times New Roman"/>
                    <w:sz w:val="20"/>
                    <w:szCs w:val="20"/>
                  </w:rPr>
                  <m:t>post</m:t>
                </m:r>
              </m:sub>
            </m:sSub>
            <m:r>
              <w:rPr>
                <w:rFonts w:ascii="Cambria Math" w:hAnsi="Cambria Math" w:cs="Times New Roman"/>
                <w:sz w:val="20"/>
                <w:szCs w:val="20"/>
              </w:rPr>
              <m:t>-(2×R×</m:t>
            </m:r>
            <m:sSub>
              <m:sSubPr>
                <m:ctrlPr>
                  <w:rPr>
                    <w:rFonts w:ascii="Cambria Math" w:hAnsi="Cambria Math" w:cs="Times New Roman"/>
                    <w:i/>
                    <w:sz w:val="20"/>
                    <w:szCs w:val="20"/>
                  </w:rPr>
                </m:ctrlPr>
              </m:sSubPr>
              <m:e>
                <m:r>
                  <w:rPr>
                    <w:rFonts w:ascii="Cambria Math" w:hAnsi="Cambria Math" w:cs="Times New Roman"/>
                    <w:sz w:val="20"/>
                    <w:szCs w:val="20"/>
                  </w:rPr>
                  <m:t>SD</m:t>
                </m:r>
              </m:e>
              <m:sub>
                <m:r>
                  <w:rPr>
                    <w:rFonts w:ascii="Cambria Math" w:hAnsi="Cambria Math" w:cs="Times New Roman"/>
                    <w:sz w:val="20"/>
                    <w:szCs w:val="20"/>
                  </w:rPr>
                  <m:t>pre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SD</m:t>
                </m:r>
              </m:e>
              <m:sub>
                <m:r>
                  <w:rPr>
                    <w:rFonts w:ascii="Cambria Math" w:hAnsi="Cambria Math" w:cs="Times New Roman"/>
                    <w:sz w:val="20"/>
                    <w:szCs w:val="20"/>
                  </w:rPr>
                  <m:t>post</m:t>
                </m:r>
              </m:sub>
            </m:sSub>
            <m:r>
              <w:rPr>
                <w:rFonts w:ascii="Cambria Math" w:hAnsi="Cambria Math" w:cs="Times New Roman"/>
                <w:sz w:val="20"/>
                <w:szCs w:val="20"/>
              </w:rPr>
              <m:t>)</m:t>
            </m:r>
          </m:e>
        </m:rad>
      </m:oMath>
      <w:r w:rsidRPr="006D0590">
        <w:rPr>
          <w:rFonts w:ascii="Times New Roman" w:hAnsi="Times New Roman" w:cs="Times New Roman"/>
          <w:sz w:val="20"/>
          <w:szCs w:val="20"/>
        </w:rPr>
        <w:t>.</w:t>
      </w:r>
      <w:r w:rsidRPr="006D0590">
        <w:rPr>
          <w:rFonts w:ascii="Times New Roman" w:hAnsi="Times New Roman" w:cs="Times New Roman"/>
          <w:sz w:val="20"/>
          <w:szCs w:val="20"/>
        </w:rPr>
        <w:fldChar w:fldCharType="begin"/>
      </w:r>
      <w:r w:rsidR="0051730B">
        <w:rPr>
          <w:rFonts w:ascii="Times New Roman" w:hAnsi="Times New Roman" w:cs="Times New Roman"/>
          <w:sz w:val="20"/>
          <w:szCs w:val="20"/>
        </w:rPr>
        <w:instrText xml:space="preserve"> ADDIN EN.CITE &lt;EndNote&gt;&lt;Cite&gt;&lt;Author&gt;Higgins JPT&lt;/Author&gt;&lt;Year&gt;2019&lt;/Year&gt;&lt;RecNum&gt;3749&lt;/RecNum&gt;&lt;DisplayText&gt;&lt;style face="superscript"&gt;3&lt;/style&gt;&lt;/DisplayText&gt;&lt;record&gt;&lt;rec-number&gt;3749&lt;/rec-number&gt;&lt;foreign-keys&gt;&lt;key app="EN" db-id="5wed2ztrhz9pz8eetsppewa1z2tzv00datrw" timestamp="1617862827"&gt;3749&lt;/key&gt;&lt;/foreign-keys&gt;&lt;ref-type name="Journal Article"&gt;17&lt;/ref-type&gt;&lt;contributors&gt;&lt;authors&gt;&lt;author&gt;Higgins JPT, Thomas J, Chandler J, Cumpston M, Li T, Page MJ, Welch VA (editors)&lt;/author&gt;&lt;/authors&gt;&lt;/contributors&gt;&lt;titles&gt;&lt;title&gt;Cochrane Handbook for Systematic Reviews of Interventions. 2nd Edition. Chichester (UK): John Wiley &amp;amp; Sons&lt;/title&gt;&lt;/titles&gt;&lt;dates&gt;&lt;year&gt;2019&lt;/year&gt;&lt;/dates&gt;&lt;urls&gt;&lt;/urls&gt;&lt;/record&gt;&lt;/Cite&gt;&lt;/EndNote&gt;</w:instrText>
      </w:r>
      <w:r w:rsidRPr="006D0590">
        <w:rPr>
          <w:rFonts w:ascii="Times New Roman" w:hAnsi="Times New Roman" w:cs="Times New Roman"/>
          <w:sz w:val="20"/>
          <w:szCs w:val="20"/>
        </w:rPr>
        <w:fldChar w:fldCharType="end"/>
      </w:r>
      <w:r w:rsidR="0051730B" w:rsidRPr="0051730B">
        <w:rPr>
          <w:rFonts w:ascii="Times New Roman" w:hAnsi="Times New Roman" w:cs="Times New Roman"/>
          <w:sz w:val="20"/>
          <w:szCs w:val="20"/>
          <w:vertAlign w:val="superscript"/>
        </w:rPr>
        <w:t xml:space="preserve"> 3 2</w:t>
      </w:r>
      <w:r w:rsidR="00B95990" w:rsidRPr="006D0590">
        <w:rPr>
          <w:rFonts w:ascii="Times New Roman" w:hAnsi="Times New Roman" w:cs="Times New Roman"/>
          <w:sz w:val="20"/>
          <w:szCs w:val="20"/>
          <w:vertAlign w:val="superscript"/>
        </w:rPr>
        <w:t xml:space="preserve"> 1 1</w:t>
      </w:r>
      <w:r w:rsidRPr="006D0590">
        <w:rPr>
          <w:rFonts w:ascii="Times New Roman" w:hAnsi="Times New Roman" w:cs="Times New Roman"/>
          <w:sz w:val="20"/>
          <w:szCs w:val="20"/>
          <w:vertAlign w:val="superscript"/>
        </w:rPr>
        <w:t xml:space="preserve"> </w:t>
      </w:r>
      <w:r w:rsidRPr="006D0590">
        <w:rPr>
          <w:rFonts w:ascii="Times New Roman" w:hAnsi="Times New Roman" w:cs="Times New Roman"/>
          <w:sz w:val="20"/>
          <w:szCs w:val="20"/>
        </w:rPr>
        <w:t xml:space="preserve">R refers to correlation coefficient which was calculated using the mean of the correlations available for some included studies. Therefore, the value was estimated of r=0·82 and r=0·76 in exercise and control groups at LS, respectively. It also resulted in a within-group correlation of r=0·85 for the exercise group and r=0·96 among control groups at FN. Finally, at TH, r=0·98 and r=0·99 were considered for intervention and control groups, respectively. Using the imputed correlation coefficient values, we thereafter derived unavailable </w:t>
      </w:r>
      <m:oMath>
        <m:sSub>
          <m:sSubPr>
            <m:ctrlPr>
              <w:rPr>
                <w:rFonts w:ascii="Cambria Math" w:hAnsi="Cambria Math" w:cs="Times New Roman"/>
                <w:sz w:val="20"/>
                <w:szCs w:val="20"/>
              </w:rPr>
            </m:ctrlPr>
          </m:sSubPr>
          <m:e>
            <m:r>
              <w:rPr>
                <w:rFonts w:ascii="Cambria Math" w:hAnsi="Cambria Math" w:cs="Times New Roman"/>
                <w:sz w:val="20"/>
                <w:szCs w:val="20"/>
              </w:rPr>
              <m:t>SD</m:t>
            </m:r>
          </m:e>
          <m:sub>
            <m:r>
              <w:rPr>
                <w:rFonts w:ascii="Cambria Math" w:hAnsi="Cambria Math" w:cs="Times New Roman"/>
                <w:sz w:val="20"/>
                <w:szCs w:val="20"/>
              </w:rPr>
              <m:t>change</m:t>
            </m:r>
          </m:sub>
        </m:sSub>
      </m:oMath>
      <w:r w:rsidRPr="006D0590">
        <w:rPr>
          <w:rFonts w:ascii="Times New Roman" w:hAnsi="Times New Roman" w:cs="Times New Roman"/>
          <w:sz w:val="20"/>
          <w:szCs w:val="20"/>
        </w:rPr>
        <w:t xml:space="preserve"> from calculated </w:t>
      </w:r>
      <m:oMath>
        <m:sSub>
          <m:sSubPr>
            <m:ctrlPr>
              <w:rPr>
                <w:rFonts w:ascii="Cambria Math" w:hAnsi="Cambria Math" w:cs="Times New Roman"/>
                <w:sz w:val="20"/>
                <w:szCs w:val="20"/>
              </w:rPr>
            </m:ctrlPr>
          </m:sSubPr>
          <m:e>
            <m:r>
              <w:rPr>
                <w:rFonts w:ascii="Cambria Math" w:hAnsi="Cambria Math" w:cs="Times New Roman"/>
                <w:sz w:val="20"/>
                <w:szCs w:val="20"/>
              </w:rPr>
              <m:t>SD</m:t>
            </m:r>
          </m:e>
          <m:sub>
            <m:r>
              <w:rPr>
                <w:rFonts w:ascii="Cambria Math" w:hAnsi="Cambria Math" w:cs="Times New Roman"/>
                <w:sz w:val="20"/>
                <w:szCs w:val="20"/>
              </w:rPr>
              <m:t>change</m:t>
            </m:r>
          </m:sub>
        </m:sSub>
      </m:oMath>
      <w:r w:rsidRPr="006D0590">
        <w:rPr>
          <w:rFonts w:ascii="Times New Roman" w:hAnsi="Times New Roman" w:cs="Times New Roman"/>
          <w:sz w:val="20"/>
          <w:szCs w:val="20"/>
        </w:rPr>
        <w:t>.</w:t>
      </w:r>
    </w:p>
    <w:p w:rsidR="00E840E8" w:rsidRPr="006D0590" w:rsidRDefault="00B95990" w:rsidP="006D0590">
      <w:pPr>
        <w:autoSpaceDE w:val="0"/>
        <w:autoSpaceDN w:val="0"/>
        <w:adjustRightInd w:val="0"/>
        <w:jc w:val="left"/>
        <w:rPr>
          <w:rFonts w:ascii="Times New Roman" w:hAnsi="Times New Roman" w:cs="Times New Roman"/>
          <w:b/>
          <w:color w:val="000000"/>
          <w:sz w:val="20"/>
          <w:szCs w:val="20"/>
        </w:rPr>
      </w:pPr>
      <w:r w:rsidRPr="006D0590">
        <w:rPr>
          <w:rFonts w:ascii="Times New Roman" w:hAnsi="Times New Roman" w:cs="Times New Roman"/>
          <w:b/>
          <w:color w:val="000000"/>
          <w:sz w:val="20"/>
          <w:szCs w:val="20"/>
        </w:rPr>
        <w:t>Assessment for convergence</w:t>
      </w:r>
    </w:p>
    <w:p w:rsidR="00B95990" w:rsidRPr="006D0590" w:rsidRDefault="00B95990" w:rsidP="006D0590">
      <w:pPr>
        <w:autoSpaceDE w:val="0"/>
        <w:autoSpaceDN w:val="0"/>
        <w:adjustRightInd w:val="0"/>
        <w:jc w:val="left"/>
        <w:rPr>
          <w:rFonts w:ascii="Times New Roman" w:hAnsi="Times New Roman" w:cs="Times New Roman"/>
          <w:sz w:val="20"/>
          <w:szCs w:val="20"/>
        </w:rPr>
        <w:sectPr w:rsidR="00B95990" w:rsidRPr="006D0590">
          <w:footerReference w:type="default" r:id="rId7"/>
          <w:pgSz w:w="11906" w:h="16838"/>
          <w:pgMar w:top="1440" w:right="1800" w:bottom="1440" w:left="1800" w:header="851" w:footer="992" w:gutter="0"/>
          <w:cols w:space="425"/>
          <w:docGrid w:type="lines" w:linePitch="312"/>
        </w:sectPr>
      </w:pPr>
      <w:r w:rsidRPr="006D0590">
        <w:rPr>
          <w:rFonts w:ascii="Times New Roman" w:hAnsi="Times New Roman" w:cs="Times New Roman"/>
          <w:sz w:val="20"/>
          <w:szCs w:val="20"/>
        </w:rPr>
        <w:t>We evaluated convergence according to the Brooks-Gelman-Rubin method. This method calculates the possible scale reduction factor (PSRF) by comparing within- and between-chain variation. Convergence is deemed favorable if PSRF is close to one, and the consistency of the homogeneity model was considered reliable for further analysis. With regard to the inconsistency model, if there is no inconsistency, the random effects variance and inconsistency variance should be roughly equal. If the latter one is bigger, that indicates a problem.</w:t>
      </w:r>
      <w:r w:rsidRPr="006D0590">
        <w:rPr>
          <w:rFonts w:ascii="Times New Roman" w:hAnsi="Times New Roman" w:cs="Times New Roman"/>
          <w:sz w:val="20"/>
          <w:szCs w:val="20"/>
        </w:rPr>
        <w:fldChar w:fldCharType="begin"/>
      </w:r>
      <w:r w:rsidR="0051730B">
        <w:rPr>
          <w:rFonts w:ascii="Times New Roman" w:hAnsi="Times New Roman" w:cs="Times New Roman"/>
          <w:sz w:val="20"/>
          <w:szCs w:val="20"/>
        </w:rPr>
        <w:instrText xml:space="preserve"> ADDIN EN.CITE &lt;EndNote&gt;&lt;Cite&gt;&lt;Author&gt;G&lt;/Author&gt;&lt;Year&gt;2006&lt;/Year&gt;&lt;RecNum&gt;3355&lt;/RecNum&gt;&lt;DisplayText&gt;&lt;style face="superscript"&gt;4&lt;/style&gt;&lt;/DisplayText&gt;&lt;record&gt;&lt;rec-number&gt;3355&lt;/rec-number&gt;&lt;foreign-keys&gt;&lt;key app="EN" db-id="52p5r2s9pf5dtpex0dmv5a5ivx5ev2x5pavv" timestamp="1623591983"&gt;3355&lt;/key&gt;&lt;/foreign-keys&gt;&lt;ref-type name="Journal Article"&gt;17&lt;/ref-type&gt;&lt;contributors&gt;&lt;authors&gt;&lt;author&gt;Lu G&lt;/author&gt;&lt;author&gt;Ades A&lt;/author&gt;&lt;/authors&gt;&lt;/contributors&gt;&lt;titles&gt;&lt;title&gt;Assessing Evidence Inconsistency in Mixed Treatment Comparisons&lt;/title&gt;&lt;secondary-title&gt;J Am Statist Assoc&lt;/secondary-title&gt;&lt;/titles&gt;&lt;periodical&gt;&lt;full-title&gt;J Am Statist Assoc&lt;/full-title&gt;&lt;/periodical&gt;&lt;pages&gt;447-449&lt;/pages&gt;&lt;volume&gt;101&lt;/volume&gt;&lt;dates&gt;&lt;year&gt;2006&lt;/year&gt;&lt;/dates&gt;&lt;urls&gt;&lt;/urls&gt;&lt;/record&gt;&lt;/Cite&gt;&lt;/EndNote&gt;</w:instrText>
      </w:r>
      <w:r w:rsidRPr="006D0590">
        <w:rPr>
          <w:rFonts w:ascii="Times New Roman" w:hAnsi="Times New Roman" w:cs="Times New Roman"/>
          <w:sz w:val="20"/>
          <w:szCs w:val="20"/>
        </w:rPr>
        <w:fldChar w:fldCharType="separate"/>
      </w:r>
      <w:r w:rsidR="0051730B" w:rsidRPr="0051730B">
        <w:rPr>
          <w:rFonts w:ascii="Times New Roman" w:hAnsi="Times New Roman" w:cs="Times New Roman"/>
          <w:noProof/>
          <w:sz w:val="20"/>
          <w:szCs w:val="20"/>
          <w:vertAlign w:val="superscript"/>
        </w:rPr>
        <w:t>4</w:t>
      </w:r>
      <w:r w:rsidRPr="006D0590">
        <w:rPr>
          <w:rFonts w:ascii="Times New Roman" w:hAnsi="Times New Roman" w:cs="Times New Roman"/>
          <w:sz w:val="20"/>
          <w:szCs w:val="20"/>
        </w:rPr>
        <w:fldChar w:fldCharType="end"/>
      </w:r>
      <w:r w:rsidRPr="006D0590">
        <w:rPr>
          <w:rFonts w:ascii="Times New Roman" w:hAnsi="Times New Roman" w:cs="Times New Roman"/>
          <w:sz w:val="20"/>
          <w:szCs w:val="20"/>
        </w:rPr>
        <w:t xml:space="preserve"> The node splitting method was used to further examine the inconsistency between the direct and indirect evidence (with high p values indicating better consistency).</w:t>
      </w:r>
      <w:r w:rsidRPr="006D0590">
        <w:rPr>
          <w:rFonts w:ascii="Times New Roman" w:hAnsi="Times New Roman" w:cs="Times New Roman"/>
          <w:sz w:val="20"/>
          <w:szCs w:val="20"/>
        </w:rPr>
        <w:fldChar w:fldCharType="begin">
          <w:fldData xml:space="preserve">PEVuZE5vdGU+PENpdGU+PEF1dGhvcj52YW4gVmFsa2VuaG9lZjwvQXV0aG9yPjxZZWFyPjIwMTY8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</w:fldData>
        </w:fldChar>
      </w:r>
      <w:r w:rsidR="0051730B">
        <w:rPr>
          <w:rFonts w:ascii="Times New Roman" w:hAnsi="Times New Roman" w:cs="Times New Roman"/>
          <w:sz w:val="20"/>
          <w:szCs w:val="20"/>
        </w:rPr>
        <w:instrText xml:space="preserve"> ADDIN EN.CITE </w:instrText>
      </w:r>
      <w:r w:rsidR="0051730B">
        <w:rPr>
          <w:rFonts w:ascii="Times New Roman" w:hAnsi="Times New Roman" w:cs="Times New Roman"/>
          <w:sz w:val="20"/>
          <w:szCs w:val="20"/>
        </w:rPr>
        <w:fldChar w:fldCharType="begin">
          <w:fldData xml:space="preserve">PEVuZE5vdGU+PENpdGU+PEF1dGhvcj52YW4gVmFsa2VuaG9lZjwvQXV0aG9yPjxZZWFyPjIwMTY8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</w:fldData>
        </w:fldChar>
      </w:r>
      <w:r w:rsidR="0051730B">
        <w:rPr>
          <w:rFonts w:ascii="Times New Roman" w:hAnsi="Times New Roman" w:cs="Times New Roman"/>
          <w:sz w:val="20"/>
          <w:szCs w:val="20"/>
        </w:rPr>
        <w:instrText xml:space="preserve"> ADDIN EN.CITE.DATA </w:instrText>
      </w:r>
      <w:r w:rsidR="0051730B">
        <w:rPr>
          <w:rFonts w:ascii="Times New Roman" w:hAnsi="Times New Roman" w:cs="Times New Roman"/>
          <w:sz w:val="20"/>
          <w:szCs w:val="20"/>
        </w:rPr>
      </w:r>
      <w:r w:rsidR="0051730B">
        <w:rPr>
          <w:rFonts w:ascii="Times New Roman" w:hAnsi="Times New Roman" w:cs="Times New Roman"/>
          <w:sz w:val="20"/>
          <w:szCs w:val="20"/>
        </w:rPr>
        <w:fldChar w:fldCharType="end"/>
      </w:r>
      <w:r w:rsidRPr="006D0590">
        <w:rPr>
          <w:rFonts w:ascii="Times New Roman" w:hAnsi="Times New Roman" w:cs="Times New Roman"/>
          <w:sz w:val="20"/>
          <w:szCs w:val="20"/>
        </w:rPr>
        <w:fldChar w:fldCharType="separate"/>
      </w:r>
      <w:r w:rsidR="0051730B" w:rsidRPr="0051730B">
        <w:rPr>
          <w:rFonts w:ascii="Times New Roman" w:hAnsi="Times New Roman" w:cs="Times New Roman"/>
          <w:noProof/>
          <w:sz w:val="20"/>
          <w:szCs w:val="20"/>
          <w:vertAlign w:val="superscript"/>
        </w:rPr>
        <w:t>5</w:t>
      </w:r>
      <w:r w:rsidRPr="006D0590">
        <w:rPr>
          <w:rFonts w:ascii="Times New Roman" w:hAnsi="Times New Roman" w:cs="Times New Roman"/>
          <w:sz w:val="20"/>
          <w:szCs w:val="20"/>
        </w:rPr>
        <w:fldChar w:fldCharType="end"/>
      </w:r>
    </w:p>
    <w:p w:rsidR="006E2CD6" w:rsidRPr="00172ABA" w:rsidRDefault="006E2CD6" w:rsidP="00172ABA">
      <w:pPr>
        <w:pStyle w:val="2"/>
        <w:rPr>
          <w:rFonts w:ascii="Times New Roman" w:hAnsi="Times New Roman" w:cs="Times New Roman"/>
          <w:sz w:val="24"/>
          <w:szCs w:val="24"/>
        </w:rPr>
      </w:pPr>
      <w:bookmarkStart w:id="49" w:name="_Toc74521925"/>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 xml:space="preserve">ppendix 3: </w:t>
      </w:r>
      <w:r w:rsidR="004912EB" w:rsidRPr="00172ABA">
        <w:rPr>
          <w:rFonts w:ascii="Times New Roman" w:hAnsi="Times New Roman" w:cs="Times New Roman"/>
          <w:sz w:val="24"/>
          <w:szCs w:val="24"/>
        </w:rPr>
        <w:t>Flowchart of literature search and study selection.</w:t>
      </w:r>
      <w:bookmarkEnd w:id="49"/>
    </w:p>
    <w:p w:rsidR="006E2CD6" w:rsidRDefault="006E2CD6" w:rsidP="00F7342E">
      <w:pPr>
        <w:autoSpaceDE w:val="0"/>
        <w:autoSpaceDN w:val="0"/>
        <w:adjustRightInd w:val="0"/>
        <w:jc w:val="left"/>
        <w:rPr>
          <w:rFonts w:ascii="Times New Roman" w:hAnsi="Times New Roman" w:cs="Times New Roman"/>
          <w:b/>
          <w:color w:val="000000"/>
          <w:sz w:val="24"/>
          <w:szCs w:val="24"/>
        </w:rPr>
      </w:pPr>
    </w:p>
    <w:p w:rsidR="006E2CD6" w:rsidRPr="006E2CD6" w:rsidRDefault="004912EB" w:rsidP="00F7342E">
      <w:pPr>
        <w:autoSpaceDE w:val="0"/>
        <w:autoSpaceDN w:val="0"/>
        <w:adjustRightInd w:val="0"/>
        <w:jc w:val="left"/>
        <w:rPr>
          <w:rFonts w:ascii="Times New Roman" w:hAnsi="Times New Roman" w:cs="Times New Roman"/>
          <w:b/>
          <w:color w:val="000000"/>
          <w:sz w:val="24"/>
          <w:szCs w:val="24"/>
        </w:rPr>
        <w:sectPr w:rsidR="006E2CD6" w:rsidRPr="006E2CD6">
          <w:pgSz w:w="11906" w:h="16838"/>
          <w:pgMar w:top="1440" w:right="1800" w:bottom="1440" w:left="1800" w:header="851" w:footer="992" w:gutter="0"/>
          <w:cols w:space="425"/>
          <w:docGrid w:type="lines" w:linePitch="312"/>
        </w:sectPr>
      </w:pPr>
      <w:r w:rsidRPr="004912EB">
        <w:rPr>
          <w:rFonts w:ascii="Times New Roman" w:hAnsi="Times New Roman" w:cs="Times New Roman"/>
          <w:b/>
          <w:noProof/>
          <w:color w:val="000000"/>
          <w:sz w:val="24"/>
          <w:szCs w:val="24"/>
        </w:rPr>
        <w:drawing>
          <wp:inline distT="0" distB="0" distL="0" distR="0" wp14:anchorId="5C937D52" wp14:editId="718F9227">
            <wp:extent cx="5274310" cy="461518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615180"/>
                    </a:xfrm>
                    <a:prstGeom prst="rect">
                      <a:avLst/>
                    </a:prstGeom>
                  </pic:spPr>
                </pic:pic>
              </a:graphicData>
            </a:graphic>
          </wp:inline>
        </w:drawing>
      </w:r>
    </w:p>
    <w:p w:rsidR="00F7342E" w:rsidRPr="00172ABA" w:rsidRDefault="00F7342E" w:rsidP="00172ABA">
      <w:pPr>
        <w:pStyle w:val="2"/>
        <w:rPr>
          <w:rFonts w:ascii="Times New Roman" w:hAnsi="Times New Roman" w:cs="Times New Roman"/>
          <w:sz w:val="24"/>
          <w:szCs w:val="24"/>
        </w:rPr>
      </w:pPr>
      <w:bookmarkStart w:id="50" w:name="_Toc74521926"/>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 xml:space="preserve">ppendix </w:t>
      </w:r>
      <w:r w:rsidR="006E2CD6" w:rsidRPr="00172ABA">
        <w:rPr>
          <w:rFonts w:ascii="Times New Roman" w:hAnsi="Times New Roman" w:cs="Times New Roman"/>
          <w:sz w:val="24"/>
          <w:szCs w:val="24"/>
        </w:rPr>
        <w:t>4</w:t>
      </w:r>
      <w:r w:rsidRPr="00172ABA">
        <w:rPr>
          <w:rFonts w:ascii="Times New Roman" w:hAnsi="Times New Roman" w:cs="Times New Roman"/>
          <w:sz w:val="24"/>
          <w:szCs w:val="24"/>
        </w:rPr>
        <w:t>: Details of included and excluded studies</w:t>
      </w:r>
      <w:bookmarkEnd w:id="50"/>
    </w:p>
    <w:p w:rsidR="00710C65" w:rsidRPr="00C350AE" w:rsidRDefault="00F7342E" w:rsidP="00F7218D">
      <w:pPr>
        <w:rPr>
          <w:rFonts w:ascii="Times New Roman" w:hAnsi="Times New Roman" w:cs="Times New Roman"/>
          <w:b/>
          <w:sz w:val="20"/>
          <w:szCs w:val="16"/>
        </w:rPr>
      </w:pPr>
      <w:r w:rsidRPr="00C350AE">
        <w:rPr>
          <w:rFonts w:ascii="Times New Roman" w:hAnsi="Times New Roman" w:cs="Times New Roman"/>
          <w:b/>
          <w:sz w:val="20"/>
          <w:szCs w:val="16"/>
        </w:rPr>
        <w:t>2.1 list of include studies</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w:t>
      </w:r>
      <w:r w:rsidRPr="00C350AE">
        <w:rPr>
          <w:rFonts w:ascii="Times New Roman" w:hAnsi="Times New Roman" w:cs="Times New Roman"/>
          <w:szCs w:val="20"/>
        </w:rPr>
        <w:tab/>
        <w:t>Sen EI, Esmaeilzadeh S, Eskiyurt N. Effects of whole-body vibration and high impact exercises on the bone metabolism and functional mobility in postmenopausal women. Journal of Bone &amp; Mineral Metabolism. 2020;</w:t>
      </w:r>
      <w:r w:rsidRPr="00C350AE">
        <w:rPr>
          <w:rFonts w:ascii="Times New Roman" w:hAnsi="Times New Roman" w:cs="Times New Roman"/>
          <w:b/>
          <w:szCs w:val="20"/>
        </w:rPr>
        <w:t>38</w:t>
      </w:r>
      <w:r w:rsidRPr="00C350AE">
        <w:rPr>
          <w:rFonts w:ascii="Times New Roman" w:hAnsi="Times New Roman" w:cs="Times New Roman"/>
          <w:szCs w:val="20"/>
        </w:rPr>
        <w:t>(3):392-404.</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w:t>
      </w:r>
      <w:r w:rsidRPr="00C350AE">
        <w:rPr>
          <w:rFonts w:ascii="Times New Roman" w:hAnsi="Times New Roman" w:cs="Times New Roman"/>
          <w:szCs w:val="20"/>
        </w:rPr>
        <w:tab/>
        <w:t>Montgomery GJ, Abt G, Dobson CA, Evans WJ, Aye M, Ditroilo M. A 12-month continuous and intermittent high-impact exercise intervention and its effects on bone mineral density in early postmenopausal women: a feasibility randomized controlled trial. Journal of Sports Medicine &amp; Physical Fitness. 2020;</w:t>
      </w:r>
      <w:r w:rsidRPr="00C350AE">
        <w:rPr>
          <w:rFonts w:ascii="Times New Roman" w:hAnsi="Times New Roman" w:cs="Times New Roman"/>
          <w:b/>
          <w:szCs w:val="20"/>
        </w:rPr>
        <w:t>60</w:t>
      </w:r>
      <w:r w:rsidRPr="00C350AE">
        <w:rPr>
          <w:rFonts w:ascii="Times New Roman" w:hAnsi="Times New Roman" w:cs="Times New Roman"/>
          <w:szCs w:val="20"/>
        </w:rPr>
        <w:t>(5):770-78.</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w:t>
      </w:r>
      <w:r w:rsidRPr="00C350AE">
        <w:rPr>
          <w:rFonts w:ascii="Times New Roman" w:hAnsi="Times New Roman" w:cs="Times New Roman"/>
          <w:szCs w:val="20"/>
        </w:rPr>
        <w:tab/>
        <w:t>ElDeeb AM, Abdel-Aziem AA. Effect of Whole-Body Vibration Exercise on Power Profile and Bone Mineral Density in Postmenopausal Women With Osteoporosis: A Randomized Controlled Trial. Journal of Manipulative &amp; Physiological Therapeutics. 2020;</w:t>
      </w:r>
      <w:r w:rsidRPr="00C350AE">
        <w:rPr>
          <w:rFonts w:ascii="Times New Roman" w:hAnsi="Times New Roman" w:cs="Times New Roman"/>
          <w:b/>
          <w:szCs w:val="20"/>
        </w:rPr>
        <w:t>43</w:t>
      </w:r>
      <w:r w:rsidRPr="00C350AE">
        <w:rPr>
          <w:rFonts w:ascii="Times New Roman" w:hAnsi="Times New Roman" w:cs="Times New Roman"/>
          <w:szCs w:val="20"/>
        </w:rPr>
        <w:t>(4):384-93.</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w:t>
      </w:r>
      <w:r w:rsidRPr="00C350AE">
        <w:rPr>
          <w:rFonts w:ascii="Times New Roman" w:hAnsi="Times New Roman" w:cs="Times New Roman"/>
          <w:szCs w:val="20"/>
        </w:rPr>
        <w:tab/>
        <w:t>de Oliveira LC, de Oliveira RG, de Almeida Pires-Oliveira DA. Effects of Whole-Body Vibration Versus Pilates Exercise on Bone Mineral Density in Postmenopausal Women: A Randomized and Controlled Clinical Trial. Journal of Geriatric Physical Therapy. 2019;</w:t>
      </w:r>
      <w:r w:rsidRPr="00C350AE">
        <w:rPr>
          <w:rFonts w:ascii="Times New Roman" w:hAnsi="Times New Roman" w:cs="Times New Roman"/>
          <w:b/>
          <w:szCs w:val="20"/>
        </w:rPr>
        <w:t>42</w:t>
      </w:r>
      <w:r w:rsidRPr="00C350AE">
        <w:rPr>
          <w:rFonts w:ascii="Times New Roman" w:hAnsi="Times New Roman" w:cs="Times New Roman"/>
          <w:szCs w:val="20"/>
        </w:rPr>
        <w:t>(2):E23-E31.</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w:t>
      </w:r>
      <w:r w:rsidRPr="00C350AE">
        <w:rPr>
          <w:rFonts w:ascii="Times New Roman" w:hAnsi="Times New Roman" w:cs="Times New Roman"/>
          <w:szCs w:val="20"/>
        </w:rPr>
        <w:tab/>
        <w:t>Duff WRD, Kontulainen SA, Candow DG, Gordon JJ, Mason RS, Taylor-Gjevre R, et al. Effects of low-dose ibuprofen supplementation and resistance training on bone and muscle in postmenopausal women: A randomized controlled trial. Bone Report. 2016;</w:t>
      </w:r>
      <w:r w:rsidRPr="00C350AE">
        <w:rPr>
          <w:rFonts w:ascii="Times New Roman" w:hAnsi="Times New Roman" w:cs="Times New Roman"/>
          <w:b/>
          <w:szCs w:val="20"/>
        </w:rPr>
        <w:t>5</w:t>
      </w:r>
      <w:r w:rsidRPr="00C350AE">
        <w:rPr>
          <w:rFonts w:ascii="Times New Roman" w:hAnsi="Times New Roman" w:cs="Times New Roman"/>
          <w:szCs w:val="20"/>
        </w:rPr>
        <w:t>:96-103.</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w:t>
      </w:r>
      <w:r w:rsidRPr="00C350AE">
        <w:rPr>
          <w:rFonts w:ascii="Times New Roman" w:hAnsi="Times New Roman" w:cs="Times New Roman"/>
          <w:szCs w:val="20"/>
        </w:rPr>
        <w:tab/>
        <w:t>Wang H, Yu B, Chen W, Lu Y, Yu D. Simplified Tai Chi resistance training versus traditional Tai Chi in slowing bone loss in postmenopausal women. Evidence-based Complementary and Alternative Medicine. 2015;</w:t>
      </w:r>
      <w:r w:rsidRPr="00C350AE">
        <w:rPr>
          <w:rFonts w:ascii="Times New Roman" w:hAnsi="Times New Roman" w:cs="Times New Roman"/>
          <w:b/>
          <w:szCs w:val="20"/>
        </w:rPr>
        <w:t>2015 (no pagination)</w:t>
      </w:r>
      <w:r w:rsidRPr="00C350AE">
        <w:rPr>
          <w:rFonts w:ascii="Times New Roman" w:hAnsi="Times New Roman" w:cs="Times New Roman"/>
          <w:szCs w:val="20"/>
        </w:rPr>
        <w:t>.</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w:t>
      </w:r>
      <w:r w:rsidRPr="00C350AE">
        <w:rPr>
          <w:rFonts w:ascii="Times New Roman" w:hAnsi="Times New Roman" w:cs="Times New Roman"/>
          <w:szCs w:val="20"/>
        </w:rPr>
        <w:tab/>
        <w:t>Nicholson VP, McKean MR, Slater GJ, Kerr A, Burkett BJ. Low-Load Very High-Repetition Resistance Training Attenuates Bone Loss at the Lumbar Spine in Active Post-menopausal Women. Calcified Tissue International. 2015;</w:t>
      </w:r>
      <w:r w:rsidRPr="00C350AE">
        <w:rPr>
          <w:rFonts w:ascii="Times New Roman" w:hAnsi="Times New Roman" w:cs="Times New Roman"/>
          <w:b/>
          <w:szCs w:val="20"/>
        </w:rPr>
        <w:t>96</w:t>
      </w:r>
      <w:r w:rsidRPr="00C350AE">
        <w:rPr>
          <w:rFonts w:ascii="Times New Roman" w:hAnsi="Times New Roman" w:cs="Times New Roman"/>
          <w:szCs w:val="20"/>
        </w:rPr>
        <w:t>(6):490-9.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8.</w:t>
      </w:r>
      <w:r w:rsidRPr="00C350AE">
        <w:rPr>
          <w:rFonts w:ascii="Times New Roman" w:hAnsi="Times New Roman" w:cs="Times New Roman"/>
          <w:szCs w:val="20"/>
        </w:rPr>
        <w:tab/>
        <w:t>Liu B-X, Chen S-P, Li Y-D, Wang J, Zhang B, Lin Y, et al. The Effect of the Modified Eighth Section of Eight-Section Brocade on Osteoporosis in Postmenopausal Women: A Prospective Randomized Trial. Medicine. 2015;</w:t>
      </w:r>
      <w:r w:rsidRPr="00C350AE">
        <w:rPr>
          <w:rFonts w:ascii="Times New Roman" w:hAnsi="Times New Roman" w:cs="Times New Roman"/>
          <w:b/>
          <w:szCs w:val="20"/>
        </w:rPr>
        <w:t>94</w:t>
      </w:r>
      <w:r w:rsidRPr="00C350AE">
        <w:rPr>
          <w:rFonts w:ascii="Times New Roman" w:hAnsi="Times New Roman" w:cs="Times New Roman"/>
          <w:szCs w:val="20"/>
        </w:rPr>
        <w:t>(25):e991.</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9.</w:t>
      </w:r>
      <w:r w:rsidRPr="00C350AE">
        <w:rPr>
          <w:rFonts w:ascii="Times New Roman" w:hAnsi="Times New Roman" w:cs="Times New Roman"/>
          <w:szCs w:val="20"/>
        </w:rPr>
        <w:tab/>
        <w:t>Moreira LDF, Fronza FCAO, Dos Santos RN, Zach PL, Kunii IS, Hayashi LF, et al. The benefits of a high-intensity aquatic exercise program (HydrOS) for bone metabolism and bone mass of postmenopausal women. Journal of Bone &amp; Mineral Metabolism. 2014;</w:t>
      </w:r>
      <w:r w:rsidRPr="00C350AE">
        <w:rPr>
          <w:rFonts w:ascii="Times New Roman" w:hAnsi="Times New Roman" w:cs="Times New Roman"/>
          <w:b/>
          <w:szCs w:val="20"/>
        </w:rPr>
        <w:t>32</w:t>
      </w:r>
      <w:r w:rsidRPr="00C350AE">
        <w:rPr>
          <w:rFonts w:ascii="Times New Roman" w:hAnsi="Times New Roman" w:cs="Times New Roman"/>
          <w:szCs w:val="20"/>
        </w:rPr>
        <w:t>(4):411-9.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10.</w:t>
      </w:r>
      <w:r w:rsidRPr="00C350AE">
        <w:rPr>
          <w:rFonts w:ascii="Times New Roman" w:hAnsi="Times New Roman" w:cs="Times New Roman"/>
          <w:szCs w:val="20"/>
        </w:rPr>
        <w:tab/>
        <w:t>Lai C-L, Tseng S-Y, Chen C-N, Liao W-C, Wang C-H, Lee M-C, et al. Effect of 6 months of whole body vibration on lumbar spine bone density in postmenopausal women: a randomized controlled trial. Clinical Interventions In Aging. 2013;</w:t>
      </w:r>
      <w:r w:rsidRPr="00C350AE">
        <w:rPr>
          <w:rFonts w:ascii="Times New Roman" w:hAnsi="Times New Roman" w:cs="Times New Roman"/>
          <w:b/>
          <w:szCs w:val="20"/>
        </w:rPr>
        <w:t>8</w:t>
      </w:r>
      <w:r w:rsidRPr="00C350AE">
        <w:rPr>
          <w:rFonts w:ascii="Times New Roman" w:hAnsi="Times New Roman" w:cs="Times New Roman"/>
          <w:szCs w:val="20"/>
        </w:rPr>
        <w:t>:1603-9.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11.</w:t>
      </w:r>
      <w:r w:rsidRPr="00C350AE">
        <w:rPr>
          <w:rFonts w:ascii="Times New Roman" w:hAnsi="Times New Roman" w:cs="Times New Roman"/>
          <w:szCs w:val="20"/>
        </w:rPr>
        <w:tab/>
        <w:t>Kemmler W, Bebenek M, von Stengel S, Engelke K, Kalender WA. Effect of block-periodized exercise training on bone and coronary heart disease risk factors in early post-menopausal women: a randomized controlled study. Scandinavian Journal of Medicine &amp; Science in Sports. 2013;</w:t>
      </w:r>
      <w:r w:rsidRPr="00C350AE">
        <w:rPr>
          <w:rFonts w:ascii="Times New Roman" w:hAnsi="Times New Roman" w:cs="Times New Roman"/>
          <w:b/>
          <w:szCs w:val="20"/>
        </w:rPr>
        <w:t>23</w:t>
      </w:r>
      <w:r w:rsidRPr="00C350AE">
        <w:rPr>
          <w:rFonts w:ascii="Times New Roman" w:hAnsi="Times New Roman" w:cs="Times New Roman"/>
          <w:szCs w:val="20"/>
        </w:rPr>
        <w:t>(1):121-9.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12.</w:t>
      </w:r>
      <w:r w:rsidRPr="00C350AE">
        <w:rPr>
          <w:rFonts w:ascii="Times New Roman" w:hAnsi="Times New Roman" w:cs="Times New Roman"/>
          <w:szCs w:val="20"/>
        </w:rPr>
        <w:tab/>
        <w:t>F O, E P-N, J N-N, C O, A T. Effects of isoflavone and counter-resistance training on bone mineral density in postmenopausal women. Rev Bras Cineantropom Desempenho Hum. 2013;</w:t>
      </w:r>
      <w:r w:rsidRPr="00C350AE">
        <w:rPr>
          <w:rFonts w:ascii="Times New Roman" w:hAnsi="Times New Roman" w:cs="Times New Roman"/>
          <w:b/>
          <w:szCs w:val="20"/>
        </w:rPr>
        <w:t>15</w:t>
      </w:r>
      <w:r w:rsidRPr="00C350AE">
        <w:rPr>
          <w:rFonts w:ascii="Times New Roman" w:hAnsi="Times New Roman" w:cs="Times New Roman"/>
          <w:szCs w:val="20"/>
        </w:rPr>
        <w:t>:726–36.</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13.</w:t>
      </w:r>
      <w:r w:rsidRPr="00C350AE">
        <w:rPr>
          <w:rFonts w:ascii="Times New Roman" w:hAnsi="Times New Roman" w:cs="Times New Roman"/>
          <w:szCs w:val="20"/>
        </w:rPr>
        <w:tab/>
        <w:t xml:space="preserve">Chilibeck PD, Vatanparast H, Pierson R, Case A, Olatunbosun O, Whiting SJ, et al. Effect of exercise training combined with isoflavone supplementation on bone and lipids in postmenopausal </w:t>
      </w:r>
      <w:r w:rsidRPr="00C350AE">
        <w:rPr>
          <w:rFonts w:ascii="Times New Roman" w:hAnsi="Times New Roman" w:cs="Times New Roman"/>
          <w:szCs w:val="20"/>
        </w:rPr>
        <w:lastRenderedPageBreak/>
        <w:t>women: a randomized clinical trial. Journal of Bone &amp; Mineral Research. 2013;</w:t>
      </w:r>
      <w:r w:rsidRPr="00C350AE">
        <w:rPr>
          <w:rFonts w:ascii="Times New Roman" w:hAnsi="Times New Roman" w:cs="Times New Roman"/>
          <w:b/>
          <w:szCs w:val="20"/>
        </w:rPr>
        <w:t>28</w:t>
      </w:r>
      <w:r w:rsidRPr="00C350AE">
        <w:rPr>
          <w:rFonts w:ascii="Times New Roman" w:hAnsi="Times New Roman" w:cs="Times New Roman"/>
          <w:szCs w:val="20"/>
        </w:rPr>
        <w:t>(4):780-93.</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14.</w:t>
      </w:r>
      <w:r w:rsidRPr="00C350AE">
        <w:rPr>
          <w:rFonts w:ascii="Times New Roman" w:hAnsi="Times New Roman" w:cs="Times New Roman"/>
          <w:szCs w:val="20"/>
        </w:rPr>
        <w:tab/>
        <w:t>Basat H, Esmaeilzadeh S, Eskiyurt N. The effects of strengthening and high-impact exercises on bone metabolism and quality of life in postmenopausal women: a randomized controlled trial. Journal of Back &amp; Musculoskeletal Rehabilitation. 2013;</w:t>
      </w:r>
      <w:r w:rsidRPr="00C350AE">
        <w:rPr>
          <w:rFonts w:ascii="Times New Roman" w:hAnsi="Times New Roman" w:cs="Times New Roman"/>
          <w:b/>
          <w:szCs w:val="20"/>
        </w:rPr>
        <w:t>26</w:t>
      </w:r>
      <w:r w:rsidRPr="00C350AE">
        <w:rPr>
          <w:rFonts w:ascii="Times New Roman" w:hAnsi="Times New Roman" w:cs="Times New Roman"/>
          <w:szCs w:val="20"/>
        </w:rPr>
        <w:t>(4):427-35.</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15.</w:t>
      </w:r>
      <w:r w:rsidRPr="00C350AE">
        <w:rPr>
          <w:rFonts w:ascii="Times New Roman" w:hAnsi="Times New Roman" w:cs="Times New Roman"/>
          <w:szCs w:val="20"/>
        </w:rPr>
        <w:tab/>
        <w:t>Wayne PM, Kiel DP, Buring JE, Connors EM, Bonato P, Yeh GY, et al. Impact of Tai Chi exercise on multiple fracture-related risk factors in post-menopausal osteopenic women: a pilot pragmatic, randomized trial. BMC Complementary &amp; Alternative Medicine. 2012;</w:t>
      </w:r>
      <w:r w:rsidRPr="00C350AE">
        <w:rPr>
          <w:rFonts w:ascii="Times New Roman" w:hAnsi="Times New Roman" w:cs="Times New Roman"/>
          <w:b/>
          <w:szCs w:val="20"/>
        </w:rPr>
        <w:t>12</w:t>
      </w:r>
      <w:r w:rsidRPr="00C350AE">
        <w:rPr>
          <w:rFonts w:ascii="Times New Roman" w:hAnsi="Times New Roman" w:cs="Times New Roman"/>
          <w:szCs w:val="20"/>
        </w:rPr>
        <w:t>:7.</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16.</w:t>
      </w:r>
      <w:r w:rsidRPr="00C350AE">
        <w:rPr>
          <w:rFonts w:ascii="Times New Roman" w:hAnsi="Times New Roman" w:cs="Times New Roman"/>
          <w:szCs w:val="20"/>
        </w:rPr>
        <w:tab/>
        <w:t>Karakiriou SK, Douda HT, Smilios IG, Volaklis KA, Tokmakidis SP. Effects of vibration and exercise training on bone mineral density and muscle strength in post-menopausal women. European Journal of Sport Science. 2012;</w:t>
      </w:r>
      <w:r w:rsidRPr="00C350AE">
        <w:rPr>
          <w:rFonts w:ascii="Times New Roman" w:hAnsi="Times New Roman" w:cs="Times New Roman"/>
          <w:b/>
          <w:szCs w:val="20"/>
        </w:rPr>
        <w:t>12</w:t>
      </w:r>
      <w:r w:rsidRPr="00C350AE">
        <w:rPr>
          <w:rFonts w:ascii="Times New Roman" w:hAnsi="Times New Roman" w:cs="Times New Roman"/>
          <w:szCs w:val="20"/>
        </w:rPr>
        <w:t>(1):81-88.</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17.</w:t>
      </w:r>
      <w:r w:rsidRPr="00C350AE">
        <w:rPr>
          <w:rFonts w:ascii="Times New Roman" w:hAnsi="Times New Roman" w:cs="Times New Roman"/>
          <w:szCs w:val="20"/>
        </w:rPr>
        <w:tab/>
        <w:t>Bolton KL, Egerton T, Wark J, Wee E, Matthews B, Kelly A, et al. Effects of exercise on bone density and falls risk factors in post-menopausal women with osteopenia: a randomised controlled trial. Journal of Science &amp; Medicine in Sport. 2012;</w:t>
      </w:r>
      <w:r w:rsidRPr="00C350AE">
        <w:rPr>
          <w:rFonts w:ascii="Times New Roman" w:hAnsi="Times New Roman" w:cs="Times New Roman"/>
          <w:b/>
          <w:szCs w:val="20"/>
        </w:rPr>
        <w:t>15</w:t>
      </w:r>
      <w:r w:rsidRPr="00C350AE">
        <w:rPr>
          <w:rFonts w:ascii="Times New Roman" w:hAnsi="Times New Roman" w:cs="Times New Roman"/>
          <w:szCs w:val="20"/>
        </w:rPr>
        <w:t>(2):102-9.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18.</w:t>
      </w:r>
      <w:r w:rsidRPr="00C350AE">
        <w:rPr>
          <w:rFonts w:ascii="Times New Roman" w:hAnsi="Times New Roman" w:cs="Times New Roman"/>
          <w:szCs w:val="20"/>
        </w:rPr>
        <w:tab/>
        <w:t>von Stengel S, Kemmler W, Engelke K, Kalender WA. Effects of whole body vibration on bone mineral density and falls: results of the randomized controlled ELVIS study with postmenopausal women. Osteoporosis International. 2011;</w:t>
      </w:r>
      <w:r w:rsidRPr="00C350AE">
        <w:rPr>
          <w:rFonts w:ascii="Times New Roman" w:hAnsi="Times New Roman" w:cs="Times New Roman"/>
          <w:b/>
          <w:szCs w:val="20"/>
        </w:rPr>
        <w:t>22</w:t>
      </w:r>
      <w:r w:rsidRPr="00C350AE">
        <w:rPr>
          <w:rFonts w:ascii="Times New Roman" w:hAnsi="Times New Roman" w:cs="Times New Roman"/>
          <w:szCs w:val="20"/>
        </w:rPr>
        <w:t>(1):317-25.</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19.</w:t>
      </w:r>
      <w:r w:rsidRPr="00C350AE">
        <w:rPr>
          <w:rFonts w:ascii="Times New Roman" w:hAnsi="Times New Roman" w:cs="Times New Roman"/>
          <w:szCs w:val="20"/>
        </w:rPr>
        <w:tab/>
        <w:t>Von Stengel S, Kemmler W, Bebenek M, Engelke K, Kalender WA. Effects of whole-body vibration training on different devices on bone mineral density. Medicine &amp; Science in Sports &amp; Exercise. 2011;</w:t>
      </w:r>
      <w:r w:rsidRPr="00C350AE">
        <w:rPr>
          <w:rFonts w:ascii="Times New Roman" w:hAnsi="Times New Roman" w:cs="Times New Roman"/>
          <w:b/>
          <w:szCs w:val="20"/>
        </w:rPr>
        <w:t>43</w:t>
      </w:r>
      <w:r w:rsidRPr="00C350AE">
        <w:rPr>
          <w:rFonts w:ascii="Times New Roman" w:hAnsi="Times New Roman" w:cs="Times New Roman"/>
          <w:szCs w:val="20"/>
        </w:rPr>
        <w:t>(6):1071-9.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20.</w:t>
      </w:r>
      <w:r w:rsidRPr="00C350AE">
        <w:rPr>
          <w:rFonts w:ascii="Times New Roman" w:hAnsi="Times New Roman" w:cs="Times New Roman"/>
          <w:szCs w:val="20"/>
        </w:rPr>
        <w:tab/>
        <w:t>Tartibian B, Hajizadeh Maleki B, Kanaley J, Sadeghi K. Long-term aerobic exercise and omega-3 supplementation modulate osteoporosis through inflammatory mechanisms in post-menopausal women: a randomized, repeated measures study. Nutrition &amp; Metabolism. 2011;</w:t>
      </w:r>
      <w:r w:rsidRPr="00C350AE">
        <w:rPr>
          <w:rFonts w:ascii="Times New Roman" w:hAnsi="Times New Roman" w:cs="Times New Roman"/>
          <w:b/>
          <w:szCs w:val="20"/>
        </w:rPr>
        <w:t>8</w:t>
      </w:r>
      <w:r w:rsidRPr="00C350AE">
        <w:rPr>
          <w:rFonts w:ascii="Times New Roman" w:hAnsi="Times New Roman" w:cs="Times New Roman"/>
          <w:szCs w:val="20"/>
        </w:rPr>
        <w:t>:71.</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21.</w:t>
      </w:r>
      <w:r w:rsidRPr="00C350AE">
        <w:rPr>
          <w:rFonts w:ascii="Times New Roman" w:hAnsi="Times New Roman" w:cs="Times New Roman"/>
          <w:szCs w:val="20"/>
        </w:rPr>
        <w:tab/>
        <w:t>Slatkovska L, Alibhai SMH, Beyene J, Hu H, Demaras A, Cheung AM. Effect of 12 months of whole-body vibration therapy on bone density and structure in postmenopausal women: a randomized trial. Annals of Internal Medicine. 2011;</w:t>
      </w:r>
      <w:r w:rsidRPr="00C350AE">
        <w:rPr>
          <w:rFonts w:ascii="Times New Roman" w:hAnsi="Times New Roman" w:cs="Times New Roman"/>
          <w:b/>
          <w:szCs w:val="20"/>
        </w:rPr>
        <w:t>155</w:t>
      </w:r>
      <w:r w:rsidRPr="00C350AE">
        <w:rPr>
          <w:rFonts w:ascii="Times New Roman" w:hAnsi="Times New Roman" w:cs="Times New Roman"/>
          <w:szCs w:val="20"/>
        </w:rPr>
        <w:t>(10):668-79, W205.</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22.</w:t>
      </w:r>
      <w:r w:rsidRPr="00C350AE">
        <w:rPr>
          <w:rFonts w:ascii="Times New Roman" w:hAnsi="Times New Roman" w:cs="Times New Roman"/>
          <w:szCs w:val="20"/>
        </w:rPr>
        <w:tab/>
        <w:t>Marques EA, Wanderley F, Machado L, Sousa F, Viana JL, Moreira-Goncalves D, et al. Effects of resistance and aerobic exercise on physical function, bone mineral density, OPG and RANKL in older women. Exp Gerontol. 2011;</w:t>
      </w:r>
      <w:r w:rsidRPr="00C350AE">
        <w:rPr>
          <w:rFonts w:ascii="Times New Roman" w:hAnsi="Times New Roman" w:cs="Times New Roman"/>
          <w:b/>
          <w:szCs w:val="20"/>
        </w:rPr>
        <w:t>46</w:t>
      </w:r>
      <w:r w:rsidRPr="00C350AE">
        <w:rPr>
          <w:rFonts w:ascii="Times New Roman" w:hAnsi="Times New Roman" w:cs="Times New Roman"/>
          <w:szCs w:val="20"/>
        </w:rPr>
        <w:t>(7):524-32.</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23.</w:t>
      </w:r>
      <w:r w:rsidRPr="00C350AE">
        <w:rPr>
          <w:rFonts w:ascii="Times New Roman" w:hAnsi="Times New Roman" w:cs="Times New Roman"/>
          <w:szCs w:val="20"/>
        </w:rPr>
        <w:tab/>
        <w:t>Marques EA, Mota J, Machado L, Sousa F, Coelho M, Moreira P, et al. Multicomponent training program with weight-bearing exercises elicits favorable bone density, muscle strength, and balance adaptations in older women. Calcif Tissue Int. 2011;</w:t>
      </w:r>
      <w:r w:rsidRPr="00C350AE">
        <w:rPr>
          <w:rFonts w:ascii="Times New Roman" w:hAnsi="Times New Roman" w:cs="Times New Roman"/>
          <w:b/>
          <w:szCs w:val="20"/>
        </w:rPr>
        <w:t>88</w:t>
      </w:r>
      <w:r w:rsidRPr="00C350AE">
        <w:rPr>
          <w:rFonts w:ascii="Times New Roman" w:hAnsi="Times New Roman" w:cs="Times New Roman"/>
          <w:szCs w:val="20"/>
        </w:rPr>
        <w:t>(2):117-29.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24.</w:t>
      </w:r>
      <w:r w:rsidRPr="00C350AE">
        <w:rPr>
          <w:rFonts w:ascii="Times New Roman" w:hAnsi="Times New Roman" w:cs="Times New Roman"/>
          <w:szCs w:val="20"/>
        </w:rPr>
        <w:tab/>
        <w:t>Sakai A, Oshige T, Zenke Y, Yamanaka Y, Nagaishi H, Nakamura T. Unipedal standing exercise and hip bone mineral density in postmenopausal women: a randomized controlled trial. Journal of Bone &amp; Mineral Metabolism. 2010;</w:t>
      </w:r>
      <w:r w:rsidRPr="00C350AE">
        <w:rPr>
          <w:rFonts w:ascii="Times New Roman" w:hAnsi="Times New Roman" w:cs="Times New Roman"/>
          <w:b/>
          <w:szCs w:val="20"/>
        </w:rPr>
        <w:t>28</w:t>
      </w:r>
      <w:r w:rsidRPr="00C350AE">
        <w:rPr>
          <w:rFonts w:ascii="Times New Roman" w:hAnsi="Times New Roman" w:cs="Times New Roman"/>
          <w:szCs w:val="20"/>
        </w:rPr>
        <w:t>(1):42-8.</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25.</w:t>
      </w:r>
      <w:r w:rsidRPr="00C350AE">
        <w:rPr>
          <w:rFonts w:ascii="Times New Roman" w:hAnsi="Times New Roman" w:cs="Times New Roman"/>
          <w:szCs w:val="20"/>
        </w:rPr>
        <w:tab/>
        <w:t>Kemmler W, von Stengel S, Engelke K, Haberle L, Kalender WA. Exercise Effects on Bone Mineral Density, Falls, Coronary Risk Factors, and Health Care Costs in Older Women The Randomized Controlled Senior Fitness and Prevention (SEFIP) Study. Archives of Internal Medicine. 2010;</w:t>
      </w:r>
      <w:r w:rsidRPr="00C350AE">
        <w:rPr>
          <w:rFonts w:ascii="Times New Roman" w:hAnsi="Times New Roman" w:cs="Times New Roman"/>
          <w:b/>
          <w:szCs w:val="20"/>
        </w:rPr>
        <w:t>170</w:t>
      </w:r>
      <w:r w:rsidRPr="00C350AE">
        <w:rPr>
          <w:rFonts w:ascii="Times New Roman" w:hAnsi="Times New Roman" w:cs="Times New Roman"/>
          <w:szCs w:val="20"/>
        </w:rPr>
        <w:t>(2):179-85.</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26.</w:t>
      </w:r>
      <w:r w:rsidRPr="00C350AE">
        <w:rPr>
          <w:rFonts w:ascii="Times New Roman" w:hAnsi="Times New Roman" w:cs="Times New Roman"/>
          <w:szCs w:val="20"/>
        </w:rPr>
        <w:tab/>
        <w:t>Beck BR, Norling TL. The effect of 8 mos of twice-weekly low- or higher intensity whole body vibration on risk factors for postmenopausal hip fracture. American Journal of Physical Medicine &amp; Rehabilitation. 2010;</w:t>
      </w:r>
      <w:r w:rsidRPr="00C350AE">
        <w:rPr>
          <w:rFonts w:ascii="Times New Roman" w:hAnsi="Times New Roman" w:cs="Times New Roman"/>
          <w:b/>
          <w:szCs w:val="20"/>
        </w:rPr>
        <w:t>89</w:t>
      </w:r>
      <w:r w:rsidRPr="00C350AE">
        <w:rPr>
          <w:rFonts w:ascii="Times New Roman" w:hAnsi="Times New Roman" w:cs="Times New Roman"/>
          <w:szCs w:val="20"/>
        </w:rPr>
        <w:t>(12):997-1009.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27.</w:t>
      </w:r>
      <w:r w:rsidRPr="00C350AE">
        <w:rPr>
          <w:rFonts w:ascii="Times New Roman" w:hAnsi="Times New Roman" w:cs="Times New Roman"/>
          <w:szCs w:val="20"/>
        </w:rPr>
        <w:tab/>
        <w:t xml:space="preserve">Bebenek M, Kemmler W, von Stengel S, Engelke K, Kalender WA. Effect of exercise and Cimicifuga racemosa (CR BNO 1055) on bone mineral density, 10-year coronary heart disease risk, and menopausal complaints: the randomized controlled Training and Cimicifuga racemosa Erlangen </w:t>
      </w:r>
      <w:r w:rsidRPr="00C350AE">
        <w:rPr>
          <w:rFonts w:ascii="Times New Roman" w:hAnsi="Times New Roman" w:cs="Times New Roman"/>
          <w:szCs w:val="20"/>
        </w:rPr>
        <w:lastRenderedPageBreak/>
        <w:t>(TRACE) study. Menopause. 2010;</w:t>
      </w:r>
      <w:r w:rsidRPr="00C350AE">
        <w:rPr>
          <w:rFonts w:ascii="Times New Roman" w:hAnsi="Times New Roman" w:cs="Times New Roman"/>
          <w:b/>
          <w:szCs w:val="20"/>
        </w:rPr>
        <w:t>17</w:t>
      </w:r>
      <w:r w:rsidRPr="00C350AE">
        <w:rPr>
          <w:rFonts w:ascii="Times New Roman" w:hAnsi="Times New Roman" w:cs="Times New Roman"/>
          <w:szCs w:val="20"/>
        </w:rPr>
        <w:t>(4):791-800.</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28.</w:t>
      </w:r>
      <w:r w:rsidRPr="00C350AE">
        <w:rPr>
          <w:rFonts w:ascii="Times New Roman" w:hAnsi="Times New Roman" w:cs="Times New Roman"/>
          <w:szCs w:val="20"/>
        </w:rPr>
        <w:tab/>
        <w:t>Chuin A, Labonte M, Tessier D, Khalil A, Bobeuf F, Doyon CY, et al. Effect of antioxidants combined to resistance training on BMD in elderly women: a pilot study. Osteoporosis International. 2009;</w:t>
      </w:r>
      <w:r w:rsidRPr="00C350AE">
        <w:rPr>
          <w:rFonts w:ascii="Times New Roman" w:hAnsi="Times New Roman" w:cs="Times New Roman"/>
          <w:b/>
          <w:szCs w:val="20"/>
        </w:rPr>
        <w:t>20</w:t>
      </w:r>
      <w:r w:rsidRPr="00C350AE">
        <w:rPr>
          <w:rFonts w:ascii="Times New Roman" w:hAnsi="Times New Roman" w:cs="Times New Roman"/>
          <w:szCs w:val="20"/>
        </w:rPr>
        <w:t>(7):1253-8.</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29.</w:t>
      </w:r>
      <w:r w:rsidRPr="00C350AE">
        <w:rPr>
          <w:rFonts w:ascii="Times New Roman" w:hAnsi="Times New Roman" w:cs="Times New Roman"/>
          <w:szCs w:val="20"/>
        </w:rPr>
        <w:tab/>
        <w:t>Bocalini DS, Serra AJ, dos Santos L, Murad N, Levy RF. Strength training preserves the bone mineral density of postmenopausal women without hormone replacement therapy. Journal of Aging &amp; Health. 2009;</w:t>
      </w:r>
      <w:r w:rsidRPr="00C350AE">
        <w:rPr>
          <w:rFonts w:ascii="Times New Roman" w:hAnsi="Times New Roman" w:cs="Times New Roman"/>
          <w:b/>
          <w:szCs w:val="20"/>
        </w:rPr>
        <w:t>21</w:t>
      </w:r>
      <w:r w:rsidRPr="00C350AE">
        <w:rPr>
          <w:rFonts w:ascii="Times New Roman" w:hAnsi="Times New Roman" w:cs="Times New Roman"/>
          <w:szCs w:val="20"/>
        </w:rPr>
        <w:t>(3):519-27.</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30.</w:t>
      </w:r>
      <w:r w:rsidRPr="00C350AE">
        <w:rPr>
          <w:rFonts w:ascii="Times New Roman" w:hAnsi="Times New Roman" w:cs="Times New Roman"/>
          <w:szCs w:val="20"/>
        </w:rPr>
        <w:tab/>
        <w:t>Park H, Kim KJ, Komatsu T, Park SK, Mutoh Y. Effect of combined exercise training on bone, body balance, and gait ability: a randomized controlled study in community-dwelling elderly women. J Bone Miner Metab. 2008;</w:t>
      </w:r>
      <w:r w:rsidRPr="00C350AE">
        <w:rPr>
          <w:rFonts w:ascii="Times New Roman" w:hAnsi="Times New Roman" w:cs="Times New Roman"/>
          <w:b/>
          <w:szCs w:val="20"/>
        </w:rPr>
        <w:t>26</w:t>
      </w:r>
      <w:r w:rsidRPr="00C350AE">
        <w:rPr>
          <w:rFonts w:ascii="Times New Roman" w:hAnsi="Times New Roman" w:cs="Times New Roman"/>
          <w:szCs w:val="20"/>
        </w:rPr>
        <w:t>(3):254-9.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31.</w:t>
      </w:r>
      <w:r w:rsidRPr="00C350AE">
        <w:rPr>
          <w:rFonts w:ascii="Times New Roman" w:hAnsi="Times New Roman" w:cs="Times New Roman"/>
          <w:szCs w:val="20"/>
        </w:rPr>
        <w:tab/>
        <w:t>Bergstrom I, Landgren B, Brinck J, Freyschuss B. Physical training preserves bone mineral density in postmenopausal women with forearm fractures and low bone mineral density. Osteoporosis International. 2008;</w:t>
      </w:r>
      <w:r w:rsidRPr="00C350AE">
        <w:rPr>
          <w:rFonts w:ascii="Times New Roman" w:hAnsi="Times New Roman" w:cs="Times New Roman"/>
          <w:b/>
          <w:szCs w:val="20"/>
        </w:rPr>
        <w:t>19</w:t>
      </w:r>
      <w:r w:rsidRPr="00C350AE">
        <w:rPr>
          <w:rFonts w:ascii="Times New Roman" w:hAnsi="Times New Roman" w:cs="Times New Roman"/>
          <w:szCs w:val="20"/>
        </w:rPr>
        <w:t>(2):177-83.</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32.</w:t>
      </w:r>
      <w:r w:rsidRPr="00C350AE">
        <w:rPr>
          <w:rFonts w:ascii="Times New Roman" w:hAnsi="Times New Roman" w:cs="Times New Roman"/>
          <w:szCs w:val="20"/>
        </w:rPr>
        <w:tab/>
        <w:t>Young CM, Weeks BK, Beck BR. Simple, novel physical activity maintains proximal femur bone mineral density, and improves muscle strength and balance in sedentary, postmenopausal Caucasian women. Osteoporosis International. 2007;</w:t>
      </w:r>
      <w:r w:rsidRPr="00C350AE">
        <w:rPr>
          <w:rFonts w:ascii="Times New Roman" w:hAnsi="Times New Roman" w:cs="Times New Roman"/>
          <w:b/>
          <w:szCs w:val="20"/>
        </w:rPr>
        <w:t>18</w:t>
      </w:r>
      <w:r w:rsidRPr="00C350AE">
        <w:rPr>
          <w:rFonts w:ascii="Times New Roman" w:hAnsi="Times New Roman" w:cs="Times New Roman"/>
          <w:szCs w:val="20"/>
        </w:rPr>
        <w:t>(10):1379-87.</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33.</w:t>
      </w:r>
      <w:r w:rsidRPr="00C350AE">
        <w:rPr>
          <w:rFonts w:ascii="Times New Roman" w:hAnsi="Times New Roman" w:cs="Times New Roman"/>
          <w:szCs w:val="20"/>
        </w:rPr>
        <w:tab/>
        <w:t>Woo J, Hong A, Lau E, Lynn H. A randomised controlled trial of Tai Chi and resistance exercise on bone health, muscle strength and balance in community-living elderly people. Age and Ageing. 2007;</w:t>
      </w:r>
      <w:r w:rsidRPr="00C350AE">
        <w:rPr>
          <w:rFonts w:ascii="Times New Roman" w:hAnsi="Times New Roman" w:cs="Times New Roman"/>
          <w:b/>
          <w:szCs w:val="20"/>
        </w:rPr>
        <w:t>36</w:t>
      </w:r>
      <w:r w:rsidRPr="00C350AE">
        <w:rPr>
          <w:rFonts w:ascii="Times New Roman" w:hAnsi="Times New Roman" w:cs="Times New Roman"/>
          <w:szCs w:val="20"/>
        </w:rPr>
        <w:t>(3):262-68.</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34.</w:t>
      </w:r>
      <w:r w:rsidRPr="00C350AE">
        <w:rPr>
          <w:rFonts w:ascii="Times New Roman" w:hAnsi="Times New Roman" w:cs="Times New Roman"/>
          <w:szCs w:val="20"/>
        </w:rPr>
        <w:tab/>
        <w:t>Maddalozzo GF, Widrick JJ, Cardinal BJ, Winters-Stone KM, Hoffman MA, Snow CM. The effects of hormone replacement therapy and resistance training on spine bone mineral density in early postmenopausal women. Bone. 2007;</w:t>
      </w:r>
      <w:r w:rsidRPr="00C350AE">
        <w:rPr>
          <w:rFonts w:ascii="Times New Roman" w:hAnsi="Times New Roman" w:cs="Times New Roman"/>
          <w:b/>
          <w:szCs w:val="20"/>
        </w:rPr>
        <w:t>40</w:t>
      </w:r>
      <w:r w:rsidRPr="00C350AE">
        <w:rPr>
          <w:rFonts w:ascii="Times New Roman" w:hAnsi="Times New Roman" w:cs="Times New Roman"/>
          <w:szCs w:val="20"/>
        </w:rPr>
        <w:t>(5):1244-51.</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35.</w:t>
      </w:r>
      <w:r w:rsidRPr="00C350AE">
        <w:rPr>
          <w:rFonts w:ascii="Times New Roman" w:hAnsi="Times New Roman" w:cs="Times New Roman"/>
          <w:szCs w:val="20"/>
        </w:rPr>
        <w:tab/>
        <w:t>Evans EM, Racette SB, Van Pelt RE, Peterson LR, Villareal DT. Effects of soy protein isolate and moderate exercise on bone turnover and bone mineral density in postmenopausal women. Menopause. 2007;</w:t>
      </w:r>
      <w:r w:rsidRPr="00C350AE">
        <w:rPr>
          <w:rFonts w:ascii="Times New Roman" w:hAnsi="Times New Roman" w:cs="Times New Roman"/>
          <w:b/>
          <w:szCs w:val="20"/>
        </w:rPr>
        <w:t>14</w:t>
      </w:r>
      <w:r w:rsidRPr="00C350AE">
        <w:rPr>
          <w:rFonts w:ascii="Times New Roman" w:hAnsi="Times New Roman" w:cs="Times New Roman"/>
          <w:szCs w:val="20"/>
        </w:rPr>
        <w:t>(3 Pt 1):481-8.</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36.</w:t>
      </w:r>
      <w:r w:rsidRPr="00C350AE">
        <w:rPr>
          <w:rFonts w:ascii="Times New Roman" w:hAnsi="Times New Roman" w:cs="Times New Roman"/>
          <w:szCs w:val="20"/>
        </w:rPr>
        <w:tab/>
        <w:t>Wu J, Oka J, Higuchi M, Tabata I, Toda T, Fujioka M, et al. Cooperative effects of isoflavones and exercise on bone and lipid metabolism in postmenopausal Japanese women: a randomized placebo-controlled trial. Metabolism: Clinical &amp; Experimental. 2006;</w:t>
      </w:r>
      <w:r w:rsidRPr="00C350AE">
        <w:rPr>
          <w:rFonts w:ascii="Times New Roman" w:hAnsi="Times New Roman" w:cs="Times New Roman"/>
          <w:b/>
          <w:szCs w:val="20"/>
        </w:rPr>
        <w:t>55</w:t>
      </w:r>
      <w:r w:rsidRPr="00C350AE">
        <w:rPr>
          <w:rFonts w:ascii="Times New Roman" w:hAnsi="Times New Roman" w:cs="Times New Roman"/>
          <w:szCs w:val="20"/>
        </w:rPr>
        <w:t>(4):423-33.</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37.</w:t>
      </w:r>
      <w:r w:rsidRPr="00C350AE">
        <w:rPr>
          <w:rFonts w:ascii="Times New Roman" w:hAnsi="Times New Roman" w:cs="Times New Roman"/>
          <w:szCs w:val="20"/>
        </w:rPr>
        <w:tab/>
        <w:t>Korpelainen R, Keinanen-Kiukaanniemi S, Heikkinen J, Vaananen K, Korpelainen J. Effect of impact exercise on bone mineral density in elderly women with low BMD: a population-based randomized controlled 30-month intervention. Osteoporosis International. 2006;</w:t>
      </w:r>
      <w:r w:rsidRPr="00C350AE">
        <w:rPr>
          <w:rFonts w:ascii="Times New Roman" w:hAnsi="Times New Roman" w:cs="Times New Roman"/>
          <w:b/>
          <w:szCs w:val="20"/>
        </w:rPr>
        <w:t>17</w:t>
      </w:r>
      <w:r w:rsidRPr="00C350AE">
        <w:rPr>
          <w:rFonts w:ascii="Times New Roman" w:hAnsi="Times New Roman" w:cs="Times New Roman"/>
          <w:szCs w:val="20"/>
        </w:rPr>
        <w:t>(1):109-18.</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38.</w:t>
      </w:r>
      <w:r w:rsidRPr="00C350AE">
        <w:rPr>
          <w:rFonts w:ascii="Times New Roman" w:hAnsi="Times New Roman" w:cs="Times New Roman"/>
          <w:szCs w:val="20"/>
        </w:rPr>
        <w:tab/>
        <w:t>Gusi N, Raimundo A, Leal A. Low-frequency vibratory exercise reduces the risk of bone fracture more than walking: a randomized controlled trial. BMC Musculoskeletal Disorders. 2006;</w:t>
      </w:r>
      <w:r w:rsidRPr="00C350AE">
        <w:rPr>
          <w:rFonts w:ascii="Times New Roman" w:hAnsi="Times New Roman" w:cs="Times New Roman"/>
          <w:b/>
          <w:szCs w:val="20"/>
        </w:rPr>
        <w:t>7</w:t>
      </w:r>
      <w:r w:rsidRPr="00C350AE">
        <w:rPr>
          <w:rFonts w:ascii="Times New Roman" w:hAnsi="Times New Roman" w:cs="Times New Roman"/>
          <w:szCs w:val="20"/>
        </w:rPr>
        <w:t>:92.</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39.</w:t>
      </w:r>
      <w:r w:rsidRPr="00C350AE">
        <w:rPr>
          <w:rFonts w:ascii="Times New Roman" w:hAnsi="Times New Roman" w:cs="Times New Roman"/>
          <w:szCs w:val="20"/>
        </w:rPr>
        <w:tab/>
        <w:t>Englund U, Littbrand H, Sondell A, Pettersson U, Bucht G. A 1-year combined weight-bearing training program is beneficial for bone mineral density and neuromuscular function in older women. Osteoporosis International. 2005;</w:t>
      </w:r>
      <w:r w:rsidRPr="00C350AE">
        <w:rPr>
          <w:rFonts w:ascii="Times New Roman" w:hAnsi="Times New Roman" w:cs="Times New Roman"/>
          <w:b/>
          <w:szCs w:val="20"/>
        </w:rPr>
        <w:t>16</w:t>
      </w:r>
      <w:r w:rsidRPr="00C350AE">
        <w:rPr>
          <w:rFonts w:ascii="Times New Roman" w:hAnsi="Times New Roman" w:cs="Times New Roman"/>
          <w:szCs w:val="20"/>
        </w:rPr>
        <w:t>(9):1117-23.</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40.</w:t>
      </w:r>
      <w:r w:rsidRPr="00C350AE">
        <w:rPr>
          <w:rFonts w:ascii="Times New Roman" w:hAnsi="Times New Roman" w:cs="Times New Roman"/>
          <w:szCs w:val="20"/>
        </w:rPr>
        <w:tab/>
        <w:t>Verschueren SMP, Roelants M, Delecluse C, Swinnen S, Vanderschueren D, Boonen S. Effect of 6-month whole body vibration training on hip density, muscle strength, and postural control in postmenopausal women: a randomized controlled pilot study. Journal of Bone &amp; Mineral Research. 2004;</w:t>
      </w:r>
      <w:r w:rsidRPr="00C350AE">
        <w:rPr>
          <w:rFonts w:ascii="Times New Roman" w:hAnsi="Times New Roman" w:cs="Times New Roman"/>
          <w:b/>
          <w:szCs w:val="20"/>
        </w:rPr>
        <w:t>19</w:t>
      </w:r>
      <w:r w:rsidRPr="00C350AE">
        <w:rPr>
          <w:rFonts w:ascii="Times New Roman" w:hAnsi="Times New Roman" w:cs="Times New Roman"/>
          <w:szCs w:val="20"/>
        </w:rPr>
        <w:t>(3):352-9.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41.</w:t>
      </w:r>
      <w:r w:rsidRPr="00C350AE">
        <w:rPr>
          <w:rFonts w:ascii="Times New Roman" w:hAnsi="Times New Roman" w:cs="Times New Roman"/>
          <w:szCs w:val="20"/>
        </w:rPr>
        <w:tab/>
        <w:t>Liu-Ambrose TYL, Khan KM, Eng JJ, Heinonen A, McKay HA. Both resistance and agility training increase cortical bone density in 75-to 85-year-old women with low bone mass - A 6-month randomized controlled trial. Journal of Clinical Densitometry. 2004;</w:t>
      </w:r>
      <w:r w:rsidRPr="00C350AE">
        <w:rPr>
          <w:rFonts w:ascii="Times New Roman" w:hAnsi="Times New Roman" w:cs="Times New Roman"/>
          <w:b/>
          <w:szCs w:val="20"/>
        </w:rPr>
        <w:t>7</w:t>
      </w:r>
      <w:r w:rsidRPr="00C350AE">
        <w:rPr>
          <w:rFonts w:ascii="Times New Roman" w:hAnsi="Times New Roman" w:cs="Times New Roman"/>
          <w:szCs w:val="20"/>
        </w:rPr>
        <w:t>(4):390-98.</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42.</w:t>
      </w:r>
      <w:r w:rsidRPr="00C350AE">
        <w:rPr>
          <w:rFonts w:ascii="Times New Roman" w:hAnsi="Times New Roman" w:cs="Times New Roman"/>
          <w:szCs w:val="20"/>
        </w:rPr>
        <w:tab/>
        <w:t xml:space="preserve">Chan K, Qin L, Lau M, Woo J, Au S, Choy W, et al. A randomized, prospective study of the </w:t>
      </w:r>
      <w:r w:rsidRPr="00C350AE">
        <w:rPr>
          <w:rFonts w:ascii="Times New Roman" w:hAnsi="Times New Roman" w:cs="Times New Roman"/>
          <w:szCs w:val="20"/>
        </w:rPr>
        <w:lastRenderedPageBreak/>
        <w:t>effects of Tai Chi Chun exercise on bone mineral density in postmenopausal women. Archives of Physical Medicine &amp; Rehabilitation. 2004;</w:t>
      </w:r>
      <w:r w:rsidRPr="00C350AE">
        <w:rPr>
          <w:rFonts w:ascii="Times New Roman" w:hAnsi="Times New Roman" w:cs="Times New Roman"/>
          <w:b/>
          <w:szCs w:val="20"/>
        </w:rPr>
        <w:t>85</w:t>
      </w:r>
      <w:r w:rsidRPr="00C350AE">
        <w:rPr>
          <w:rFonts w:ascii="Times New Roman" w:hAnsi="Times New Roman" w:cs="Times New Roman"/>
          <w:szCs w:val="20"/>
        </w:rPr>
        <w:t>(5):717-22.</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43.</w:t>
      </w:r>
      <w:r w:rsidRPr="00C350AE">
        <w:rPr>
          <w:rFonts w:ascii="Times New Roman" w:hAnsi="Times New Roman" w:cs="Times New Roman"/>
          <w:szCs w:val="20"/>
        </w:rPr>
        <w:tab/>
        <w:t>Milliken LA, Going SB, Houtkooper LB, Flint-Wagner HG, Figueroa A, Metcalfe LL, et al. Effects of exercise training on bone remodeling, insulin-like growth factors, and bone mineral density in postmenopausal women with and without hormone replacement therapy. Calcified Tissue International. 2003;</w:t>
      </w:r>
      <w:r w:rsidRPr="00C350AE">
        <w:rPr>
          <w:rFonts w:ascii="Times New Roman" w:hAnsi="Times New Roman" w:cs="Times New Roman"/>
          <w:b/>
          <w:szCs w:val="20"/>
        </w:rPr>
        <w:t>72</w:t>
      </w:r>
      <w:r w:rsidRPr="00C350AE">
        <w:rPr>
          <w:rFonts w:ascii="Times New Roman" w:hAnsi="Times New Roman" w:cs="Times New Roman"/>
          <w:szCs w:val="20"/>
        </w:rPr>
        <w:t>(4):478-84.</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44.</w:t>
      </w:r>
      <w:r w:rsidRPr="00C350AE">
        <w:rPr>
          <w:rFonts w:ascii="Times New Roman" w:hAnsi="Times New Roman" w:cs="Times New Roman"/>
          <w:szCs w:val="20"/>
        </w:rPr>
        <w:tab/>
        <w:t>Jessup JV, Horne C, Vishen RK, Wheeler D. Effects of exercise on bone density, balance, and self-efficacy in older women. Biol Res Nurs. 2003;</w:t>
      </w:r>
      <w:r w:rsidRPr="00C350AE">
        <w:rPr>
          <w:rFonts w:ascii="Times New Roman" w:hAnsi="Times New Roman" w:cs="Times New Roman"/>
          <w:b/>
          <w:szCs w:val="20"/>
        </w:rPr>
        <w:t>4</w:t>
      </w:r>
      <w:r w:rsidRPr="00C350AE">
        <w:rPr>
          <w:rFonts w:ascii="Times New Roman" w:hAnsi="Times New Roman" w:cs="Times New Roman"/>
          <w:szCs w:val="20"/>
        </w:rPr>
        <w:t>(3):171-80.</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45.</w:t>
      </w:r>
      <w:r w:rsidRPr="00C350AE">
        <w:rPr>
          <w:rFonts w:ascii="Times New Roman" w:hAnsi="Times New Roman" w:cs="Times New Roman"/>
          <w:szCs w:val="20"/>
        </w:rPr>
        <w:tab/>
        <w:t>Going S, Lohman T, Houtkooper L, Metcalfe L, Flint-Wagner H, Blew R, et al. Effects of exercise on bone mineral density in calcium-replete postmenopausal women with and without hormone replacement therapy. Osteoporosis International. 2003;</w:t>
      </w:r>
      <w:r w:rsidRPr="00C350AE">
        <w:rPr>
          <w:rFonts w:ascii="Times New Roman" w:hAnsi="Times New Roman" w:cs="Times New Roman"/>
          <w:b/>
          <w:szCs w:val="20"/>
        </w:rPr>
        <w:t>14</w:t>
      </w:r>
      <w:r w:rsidRPr="00C350AE">
        <w:rPr>
          <w:rFonts w:ascii="Times New Roman" w:hAnsi="Times New Roman" w:cs="Times New Roman"/>
          <w:szCs w:val="20"/>
        </w:rPr>
        <w:t>(8):637-43.</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46.</w:t>
      </w:r>
      <w:r w:rsidRPr="00C350AE">
        <w:rPr>
          <w:rFonts w:ascii="Times New Roman" w:hAnsi="Times New Roman" w:cs="Times New Roman"/>
          <w:szCs w:val="20"/>
        </w:rPr>
        <w:tab/>
        <w:t>Hans D, Genton L, Drezner MK, Schott AM, Pacifici R, Avioli L, et al. Monitored impact loading of the hip: initial testing of a home-use device. Calcified Tissue International. 2002;</w:t>
      </w:r>
      <w:r w:rsidRPr="00C350AE">
        <w:rPr>
          <w:rFonts w:ascii="Times New Roman" w:hAnsi="Times New Roman" w:cs="Times New Roman"/>
          <w:b/>
          <w:szCs w:val="20"/>
        </w:rPr>
        <w:t>71</w:t>
      </w:r>
      <w:r w:rsidRPr="00C350AE">
        <w:rPr>
          <w:rFonts w:ascii="Times New Roman" w:hAnsi="Times New Roman" w:cs="Times New Roman"/>
          <w:szCs w:val="20"/>
        </w:rPr>
        <w:t>(2):112-20.</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47.</w:t>
      </w:r>
      <w:r w:rsidRPr="00C350AE">
        <w:rPr>
          <w:rFonts w:ascii="Times New Roman" w:hAnsi="Times New Roman" w:cs="Times New Roman"/>
          <w:szCs w:val="20"/>
        </w:rPr>
        <w:tab/>
        <w:t>Chilibeck PD, Davison KS, Whiting SJ, Suzuki Y, Janzen CL, Peloso P. The effect of strength training combined with bisphosphonate (etidronate) therapy on bone mineral, lean tissue, and fat mass in postmenopausal women. Canadian Journal of Physiology &amp; Pharmacology. 2002;</w:t>
      </w:r>
      <w:r w:rsidRPr="00C350AE">
        <w:rPr>
          <w:rFonts w:ascii="Times New Roman" w:hAnsi="Times New Roman" w:cs="Times New Roman"/>
          <w:b/>
          <w:szCs w:val="20"/>
        </w:rPr>
        <w:t>80</w:t>
      </w:r>
      <w:r w:rsidRPr="00C350AE">
        <w:rPr>
          <w:rFonts w:ascii="Times New Roman" w:hAnsi="Times New Roman" w:cs="Times New Roman"/>
          <w:szCs w:val="20"/>
        </w:rPr>
        <w:t>(10):941-50.</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48.</w:t>
      </w:r>
      <w:r w:rsidRPr="00C350AE">
        <w:rPr>
          <w:rFonts w:ascii="Times New Roman" w:hAnsi="Times New Roman" w:cs="Times New Roman"/>
          <w:szCs w:val="20"/>
        </w:rPr>
        <w:tab/>
        <w:t>Kerr D, Ackland T, Maslen B, Morton A, Prince R. Resistance training over 2 years increases bone mass in calcium-replete postmenopausal women. Journal of Bone &amp; Mineral Research. 2001;</w:t>
      </w:r>
      <w:r w:rsidRPr="00C350AE">
        <w:rPr>
          <w:rFonts w:ascii="Times New Roman" w:hAnsi="Times New Roman" w:cs="Times New Roman"/>
          <w:b/>
          <w:szCs w:val="20"/>
        </w:rPr>
        <w:t>16</w:t>
      </w:r>
      <w:r w:rsidRPr="00C350AE">
        <w:rPr>
          <w:rFonts w:ascii="Times New Roman" w:hAnsi="Times New Roman" w:cs="Times New Roman"/>
          <w:szCs w:val="20"/>
        </w:rPr>
        <w:t>(1):175-81.</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49.</w:t>
      </w:r>
      <w:r w:rsidRPr="00C350AE">
        <w:rPr>
          <w:rFonts w:ascii="Times New Roman" w:hAnsi="Times New Roman" w:cs="Times New Roman"/>
          <w:szCs w:val="20"/>
        </w:rPr>
        <w:tab/>
        <w:t>Iwamoto J, Takeda T, Ichimura S. Effect of exercise training and detraining on bone mineral density in postmenopausal women with osteoporosis. Journal of Orthopaedic Science. 2001;</w:t>
      </w:r>
      <w:r w:rsidRPr="00C350AE">
        <w:rPr>
          <w:rFonts w:ascii="Times New Roman" w:hAnsi="Times New Roman" w:cs="Times New Roman"/>
          <w:b/>
          <w:szCs w:val="20"/>
        </w:rPr>
        <w:t>6</w:t>
      </w:r>
      <w:r w:rsidRPr="00C350AE">
        <w:rPr>
          <w:rFonts w:ascii="Times New Roman" w:hAnsi="Times New Roman" w:cs="Times New Roman"/>
          <w:szCs w:val="20"/>
        </w:rPr>
        <w:t>(2):128-32.</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50.</w:t>
      </w:r>
      <w:r w:rsidRPr="00C350AE">
        <w:rPr>
          <w:rFonts w:ascii="Times New Roman" w:hAnsi="Times New Roman" w:cs="Times New Roman"/>
          <w:szCs w:val="20"/>
        </w:rPr>
        <w:tab/>
        <w:t>Rhodes EC, Martin AD, Taunton JE, Donnelly M, Warren J, Elliot J. Effects of one year of resistance training on the relation between muscular strength and bone density in elderly women. British Journal of Sports Medicine. 2000;</w:t>
      </w:r>
      <w:r w:rsidRPr="00C350AE">
        <w:rPr>
          <w:rFonts w:ascii="Times New Roman" w:hAnsi="Times New Roman" w:cs="Times New Roman"/>
          <w:b/>
          <w:szCs w:val="20"/>
        </w:rPr>
        <w:t>34</w:t>
      </w:r>
      <w:r w:rsidRPr="00C350AE">
        <w:rPr>
          <w:rFonts w:ascii="Times New Roman" w:hAnsi="Times New Roman" w:cs="Times New Roman"/>
          <w:szCs w:val="20"/>
        </w:rPr>
        <w:t>(1):18-22.</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51.</w:t>
      </w:r>
      <w:r w:rsidRPr="00C350AE">
        <w:rPr>
          <w:rFonts w:ascii="Times New Roman" w:hAnsi="Times New Roman" w:cs="Times New Roman"/>
          <w:szCs w:val="20"/>
        </w:rPr>
        <w:tab/>
        <w:t>Bemben DA, Fetters NL, Bemben MG, Nabavi N, Koh ET. Musculoskeletal responses to high- and low-intensity resistance training in early postmenopausal women. Medicine &amp; Science in Sports &amp; Exercise. 2000;</w:t>
      </w:r>
      <w:r w:rsidRPr="00C350AE">
        <w:rPr>
          <w:rFonts w:ascii="Times New Roman" w:hAnsi="Times New Roman" w:cs="Times New Roman"/>
          <w:b/>
          <w:szCs w:val="20"/>
        </w:rPr>
        <w:t>32</w:t>
      </w:r>
      <w:r w:rsidRPr="00C350AE">
        <w:rPr>
          <w:rFonts w:ascii="Times New Roman" w:hAnsi="Times New Roman" w:cs="Times New Roman"/>
          <w:szCs w:val="20"/>
        </w:rPr>
        <w:t>(11):1949-57.</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52.</w:t>
      </w:r>
      <w:r w:rsidRPr="00C350AE">
        <w:rPr>
          <w:rFonts w:ascii="Times New Roman" w:hAnsi="Times New Roman" w:cs="Times New Roman"/>
          <w:szCs w:val="20"/>
        </w:rPr>
        <w:tab/>
        <w:t>Tsuritani I, Brooke-Wavell KS, Mastana SS, Jones PR, Hardman AE, Yamada Y. Does vitamin D receptor polymorphism influence the response of bone to brisk walking in postmenopausal women? Hormone Research. 1998;</w:t>
      </w:r>
      <w:r w:rsidRPr="00C350AE">
        <w:rPr>
          <w:rFonts w:ascii="Times New Roman" w:hAnsi="Times New Roman" w:cs="Times New Roman"/>
          <w:b/>
          <w:szCs w:val="20"/>
        </w:rPr>
        <w:t>50</w:t>
      </w:r>
      <w:r w:rsidRPr="00C350AE">
        <w:rPr>
          <w:rFonts w:ascii="Times New Roman" w:hAnsi="Times New Roman" w:cs="Times New Roman"/>
          <w:szCs w:val="20"/>
        </w:rPr>
        <w:t>(6):315-9.</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53.</w:t>
      </w:r>
      <w:r w:rsidRPr="00C350AE">
        <w:rPr>
          <w:rFonts w:ascii="Times New Roman" w:hAnsi="Times New Roman" w:cs="Times New Roman"/>
          <w:szCs w:val="20"/>
        </w:rPr>
        <w:tab/>
        <w:t>Ebrahim S, Thompson PW, Baskaran V, Evans K. Randomized placebo-controlled trial of brisk walking in the prevention of postmenopausal osteoporosis. Age &amp; Ageing. 1997;</w:t>
      </w:r>
      <w:r w:rsidRPr="00C350AE">
        <w:rPr>
          <w:rFonts w:ascii="Times New Roman" w:hAnsi="Times New Roman" w:cs="Times New Roman"/>
          <w:b/>
          <w:szCs w:val="20"/>
        </w:rPr>
        <w:t>26</w:t>
      </w:r>
      <w:r w:rsidRPr="00C350AE">
        <w:rPr>
          <w:rFonts w:ascii="Times New Roman" w:hAnsi="Times New Roman" w:cs="Times New Roman"/>
          <w:szCs w:val="20"/>
        </w:rPr>
        <w:t>(4):253-60.</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54.</w:t>
      </w:r>
      <w:r w:rsidRPr="00C350AE">
        <w:rPr>
          <w:rFonts w:ascii="Times New Roman" w:hAnsi="Times New Roman" w:cs="Times New Roman"/>
          <w:szCs w:val="20"/>
        </w:rPr>
        <w:tab/>
        <w:t>Brooke-Wavell K, Jones PR, Hardman AE. Brisk walking reduces calcaneal bone loss in post-menopausal women. Clinical Science. 1997;</w:t>
      </w:r>
      <w:r w:rsidRPr="00C350AE">
        <w:rPr>
          <w:rFonts w:ascii="Times New Roman" w:hAnsi="Times New Roman" w:cs="Times New Roman"/>
          <w:b/>
          <w:szCs w:val="20"/>
        </w:rPr>
        <w:t>92</w:t>
      </w:r>
      <w:r w:rsidRPr="00C350AE">
        <w:rPr>
          <w:rFonts w:ascii="Times New Roman" w:hAnsi="Times New Roman" w:cs="Times New Roman"/>
          <w:szCs w:val="20"/>
        </w:rPr>
        <w:t>(1):75-80.</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55.</w:t>
      </w:r>
      <w:r w:rsidRPr="00C350AE">
        <w:rPr>
          <w:rFonts w:ascii="Times New Roman" w:hAnsi="Times New Roman" w:cs="Times New Roman"/>
          <w:szCs w:val="20"/>
        </w:rPr>
        <w:tab/>
        <w:t>Lord SR, Ward JA, Williams P, Zivanovic E. The effects of a community exercise program on fracture risk factors in older women. Osteoporosis International. 1996;</w:t>
      </w:r>
      <w:r w:rsidRPr="00C350AE">
        <w:rPr>
          <w:rFonts w:ascii="Times New Roman" w:hAnsi="Times New Roman" w:cs="Times New Roman"/>
          <w:b/>
          <w:szCs w:val="20"/>
        </w:rPr>
        <w:t>6</w:t>
      </w:r>
      <w:r w:rsidRPr="00C350AE">
        <w:rPr>
          <w:rFonts w:ascii="Times New Roman" w:hAnsi="Times New Roman" w:cs="Times New Roman"/>
          <w:szCs w:val="20"/>
        </w:rPr>
        <w:t>(5):361-7.</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56.</w:t>
      </w:r>
      <w:r w:rsidRPr="00C350AE">
        <w:rPr>
          <w:rFonts w:ascii="Times New Roman" w:hAnsi="Times New Roman" w:cs="Times New Roman"/>
          <w:szCs w:val="20"/>
        </w:rPr>
        <w:tab/>
        <w:t>Kerr D, Morton A, Dick I, Prince R. Exercise effects on bone mass in postmenopausal women are site-specific and load-dependent. Journal of Bone &amp; Mineral Research. 1996;</w:t>
      </w:r>
      <w:r w:rsidRPr="00C350AE">
        <w:rPr>
          <w:rFonts w:ascii="Times New Roman" w:hAnsi="Times New Roman" w:cs="Times New Roman"/>
          <w:b/>
          <w:szCs w:val="20"/>
        </w:rPr>
        <w:t>11</w:t>
      </w:r>
      <w:r w:rsidRPr="00C350AE">
        <w:rPr>
          <w:rFonts w:ascii="Times New Roman" w:hAnsi="Times New Roman" w:cs="Times New Roman"/>
          <w:szCs w:val="20"/>
        </w:rPr>
        <w:t>(2):218-25.</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57.</w:t>
      </w:r>
      <w:r w:rsidRPr="00C350AE">
        <w:rPr>
          <w:rFonts w:ascii="Times New Roman" w:hAnsi="Times New Roman" w:cs="Times New Roman"/>
          <w:szCs w:val="20"/>
        </w:rPr>
        <w:tab/>
        <w:t>Pruitt LA, Taaffe DR, Marcus R. Effects of a One-Year High-Intensity Versus Low-Intensity Resistance Training-Program on Bone-Mineral Density in Older Women. Journal of Bone and Mineral Research. 1995;</w:t>
      </w:r>
      <w:r w:rsidRPr="00C350AE">
        <w:rPr>
          <w:rFonts w:ascii="Times New Roman" w:hAnsi="Times New Roman" w:cs="Times New Roman"/>
          <w:b/>
          <w:szCs w:val="20"/>
        </w:rPr>
        <w:t>10</w:t>
      </w:r>
      <w:r w:rsidRPr="00C350AE">
        <w:rPr>
          <w:rFonts w:ascii="Times New Roman" w:hAnsi="Times New Roman" w:cs="Times New Roman"/>
          <w:szCs w:val="20"/>
        </w:rPr>
        <w:t>(11):1788-95.</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58.</w:t>
      </w:r>
      <w:r w:rsidRPr="00C350AE">
        <w:rPr>
          <w:rFonts w:ascii="Times New Roman" w:hAnsi="Times New Roman" w:cs="Times New Roman"/>
          <w:szCs w:val="20"/>
        </w:rPr>
        <w:tab/>
        <w:t xml:space="preserve">Prince R, Devine A, Dick I, Criddle A, Kerr D, Kent N, et al. The effects of calcium supplementation (milk powder or tablets) and exercise on bone density in postmenopausal women. </w:t>
      </w:r>
      <w:r w:rsidRPr="00C350AE">
        <w:rPr>
          <w:rFonts w:ascii="Times New Roman" w:hAnsi="Times New Roman" w:cs="Times New Roman"/>
          <w:szCs w:val="20"/>
        </w:rPr>
        <w:lastRenderedPageBreak/>
        <w:t>Journal of Bone &amp; Mineral Research. 1995;</w:t>
      </w:r>
      <w:r w:rsidRPr="00C350AE">
        <w:rPr>
          <w:rFonts w:ascii="Times New Roman" w:hAnsi="Times New Roman" w:cs="Times New Roman"/>
          <w:b/>
          <w:szCs w:val="20"/>
        </w:rPr>
        <w:t>10</w:t>
      </w:r>
      <w:r w:rsidRPr="00C350AE">
        <w:rPr>
          <w:rFonts w:ascii="Times New Roman" w:hAnsi="Times New Roman" w:cs="Times New Roman"/>
          <w:szCs w:val="20"/>
        </w:rPr>
        <w:t>(7):1068-75.</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59.</w:t>
      </w:r>
      <w:r w:rsidRPr="00C350AE">
        <w:rPr>
          <w:rFonts w:ascii="Times New Roman" w:hAnsi="Times New Roman" w:cs="Times New Roman"/>
          <w:szCs w:val="20"/>
        </w:rPr>
        <w:tab/>
        <w:t>Nichols JF, Nelson KP, Peterson KK, Sartoris DJ. Bone-Mineral Density Responses to High-Intensity Strength Training in Active Older Women. Journal of Aging and Physical Activity. 1995;</w:t>
      </w:r>
      <w:r w:rsidRPr="00C350AE">
        <w:rPr>
          <w:rFonts w:ascii="Times New Roman" w:hAnsi="Times New Roman" w:cs="Times New Roman"/>
          <w:b/>
          <w:szCs w:val="20"/>
        </w:rPr>
        <w:t>3</w:t>
      </w:r>
      <w:r w:rsidRPr="00C350AE">
        <w:rPr>
          <w:rFonts w:ascii="Times New Roman" w:hAnsi="Times New Roman" w:cs="Times New Roman"/>
          <w:szCs w:val="20"/>
        </w:rPr>
        <w:t>(1):26-38.</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60.</w:t>
      </w:r>
      <w:r w:rsidRPr="00C350AE">
        <w:rPr>
          <w:rFonts w:ascii="Times New Roman" w:hAnsi="Times New Roman" w:cs="Times New Roman"/>
          <w:szCs w:val="20"/>
        </w:rPr>
        <w:tab/>
        <w:t>Bassey EJ, Ramsdale SJ. Weight-bearing exercise and ground reaction forces: a 12-month randomized controlled trial of effects on bone mineral density in healthy postmenopausal women. Bone. 1995;</w:t>
      </w:r>
      <w:r w:rsidRPr="00C350AE">
        <w:rPr>
          <w:rFonts w:ascii="Times New Roman" w:hAnsi="Times New Roman" w:cs="Times New Roman"/>
          <w:b/>
          <w:szCs w:val="20"/>
        </w:rPr>
        <w:t>16</w:t>
      </w:r>
      <w:r w:rsidRPr="00C350AE">
        <w:rPr>
          <w:rFonts w:ascii="Times New Roman" w:hAnsi="Times New Roman" w:cs="Times New Roman"/>
          <w:szCs w:val="20"/>
        </w:rPr>
        <w:t>(4):469-76.</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61.</w:t>
      </w:r>
      <w:r w:rsidRPr="00C350AE">
        <w:rPr>
          <w:rFonts w:ascii="Times New Roman" w:hAnsi="Times New Roman" w:cs="Times New Roman"/>
          <w:szCs w:val="20"/>
        </w:rPr>
        <w:tab/>
        <w:t>Nelson ME, Fiatarone MA, Morganti CM, Trice I, Greenberg RA, Evans WJ. Effects of high-intensity strength training on multiple risk factors for osteoporotic fractures. A randomized controlled trial. JAMA. 1994;</w:t>
      </w:r>
      <w:r w:rsidRPr="00C350AE">
        <w:rPr>
          <w:rFonts w:ascii="Times New Roman" w:hAnsi="Times New Roman" w:cs="Times New Roman"/>
          <w:b/>
          <w:szCs w:val="20"/>
        </w:rPr>
        <w:t>272</w:t>
      </w:r>
      <w:r w:rsidRPr="00C350AE">
        <w:rPr>
          <w:rFonts w:ascii="Times New Roman" w:hAnsi="Times New Roman" w:cs="Times New Roman"/>
          <w:szCs w:val="20"/>
        </w:rPr>
        <w:t>(24):1909-14.</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62.</w:t>
      </w:r>
      <w:r w:rsidRPr="00C350AE">
        <w:rPr>
          <w:rFonts w:ascii="Times New Roman" w:hAnsi="Times New Roman" w:cs="Times New Roman"/>
          <w:szCs w:val="20"/>
        </w:rPr>
        <w:tab/>
        <w:t>Martin D, Notelovitz M. Effects of aerobic training on bone mineral density of postmenopausal women. J Bone Miner Res. 1993;</w:t>
      </w:r>
      <w:r w:rsidRPr="00C350AE">
        <w:rPr>
          <w:rFonts w:ascii="Times New Roman" w:hAnsi="Times New Roman" w:cs="Times New Roman"/>
          <w:b/>
          <w:szCs w:val="20"/>
        </w:rPr>
        <w:t>8</w:t>
      </w:r>
      <w:r w:rsidRPr="00C350AE">
        <w:rPr>
          <w:rFonts w:ascii="Times New Roman" w:hAnsi="Times New Roman" w:cs="Times New Roman"/>
          <w:szCs w:val="20"/>
        </w:rPr>
        <w:t>(8):931-6.</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63.</w:t>
      </w:r>
      <w:r w:rsidRPr="00C350AE">
        <w:rPr>
          <w:rFonts w:ascii="Times New Roman" w:hAnsi="Times New Roman" w:cs="Times New Roman"/>
          <w:szCs w:val="20"/>
        </w:rPr>
        <w:tab/>
        <w:t>Hatori M, Hasegawa A, Adachi H, Shinozaki A, Hayashi R, Okano H, et al. The effects of walking at the anaerobic threshold level on vertebral bone loss in postmenopausal women. Calcified Tissue International. 1993;</w:t>
      </w:r>
      <w:r w:rsidRPr="00C350AE">
        <w:rPr>
          <w:rFonts w:ascii="Times New Roman" w:hAnsi="Times New Roman" w:cs="Times New Roman"/>
          <w:b/>
          <w:szCs w:val="20"/>
        </w:rPr>
        <w:t>52</w:t>
      </w:r>
      <w:r w:rsidRPr="00C350AE">
        <w:rPr>
          <w:rFonts w:ascii="Times New Roman" w:hAnsi="Times New Roman" w:cs="Times New Roman"/>
          <w:szCs w:val="20"/>
        </w:rPr>
        <w:t>(6):411-4.</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64.</w:t>
      </w:r>
      <w:r w:rsidRPr="00C350AE">
        <w:rPr>
          <w:rFonts w:ascii="Times New Roman" w:hAnsi="Times New Roman" w:cs="Times New Roman"/>
          <w:szCs w:val="20"/>
        </w:rPr>
        <w:tab/>
        <w:t>Lau EMC, Woo J, Leung PC, Swaminathan R, Leung D. The Effects of Calcium Supplementation and Exercise on Bone-Density in Elderly Chinese Women. Osteoporosis International. 1992;</w:t>
      </w:r>
      <w:r w:rsidRPr="00C350AE">
        <w:rPr>
          <w:rFonts w:ascii="Times New Roman" w:hAnsi="Times New Roman" w:cs="Times New Roman"/>
          <w:b/>
          <w:szCs w:val="20"/>
        </w:rPr>
        <w:t>2</w:t>
      </w:r>
      <w:r w:rsidRPr="00C350AE">
        <w:rPr>
          <w:rFonts w:ascii="Times New Roman" w:hAnsi="Times New Roman" w:cs="Times New Roman"/>
          <w:szCs w:val="20"/>
        </w:rPr>
        <w:t>(4):168-73.</w:t>
      </w:r>
    </w:p>
    <w:p w:rsidR="00F7342E" w:rsidRPr="00C350A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65.</w:t>
      </w:r>
      <w:r w:rsidRPr="00C350AE">
        <w:rPr>
          <w:rFonts w:ascii="Times New Roman" w:hAnsi="Times New Roman" w:cs="Times New Roman"/>
          <w:szCs w:val="20"/>
        </w:rPr>
        <w:tab/>
        <w:t>Grove KA, Londeree BR. Bone density in postmenopausal women: high impact vs low impact exercise. Medicine &amp; Science in Sports &amp; Exercise. 1992;</w:t>
      </w:r>
      <w:r w:rsidRPr="00C350AE">
        <w:rPr>
          <w:rFonts w:ascii="Times New Roman" w:hAnsi="Times New Roman" w:cs="Times New Roman"/>
          <w:b/>
          <w:szCs w:val="20"/>
        </w:rPr>
        <w:t>24</w:t>
      </w:r>
      <w:r w:rsidRPr="00C350AE">
        <w:rPr>
          <w:rFonts w:ascii="Times New Roman" w:hAnsi="Times New Roman" w:cs="Times New Roman"/>
          <w:szCs w:val="20"/>
        </w:rPr>
        <w:t>(11):1190-4.</w:t>
      </w:r>
    </w:p>
    <w:p w:rsidR="00F7342E" w:rsidRDefault="00F7342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66.</w:t>
      </w:r>
      <w:r w:rsidRPr="00C350AE">
        <w:rPr>
          <w:rFonts w:ascii="Times New Roman" w:hAnsi="Times New Roman" w:cs="Times New Roman"/>
          <w:szCs w:val="20"/>
        </w:rPr>
        <w:tab/>
        <w:t>Sinaki M, Wahner HW, Offord KP, Hodgson SF. Efficacy of nonloading exercises in prevention of vertebral bone loss in postmenopausal women: a controlled trial. Mayo Clinic Proceedings. 1989;</w:t>
      </w:r>
      <w:r w:rsidRPr="00C350AE">
        <w:rPr>
          <w:rFonts w:ascii="Times New Roman" w:hAnsi="Times New Roman" w:cs="Times New Roman"/>
          <w:b/>
          <w:szCs w:val="20"/>
        </w:rPr>
        <w:t>64</w:t>
      </w:r>
      <w:r w:rsidRPr="00C350AE">
        <w:rPr>
          <w:rFonts w:ascii="Times New Roman" w:hAnsi="Times New Roman" w:cs="Times New Roman"/>
          <w:szCs w:val="20"/>
        </w:rPr>
        <w:t>(7):762-9.</w:t>
      </w:r>
    </w:p>
    <w:p w:rsidR="00C350AE" w:rsidRPr="00C350AE" w:rsidRDefault="00C350AE" w:rsidP="00C350AE">
      <w:pPr>
        <w:rPr>
          <w:rFonts w:ascii="Times New Roman" w:hAnsi="Times New Roman" w:cs="Times New Roman"/>
          <w:b/>
          <w:sz w:val="20"/>
          <w:szCs w:val="16"/>
        </w:rPr>
      </w:pPr>
      <w:r w:rsidRPr="00C350AE">
        <w:rPr>
          <w:rFonts w:ascii="Times New Roman" w:hAnsi="Times New Roman" w:cs="Times New Roman"/>
          <w:b/>
          <w:sz w:val="20"/>
          <w:szCs w:val="16"/>
        </w:rPr>
        <w:t>2.</w:t>
      </w:r>
      <w:r>
        <w:rPr>
          <w:rFonts w:ascii="Times New Roman" w:hAnsi="Times New Roman" w:cs="Times New Roman"/>
          <w:b/>
          <w:sz w:val="20"/>
          <w:szCs w:val="16"/>
        </w:rPr>
        <w:t>2</w:t>
      </w:r>
      <w:r w:rsidRPr="00C350AE">
        <w:rPr>
          <w:rFonts w:ascii="Times New Roman" w:hAnsi="Times New Roman" w:cs="Times New Roman"/>
          <w:b/>
          <w:sz w:val="20"/>
          <w:szCs w:val="16"/>
        </w:rPr>
        <w:t xml:space="preserve"> list of </w:t>
      </w:r>
      <w:r>
        <w:rPr>
          <w:rFonts w:ascii="Times New Roman" w:hAnsi="Times New Roman" w:cs="Times New Roman"/>
          <w:b/>
          <w:sz w:val="20"/>
          <w:szCs w:val="16"/>
        </w:rPr>
        <w:t>excluded</w:t>
      </w:r>
      <w:r w:rsidRPr="00C350AE">
        <w:rPr>
          <w:rFonts w:ascii="Times New Roman" w:hAnsi="Times New Roman" w:cs="Times New Roman"/>
          <w:b/>
          <w:sz w:val="20"/>
          <w:szCs w:val="16"/>
        </w:rPr>
        <w:t xml:space="preserve"> studies</w:t>
      </w:r>
    </w:p>
    <w:p w:rsidR="00C350AE" w:rsidRPr="00C350AE" w:rsidRDefault="00C350AE" w:rsidP="00C350AE">
      <w:pPr>
        <w:rPr>
          <w:rFonts w:ascii="Times New Roman" w:hAnsi="Times New Roman" w:cs="Times New Roman"/>
          <w:b/>
          <w:sz w:val="20"/>
          <w:szCs w:val="20"/>
        </w:rPr>
      </w:pPr>
      <w:r w:rsidRPr="00C350AE">
        <w:rPr>
          <w:rFonts w:ascii="Times New Roman" w:hAnsi="Times New Roman" w:cs="Times New Roman"/>
          <w:b/>
          <w:sz w:val="20"/>
          <w:szCs w:val="20"/>
        </w:rPr>
        <w:t>Not randomized trials (n=50) :</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w:t>
      </w:r>
      <w:r w:rsidRPr="00C350AE">
        <w:rPr>
          <w:rFonts w:ascii="Times New Roman" w:hAnsi="Times New Roman" w:cs="Times New Roman"/>
          <w:szCs w:val="20"/>
        </w:rPr>
        <w:tab/>
        <w:t xml:space="preserve">Yu, P.A., et al., </w:t>
      </w:r>
      <w:r w:rsidRPr="00C350AE">
        <w:rPr>
          <w:rFonts w:ascii="Times New Roman" w:hAnsi="Times New Roman" w:cs="Times New Roman"/>
          <w:i/>
          <w:szCs w:val="20"/>
        </w:rPr>
        <w:t>The effects of high impact exercise intervention on bone mineral density, physical fitness, and quality of life in postmenopausal women with osteopenia: A retrospective cohort study.</w:t>
      </w:r>
      <w:r w:rsidRPr="00C350AE">
        <w:rPr>
          <w:rFonts w:ascii="Times New Roman" w:hAnsi="Times New Roman" w:cs="Times New Roman"/>
          <w:szCs w:val="20"/>
        </w:rPr>
        <w:t xml:space="preserve"> Medicine, 2019. </w:t>
      </w:r>
      <w:r w:rsidRPr="00C350AE">
        <w:rPr>
          <w:rFonts w:ascii="Times New Roman" w:hAnsi="Times New Roman" w:cs="Times New Roman"/>
          <w:b/>
          <w:szCs w:val="20"/>
        </w:rPr>
        <w:t>98</w:t>
      </w:r>
      <w:r w:rsidRPr="00C350AE">
        <w:rPr>
          <w:rFonts w:ascii="Times New Roman" w:hAnsi="Times New Roman" w:cs="Times New Roman"/>
          <w:szCs w:val="20"/>
        </w:rPr>
        <w:t>(11).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w:t>
      </w:r>
      <w:r w:rsidRPr="00C350AE">
        <w:rPr>
          <w:rFonts w:ascii="Times New Roman" w:hAnsi="Times New Roman" w:cs="Times New Roman"/>
          <w:szCs w:val="20"/>
        </w:rPr>
        <w:tab/>
        <w:t xml:space="preserve">Yamazaki, S., et al., </w:t>
      </w:r>
      <w:r w:rsidRPr="00C350AE">
        <w:rPr>
          <w:rFonts w:ascii="Times New Roman" w:hAnsi="Times New Roman" w:cs="Times New Roman"/>
          <w:i/>
          <w:szCs w:val="20"/>
        </w:rPr>
        <w:t>Effect of walking exercise on bone metabolism in postmenopausal women with osteopenia/osteoporosis.</w:t>
      </w:r>
      <w:r w:rsidRPr="00C350AE">
        <w:rPr>
          <w:rFonts w:ascii="Times New Roman" w:hAnsi="Times New Roman" w:cs="Times New Roman"/>
          <w:szCs w:val="20"/>
        </w:rPr>
        <w:t xml:space="preserve"> J Bone Miner Metab, 2004. </w:t>
      </w:r>
      <w:r w:rsidRPr="00C350AE">
        <w:rPr>
          <w:rFonts w:ascii="Times New Roman" w:hAnsi="Times New Roman" w:cs="Times New Roman"/>
          <w:b/>
          <w:szCs w:val="20"/>
        </w:rPr>
        <w:t>22</w:t>
      </w:r>
      <w:r w:rsidRPr="00C350AE">
        <w:rPr>
          <w:rFonts w:ascii="Times New Roman" w:hAnsi="Times New Roman" w:cs="Times New Roman"/>
          <w:szCs w:val="20"/>
        </w:rPr>
        <w:t>(5): p. 500-8.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w:t>
      </w:r>
      <w:r w:rsidRPr="00C350AE">
        <w:rPr>
          <w:rFonts w:ascii="Times New Roman" w:hAnsi="Times New Roman" w:cs="Times New Roman"/>
          <w:szCs w:val="20"/>
        </w:rPr>
        <w:tab/>
        <w:t xml:space="preserve">Walker, M., et al., </w:t>
      </w:r>
      <w:r w:rsidRPr="00C350AE">
        <w:rPr>
          <w:rFonts w:ascii="Times New Roman" w:hAnsi="Times New Roman" w:cs="Times New Roman"/>
          <w:i/>
          <w:szCs w:val="20"/>
        </w:rPr>
        <w:t>Longitudinal evaluation of supervised versus unsupervised exercise programs for the treatment of osteoporosis.</w:t>
      </w:r>
      <w:r w:rsidRPr="00C350AE">
        <w:rPr>
          <w:rFonts w:ascii="Times New Roman" w:hAnsi="Times New Roman" w:cs="Times New Roman"/>
          <w:szCs w:val="20"/>
        </w:rPr>
        <w:t xml:space="preserve"> European Journal of Applied Physiology, 2000. </w:t>
      </w:r>
      <w:r w:rsidRPr="00C350AE">
        <w:rPr>
          <w:rFonts w:ascii="Times New Roman" w:hAnsi="Times New Roman" w:cs="Times New Roman"/>
          <w:b/>
          <w:szCs w:val="20"/>
        </w:rPr>
        <w:t>83</w:t>
      </w:r>
      <w:r w:rsidRPr="00C350AE">
        <w:rPr>
          <w:rFonts w:ascii="Times New Roman" w:hAnsi="Times New Roman" w:cs="Times New Roman"/>
          <w:szCs w:val="20"/>
        </w:rPr>
        <w:t>(4-5): p. 349-355.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w:t>
      </w:r>
      <w:r w:rsidRPr="00C350AE">
        <w:rPr>
          <w:rFonts w:ascii="Times New Roman" w:hAnsi="Times New Roman" w:cs="Times New Roman"/>
          <w:szCs w:val="20"/>
        </w:rPr>
        <w:tab/>
        <w:t xml:space="preserve">Villareal, D.T., et al., </w:t>
      </w:r>
      <w:r w:rsidRPr="00C350AE">
        <w:rPr>
          <w:rFonts w:ascii="Times New Roman" w:hAnsi="Times New Roman" w:cs="Times New Roman"/>
          <w:i/>
          <w:szCs w:val="20"/>
        </w:rPr>
        <w:t>Effects of exercise training added to ongoing hormone replacement therapy on bone mineral density in frail elderly women.</w:t>
      </w:r>
      <w:r w:rsidRPr="00C350AE">
        <w:rPr>
          <w:rFonts w:ascii="Times New Roman" w:hAnsi="Times New Roman" w:cs="Times New Roman"/>
          <w:szCs w:val="20"/>
        </w:rPr>
        <w:t xml:space="preserve"> Journal of the American Geriatrics Society, 2003. </w:t>
      </w:r>
      <w:r w:rsidRPr="00C350AE">
        <w:rPr>
          <w:rFonts w:ascii="Times New Roman" w:hAnsi="Times New Roman" w:cs="Times New Roman"/>
          <w:b/>
          <w:szCs w:val="20"/>
        </w:rPr>
        <w:t>51</w:t>
      </w:r>
      <w:r w:rsidRPr="00C350AE">
        <w:rPr>
          <w:rFonts w:ascii="Times New Roman" w:hAnsi="Times New Roman" w:cs="Times New Roman"/>
          <w:szCs w:val="20"/>
        </w:rPr>
        <w:t>(7): p. 985-90.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w:t>
      </w:r>
      <w:r w:rsidRPr="00C350AE">
        <w:rPr>
          <w:rFonts w:ascii="Times New Roman" w:hAnsi="Times New Roman" w:cs="Times New Roman"/>
          <w:szCs w:val="20"/>
        </w:rPr>
        <w:tab/>
        <w:t xml:space="preserve">Villalon, K.L., et al., </w:t>
      </w:r>
      <w:r w:rsidRPr="00C350AE">
        <w:rPr>
          <w:rFonts w:ascii="Times New Roman" w:hAnsi="Times New Roman" w:cs="Times New Roman"/>
          <w:i/>
          <w:szCs w:val="20"/>
        </w:rPr>
        <w:t>A losing battle: weight regain does not restore weight loss-induced bone loss in postmenopausal women.</w:t>
      </w:r>
      <w:r w:rsidRPr="00C350AE">
        <w:rPr>
          <w:rFonts w:ascii="Times New Roman" w:hAnsi="Times New Roman" w:cs="Times New Roman"/>
          <w:szCs w:val="20"/>
        </w:rPr>
        <w:t xml:space="preserve"> Obesity, 2011. </w:t>
      </w:r>
      <w:r w:rsidRPr="00C350AE">
        <w:rPr>
          <w:rFonts w:ascii="Times New Roman" w:hAnsi="Times New Roman" w:cs="Times New Roman"/>
          <w:b/>
          <w:szCs w:val="20"/>
        </w:rPr>
        <w:t>19</w:t>
      </w:r>
      <w:r w:rsidRPr="00C350AE">
        <w:rPr>
          <w:rFonts w:ascii="Times New Roman" w:hAnsi="Times New Roman" w:cs="Times New Roman"/>
          <w:szCs w:val="20"/>
        </w:rPr>
        <w:t>(12): p. 2345-50.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w:t>
      </w:r>
      <w:r w:rsidRPr="00C350AE">
        <w:rPr>
          <w:rFonts w:ascii="Times New Roman" w:hAnsi="Times New Roman" w:cs="Times New Roman"/>
          <w:szCs w:val="20"/>
        </w:rPr>
        <w:tab/>
        <w:t xml:space="preserve">Uusi-Rasi, K., et al., </w:t>
      </w:r>
      <w:r w:rsidRPr="00C350AE">
        <w:rPr>
          <w:rFonts w:ascii="Times New Roman" w:hAnsi="Times New Roman" w:cs="Times New Roman"/>
          <w:i/>
          <w:szCs w:val="20"/>
        </w:rPr>
        <w:t>Long-term recreational gymnastics, estrogen use, and selected risk factors for osteoporotic fractures.</w:t>
      </w:r>
      <w:r w:rsidRPr="00C350AE">
        <w:rPr>
          <w:rFonts w:ascii="Times New Roman" w:hAnsi="Times New Roman" w:cs="Times New Roman"/>
          <w:szCs w:val="20"/>
        </w:rPr>
        <w:t xml:space="preserve"> Journal of Bone and Mineral Research, 1999. </w:t>
      </w:r>
      <w:r w:rsidRPr="00C350AE">
        <w:rPr>
          <w:rFonts w:ascii="Times New Roman" w:hAnsi="Times New Roman" w:cs="Times New Roman"/>
          <w:b/>
          <w:szCs w:val="20"/>
        </w:rPr>
        <w:t>14</w:t>
      </w:r>
      <w:r w:rsidRPr="00C350AE">
        <w:rPr>
          <w:rFonts w:ascii="Times New Roman" w:hAnsi="Times New Roman" w:cs="Times New Roman"/>
          <w:szCs w:val="20"/>
        </w:rPr>
        <w:t>(7): p. 1231-1238.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w:t>
      </w:r>
      <w:r w:rsidRPr="00C350AE">
        <w:rPr>
          <w:rFonts w:ascii="Times New Roman" w:hAnsi="Times New Roman" w:cs="Times New Roman"/>
          <w:szCs w:val="20"/>
        </w:rPr>
        <w:tab/>
        <w:t xml:space="preserve">Thorsen, K., A. Kristoffersson, and R. Lorentzon, </w:t>
      </w:r>
      <w:r w:rsidRPr="00C350AE">
        <w:rPr>
          <w:rFonts w:ascii="Times New Roman" w:hAnsi="Times New Roman" w:cs="Times New Roman"/>
          <w:i/>
          <w:szCs w:val="20"/>
        </w:rPr>
        <w:t>The effects of brisk walking on markers of bone and calcium metabolism in postmenopausal women.</w:t>
      </w:r>
      <w:r w:rsidRPr="00C350AE">
        <w:rPr>
          <w:rFonts w:ascii="Times New Roman" w:hAnsi="Times New Roman" w:cs="Times New Roman"/>
          <w:szCs w:val="20"/>
        </w:rPr>
        <w:t xml:space="preserve"> Calcified Tissue International, 1996. </w:t>
      </w:r>
      <w:r w:rsidRPr="00C350AE">
        <w:rPr>
          <w:rFonts w:ascii="Times New Roman" w:hAnsi="Times New Roman" w:cs="Times New Roman"/>
          <w:b/>
          <w:szCs w:val="20"/>
        </w:rPr>
        <w:t>58</w:t>
      </w:r>
      <w:r w:rsidRPr="00C350AE">
        <w:rPr>
          <w:rFonts w:ascii="Times New Roman" w:hAnsi="Times New Roman" w:cs="Times New Roman"/>
          <w:szCs w:val="20"/>
        </w:rPr>
        <w:t>(4): p. 221-225.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8.</w:t>
      </w:r>
      <w:r w:rsidRPr="00C350AE">
        <w:rPr>
          <w:rFonts w:ascii="Times New Roman" w:hAnsi="Times New Roman" w:cs="Times New Roman"/>
          <w:szCs w:val="20"/>
        </w:rPr>
        <w:tab/>
        <w:t xml:space="preserve">Thompson, J.L., et al., </w:t>
      </w:r>
      <w:r w:rsidRPr="00C350AE">
        <w:rPr>
          <w:rFonts w:ascii="Times New Roman" w:hAnsi="Times New Roman" w:cs="Times New Roman"/>
          <w:i/>
          <w:szCs w:val="20"/>
        </w:rPr>
        <w:t>Effects of diet and exercise on energy expenditure in postmenopausal women.</w:t>
      </w:r>
      <w:r w:rsidRPr="00C350AE">
        <w:rPr>
          <w:rFonts w:ascii="Times New Roman" w:hAnsi="Times New Roman" w:cs="Times New Roman"/>
          <w:szCs w:val="20"/>
        </w:rPr>
        <w:t xml:space="preserve"> American Journal of Clinical Nutrition, 1997. </w:t>
      </w:r>
      <w:r w:rsidRPr="00C350AE">
        <w:rPr>
          <w:rFonts w:ascii="Times New Roman" w:hAnsi="Times New Roman" w:cs="Times New Roman"/>
          <w:b/>
          <w:szCs w:val="20"/>
        </w:rPr>
        <w:t>66</w:t>
      </w:r>
      <w:r w:rsidRPr="00C350AE">
        <w:rPr>
          <w:rFonts w:ascii="Times New Roman" w:hAnsi="Times New Roman" w:cs="Times New Roman"/>
          <w:szCs w:val="20"/>
        </w:rPr>
        <w:t>(4): p. 867-73.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lastRenderedPageBreak/>
        <w:t>9.</w:t>
      </w:r>
      <w:r w:rsidRPr="00C350AE">
        <w:rPr>
          <w:rFonts w:ascii="Times New Roman" w:hAnsi="Times New Roman" w:cs="Times New Roman"/>
          <w:szCs w:val="20"/>
        </w:rPr>
        <w:tab/>
        <w:t xml:space="preserve">Tabor, E., et al., </w:t>
      </w:r>
      <w:r w:rsidRPr="00C350AE">
        <w:rPr>
          <w:rFonts w:ascii="Times New Roman" w:hAnsi="Times New Roman" w:cs="Times New Roman"/>
          <w:i/>
          <w:szCs w:val="20"/>
        </w:rPr>
        <w:t>The role of physical activity in early adulthood and middle-age on bone health after menopause in epidemiological population from Silesia Osteo Active Study.</w:t>
      </w:r>
      <w:r w:rsidRPr="00C350AE">
        <w:rPr>
          <w:rFonts w:ascii="Times New Roman" w:hAnsi="Times New Roman" w:cs="Times New Roman"/>
          <w:szCs w:val="20"/>
        </w:rPr>
        <w:t xml:space="preserve"> International Journal of Clinical Practice, 2016. </w:t>
      </w:r>
      <w:r w:rsidRPr="00C350AE">
        <w:rPr>
          <w:rFonts w:ascii="Times New Roman" w:hAnsi="Times New Roman" w:cs="Times New Roman"/>
          <w:b/>
          <w:szCs w:val="20"/>
        </w:rPr>
        <w:t>70</w:t>
      </w:r>
      <w:r w:rsidRPr="00C350AE">
        <w:rPr>
          <w:rFonts w:ascii="Times New Roman" w:hAnsi="Times New Roman" w:cs="Times New Roman"/>
          <w:szCs w:val="20"/>
        </w:rPr>
        <w:t>(10): p. 835-842.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10.</w:t>
      </w:r>
      <w:r w:rsidRPr="00C350AE">
        <w:rPr>
          <w:rFonts w:ascii="Times New Roman" w:hAnsi="Times New Roman" w:cs="Times New Roman"/>
          <w:szCs w:val="20"/>
        </w:rPr>
        <w:tab/>
        <w:t xml:space="preserve">Suominen, H., </w:t>
      </w:r>
      <w:r w:rsidRPr="00C350AE">
        <w:rPr>
          <w:rFonts w:ascii="Times New Roman" w:hAnsi="Times New Roman" w:cs="Times New Roman"/>
          <w:i/>
          <w:szCs w:val="20"/>
        </w:rPr>
        <w:t>Muscle training for bone strength.</w:t>
      </w:r>
      <w:r w:rsidRPr="00C350AE">
        <w:rPr>
          <w:rFonts w:ascii="Times New Roman" w:hAnsi="Times New Roman" w:cs="Times New Roman"/>
          <w:szCs w:val="20"/>
        </w:rPr>
        <w:t xml:space="preserve"> Aging Clinical and Experimental Research, 2006. </w:t>
      </w:r>
      <w:r w:rsidRPr="00C350AE">
        <w:rPr>
          <w:rFonts w:ascii="Times New Roman" w:hAnsi="Times New Roman" w:cs="Times New Roman"/>
          <w:b/>
          <w:szCs w:val="20"/>
        </w:rPr>
        <w:t>18</w:t>
      </w:r>
      <w:r w:rsidRPr="00C350AE">
        <w:rPr>
          <w:rFonts w:ascii="Times New Roman" w:hAnsi="Times New Roman" w:cs="Times New Roman"/>
          <w:szCs w:val="20"/>
        </w:rPr>
        <w:t>(2): p. 85-93.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11.</w:t>
      </w:r>
      <w:r w:rsidRPr="00C350AE">
        <w:rPr>
          <w:rFonts w:ascii="Times New Roman" w:hAnsi="Times New Roman" w:cs="Times New Roman"/>
          <w:szCs w:val="20"/>
        </w:rPr>
        <w:tab/>
        <w:t xml:space="preserve">Snow, C.M., et al., </w:t>
      </w:r>
      <w:r w:rsidRPr="00C350AE">
        <w:rPr>
          <w:rFonts w:ascii="Times New Roman" w:hAnsi="Times New Roman" w:cs="Times New Roman"/>
          <w:i/>
          <w:szCs w:val="20"/>
        </w:rPr>
        <w:t>Long-term exercise using weighted vests prevents hip bone loss in postmenopausal women.</w:t>
      </w:r>
      <w:r w:rsidRPr="00C350AE">
        <w:rPr>
          <w:rFonts w:ascii="Times New Roman" w:hAnsi="Times New Roman" w:cs="Times New Roman"/>
          <w:szCs w:val="20"/>
        </w:rPr>
        <w:t xml:space="preserve"> Journals of Gerontology Series a-Biological Sciences and Medical Sciences, 2000. </w:t>
      </w:r>
      <w:r w:rsidRPr="00C350AE">
        <w:rPr>
          <w:rFonts w:ascii="Times New Roman" w:hAnsi="Times New Roman" w:cs="Times New Roman"/>
          <w:b/>
          <w:szCs w:val="20"/>
        </w:rPr>
        <w:t>55</w:t>
      </w:r>
      <w:r w:rsidRPr="00C350AE">
        <w:rPr>
          <w:rFonts w:ascii="Times New Roman" w:hAnsi="Times New Roman" w:cs="Times New Roman"/>
          <w:szCs w:val="20"/>
        </w:rPr>
        <w:t>(9): p. M489-M491.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12.</w:t>
      </w:r>
      <w:r w:rsidRPr="00C350AE">
        <w:rPr>
          <w:rFonts w:ascii="Times New Roman" w:hAnsi="Times New Roman" w:cs="Times New Roman"/>
          <w:szCs w:val="20"/>
        </w:rPr>
        <w:tab/>
        <w:t xml:space="preserve">Silverman, N.E., B.J. Nicklas, and A.S. Ryan, </w:t>
      </w:r>
      <w:r w:rsidRPr="00C350AE">
        <w:rPr>
          <w:rFonts w:ascii="Times New Roman" w:hAnsi="Times New Roman" w:cs="Times New Roman"/>
          <w:i/>
          <w:szCs w:val="20"/>
        </w:rPr>
        <w:t>Addition of aerobic exercise to a weight loss program increases BMD, with an associated reduction in inflammation in overweight postmenopausal women.</w:t>
      </w:r>
      <w:r w:rsidRPr="00C350AE">
        <w:rPr>
          <w:rFonts w:ascii="Times New Roman" w:hAnsi="Times New Roman" w:cs="Times New Roman"/>
          <w:szCs w:val="20"/>
        </w:rPr>
        <w:t xml:space="preserve"> Calcified Tissue International, 2009. </w:t>
      </w:r>
      <w:r w:rsidRPr="00C350AE">
        <w:rPr>
          <w:rFonts w:ascii="Times New Roman" w:hAnsi="Times New Roman" w:cs="Times New Roman"/>
          <w:b/>
          <w:szCs w:val="20"/>
        </w:rPr>
        <w:t>84</w:t>
      </w:r>
      <w:r w:rsidRPr="00C350AE">
        <w:rPr>
          <w:rFonts w:ascii="Times New Roman" w:hAnsi="Times New Roman" w:cs="Times New Roman"/>
          <w:szCs w:val="20"/>
        </w:rPr>
        <w:t>(4): p. 257-65.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13.</w:t>
      </w:r>
      <w:r w:rsidRPr="00C350AE">
        <w:rPr>
          <w:rFonts w:ascii="Times New Roman" w:hAnsi="Times New Roman" w:cs="Times New Roman"/>
          <w:szCs w:val="20"/>
        </w:rPr>
        <w:tab/>
        <w:t xml:space="preserve">Shaw, J.M. and C.M. Snow, </w:t>
      </w:r>
      <w:r w:rsidRPr="00C350AE">
        <w:rPr>
          <w:rFonts w:ascii="Times New Roman" w:hAnsi="Times New Roman" w:cs="Times New Roman"/>
          <w:i/>
          <w:szCs w:val="20"/>
        </w:rPr>
        <w:t>Weighted vest exercise improves indices of fall risk in older women.</w:t>
      </w:r>
      <w:r w:rsidRPr="00C350AE">
        <w:rPr>
          <w:rFonts w:ascii="Times New Roman" w:hAnsi="Times New Roman" w:cs="Times New Roman"/>
          <w:szCs w:val="20"/>
        </w:rPr>
        <w:t xml:space="preserve"> Journals of Gerontology Series a-Biological Sciences and Medical Sciences, 1998. </w:t>
      </w:r>
      <w:r w:rsidRPr="00C350AE">
        <w:rPr>
          <w:rFonts w:ascii="Times New Roman" w:hAnsi="Times New Roman" w:cs="Times New Roman"/>
          <w:b/>
          <w:szCs w:val="20"/>
        </w:rPr>
        <w:t>53</w:t>
      </w:r>
      <w:r w:rsidRPr="00C350AE">
        <w:rPr>
          <w:rFonts w:ascii="Times New Roman" w:hAnsi="Times New Roman" w:cs="Times New Roman"/>
          <w:szCs w:val="20"/>
        </w:rPr>
        <w:t>(1): p. M53-M58.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14.</w:t>
      </w:r>
      <w:r w:rsidRPr="00C350AE">
        <w:rPr>
          <w:rFonts w:ascii="Times New Roman" w:hAnsi="Times New Roman" w:cs="Times New Roman"/>
          <w:szCs w:val="20"/>
        </w:rPr>
        <w:tab/>
        <w:t xml:space="preserve">Ryan, A.S., B.J. Nicklas, and K.E. Dennis, </w:t>
      </w:r>
      <w:r w:rsidRPr="00C350AE">
        <w:rPr>
          <w:rFonts w:ascii="Times New Roman" w:hAnsi="Times New Roman" w:cs="Times New Roman"/>
          <w:i/>
          <w:szCs w:val="20"/>
        </w:rPr>
        <w:t>Aerobic exercise maintains regional bone mineral density during weight loss in postmenopausal women.</w:t>
      </w:r>
      <w:r w:rsidRPr="00C350AE">
        <w:rPr>
          <w:rFonts w:ascii="Times New Roman" w:hAnsi="Times New Roman" w:cs="Times New Roman"/>
          <w:szCs w:val="20"/>
        </w:rPr>
        <w:t xml:space="preserve"> J Appl Physiol (1985), 1998. </w:t>
      </w:r>
      <w:r w:rsidRPr="00C350AE">
        <w:rPr>
          <w:rFonts w:ascii="Times New Roman" w:hAnsi="Times New Roman" w:cs="Times New Roman"/>
          <w:b/>
          <w:szCs w:val="20"/>
        </w:rPr>
        <w:t>84</w:t>
      </w:r>
      <w:r w:rsidRPr="00C350AE">
        <w:rPr>
          <w:rFonts w:ascii="Times New Roman" w:hAnsi="Times New Roman" w:cs="Times New Roman"/>
          <w:szCs w:val="20"/>
        </w:rPr>
        <w:t>(4): p. 1305-10.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15.</w:t>
      </w:r>
      <w:r w:rsidRPr="00C350AE">
        <w:rPr>
          <w:rFonts w:ascii="Times New Roman" w:hAnsi="Times New Roman" w:cs="Times New Roman"/>
          <w:szCs w:val="20"/>
        </w:rPr>
        <w:tab/>
        <w:t xml:space="preserve">Rafiq, S., et al., </w:t>
      </w:r>
      <w:r w:rsidRPr="00C350AE">
        <w:rPr>
          <w:rFonts w:ascii="Times New Roman" w:hAnsi="Times New Roman" w:cs="Times New Roman"/>
          <w:i/>
          <w:szCs w:val="20"/>
        </w:rPr>
        <w:t>Role of Weight-Bearing Exercises in the Treatment of Post-Menopausal Osteoporosis.</w:t>
      </w:r>
      <w:r w:rsidRPr="00C350AE">
        <w:rPr>
          <w:rFonts w:ascii="Times New Roman" w:hAnsi="Times New Roman" w:cs="Times New Roman"/>
          <w:szCs w:val="20"/>
        </w:rPr>
        <w:t xml:space="preserve"> Jcpsp, Journal of the College of Physicians &amp; Surgeons - Pakistan, 2018. </w:t>
      </w:r>
      <w:r w:rsidRPr="00C350AE">
        <w:rPr>
          <w:rFonts w:ascii="Times New Roman" w:hAnsi="Times New Roman" w:cs="Times New Roman"/>
          <w:b/>
          <w:szCs w:val="20"/>
        </w:rPr>
        <w:t>28</w:t>
      </w:r>
      <w:r w:rsidRPr="00C350AE">
        <w:rPr>
          <w:rFonts w:ascii="Times New Roman" w:hAnsi="Times New Roman" w:cs="Times New Roman"/>
          <w:szCs w:val="20"/>
        </w:rPr>
        <w:t>(2): p. 122-125.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16.</w:t>
      </w:r>
      <w:r w:rsidRPr="00C350AE">
        <w:rPr>
          <w:rFonts w:ascii="Times New Roman" w:hAnsi="Times New Roman" w:cs="Times New Roman"/>
          <w:szCs w:val="20"/>
        </w:rPr>
        <w:tab/>
        <w:t xml:space="preserve">Qin, L., et al., </w:t>
      </w:r>
      <w:r w:rsidRPr="00C350AE">
        <w:rPr>
          <w:rFonts w:ascii="Times New Roman" w:hAnsi="Times New Roman" w:cs="Times New Roman"/>
          <w:i/>
          <w:szCs w:val="20"/>
        </w:rPr>
        <w:t>Regular Tai Chi Chuan exercise may retard bone loss in postmenopausal women: A case-control study.</w:t>
      </w:r>
      <w:r w:rsidRPr="00C350AE">
        <w:rPr>
          <w:rFonts w:ascii="Times New Roman" w:hAnsi="Times New Roman" w:cs="Times New Roman"/>
          <w:szCs w:val="20"/>
        </w:rPr>
        <w:t xml:space="preserve"> Arch Phys Med Rehabil, 2002. </w:t>
      </w:r>
      <w:r w:rsidRPr="00C350AE">
        <w:rPr>
          <w:rFonts w:ascii="Times New Roman" w:hAnsi="Times New Roman" w:cs="Times New Roman"/>
          <w:b/>
          <w:szCs w:val="20"/>
        </w:rPr>
        <w:t>83</w:t>
      </w:r>
      <w:r w:rsidRPr="00C350AE">
        <w:rPr>
          <w:rFonts w:ascii="Times New Roman" w:hAnsi="Times New Roman" w:cs="Times New Roman"/>
          <w:szCs w:val="20"/>
        </w:rPr>
        <w:t>(10): p. 1355-9.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17.</w:t>
      </w:r>
      <w:r w:rsidRPr="00C350AE">
        <w:rPr>
          <w:rFonts w:ascii="Times New Roman" w:hAnsi="Times New Roman" w:cs="Times New Roman"/>
          <w:szCs w:val="20"/>
        </w:rPr>
        <w:tab/>
        <w:t xml:space="preserve">Nurzenski, M.K., et al., </w:t>
      </w:r>
      <w:r w:rsidRPr="00C350AE">
        <w:rPr>
          <w:rFonts w:ascii="Times New Roman" w:hAnsi="Times New Roman" w:cs="Times New Roman"/>
          <w:i/>
          <w:szCs w:val="20"/>
        </w:rPr>
        <w:t>Geometric indices of bone strength are associated with physical activity and dietary calcium intake in healthy older women.</w:t>
      </w:r>
      <w:r w:rsidRPr="00C350AE">
        <w:rPr>
          <w:rFonts w:ascii="Times New Roman" w:hAnsi="Times New Roman" w:cs="Times New Roman"/>
          <w:szCs w:val="20"/>
        </w:rPr>
        <w:t xml:space="preserve"> Journal of Bone &amp; Mineral Research, 2007. </w:t>
      </w:r>
      <w:r w:rsidRPr="00C350AE">
        <w:rPr>
          <w:rFonts w:ascii="Times New Roman" w:hAnsi="Times New Roman" w:cs="Times New Roman"/>
          <w:b/>
          <w:szCs w:val="20"/>
        </w:rPr>
        <w:t>22</w:t>
      </w:r>
      <w:r w:rsidRPr="00C350AE">
        <w:rPr>
          <w:rFonts w:ascii="Times New Roman" w:hAnsi="Times New Roman" w:cs="Times New Roman"/>
          <w:szCs w:val="20"/>
        </w:rPr>
        <w:t>(3): p. 416-24.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18.</w:t>
      </w:r>
      <w:r w:rsidRPr="00C350AE">
        <w:rPr>
          <w:rFonts w:ascii="Times New Roman" w:hAnsi="Times New Roman" w:cs="Times New Roman"/>
          <w:szCs w:val="20"/>
        </w:rPr>
        <w:tab/>
        <w:t xml:space="preserve">Ng, C.A., et al., </w:t>
      </w:r>
      <w:r w:rsidRPr="00C350AE">
        <w:rPr>
          <w:rFonts w:ascii="Times New Roman" w:hAnsi="Times New Roman" w:cs="Times New Roman"/>
          <w:i/>
          <w:szCs w:val="20"/>
        </w:rPr>
        <w:t>Feasibility, safety and effectiveness of a pilot 16-week home-based, impact exercise intervention in postmenopausal women with low bone mineral density.</w:t>
      </w:r>
      <w:r w:rsidRPr="00C350AE">
        <w:rPr>
          <w:rFonts w:ascii="Times New Roman" w:hAnsi="Times New Roman" w:cs="Times New Roman"/>
          <w:szCs w:val="20"/>
        </w:rPr>
        <w:t xml:space="preserve"> Osteoporosis International, 2020. </w:t>
      </w:r>
      <w:r w:rsidRPr="00C350AE">
        <w:rPr>
          <w:rFonts w:ascii="Times New Roman" w:hAnsi="Times New Roman" w:cs="Times New Roman"/>
          <w:b/>
          <w:szCs w:val="20"/>
        </w:rPr>
        <w:t>07</w:t>
      </w:r>
      <w:r w:rsidRPr="00C350AE">
        <w:rPr>
          <w:rFonts w:ascii="Times New Roman" w:hAnsi="Times New Roman" w:cs="Times New Roman"/>
          <w:szCs w:val="20"/>
        </w:rPr>
        <w:t>: p. 07.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19.</w:t>
      </w:r>
      <w:r w:rsidRPr="00C350AE">
        <w:rPr>
          <w:rFonts w:ascii="Times New Roman" w:hAnsi="Times New Roman" w:cs="Times New Roman"/>
          <w:szCs w:val="20"/>
        </w:rPr>
        <w:tab/>
        <w:t xml:space="preserve">Nelson, M.E., et al., </w:t>
      </w:r>
      <w:r w:rsidRPr="00C350AE">
        <w:rPr>
          <w:rFonts w:ascii="Times New Roman" w:hAnsi="Times New Roman" w:cs="Times New Roman"/>
          <w:i/>
          <w:szCs w:val="20"/>
        </w:rPr>
        <w:t>A 1-y walking program and increased dietary calcium in postmenopausal women: effects on bone.</w:t>
      </w:r>
      <w:r w:rsidRPr="00C350AE">
        <w:rPr>
          <w:rFonts w:ascii="Times New Roman" w:hAnsi="Times New Roman" w:cs="Times New Roman"/>
          <w:szCs w:val="20"/>
        </w:rPr>
        <w:t xml:space="preserve"> American Journal of Clinical Nutrition, 1991. </w:t>
      </w:r>
      <w:r w:rsidRPr="00C350AE">
        <w:rPr>
          <w:rFonts w:ascii="Times New Roman" w:hAnsi="Times New Roman" w:cs="Times New Roman"/>
          <w:b/>
          <w:szCs w:val="20"/>
        </w:rPr>
        <w:t>53</w:t>
      </w:r>
      <w:r w:rsidRPr="00C350AE">
        <w:rPr>
          <w:rFonts w:ascii="Times New Roman" w:hAnsi="Times New Roman" w:cs="Times New Roman"/>
          <w:szCs w:val="20"/>
        </w:rPr>
        <w:t>(5): p. 1304-11.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20.</w:t>
      </w:r>
      <w:r w:rsidRPr="00C350AE">
        <w:rPr>
          <w:rFonts w:ascii="Times New Roman" w:hAnsi="Times New Roman" w:cs="Times New Roman"/>
          <w:szCs w:val="20"/>
        </w:rPr>
        <w:tab/>
        <w:t xml:space="preserve">Miller, L.E., et al., </w:t>
      </w:r>
      <w:r w:rsidRPr="00C350AE">
        <w:rPr>
          <w:rFonts w:ascii="Times New Roman" w:hAnsi="Times New Roman" w:cs="Times New Roman"/>
          <w:i/>
          <w:szCs w:val="20"/>
        </w:rPr>
        <w:t>Bone mineral density in postmenopausal women - Does exercise training make a difference?</w:t>
      </w:r>
      <w:r w:rsidRPr="00C350AE">
        <w:rPr>
          <w:rFonts w:ascii="Times New Roman" w:hAnsi="Times New Roman" w:cs="Times New Roman"/>
          <w:szCs w:val="20"/>
        </w:rPr>
        <w:t xml:space="preserve"> Physician and Sportsmedicine, 2004. </w:t>
      </w:r>
      <w:r w:rsidRPr="00C350AE">
        <w:rPr>
          <w:rFonts w:ascii="Times New Roman" w:hAnsi="Times New Roman" w:cs="Times New Roman"/>
          <w:b/>
          <w:szCs w:val="20"/>
        </w:rPr>
        <w:t>32</w:t>
      </w:r>
      <w:r w:rsidRPr="00C350AE">
        <w:rPr>
          <w:rFonts w:ascii="Times New Roman" w:hAnsi="Times New Roman" w:cs="Times New Roman"/>
          <w:szCs w:val="20"/>
        </w:rPr>
        <w:t>(2): p. 18-24.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21.</w:t>
      </w:r>
      <w:r w:rsidRPr="00C350AE">
        <w:rPr>
          <w:rFonts w:ascii="Times New Roman" w:hAnsi="Times New Roman" w:cs="Times New Roman"/>
          <w:szCs w:val="20"/>
        </w:rPr>
        <w:tab/>
        <w:t xml:space="preserve">McNamara, A. and K. Gunter, </w:t>
      </w:r>
      <w:r w:rsidRPr="00C350AE">
        <w:rPr>
          <w:rFonts w:ascii="Times New Roman" w:hAnsi="Times New Roman" w:cs="Times New Roman"/>
          <w:i/>
          <w:szCs w:val="20"/>
        </w:rPr>
        <w:t>The influence of participation in Better Bones and Balance (TM) on skeletal health: evaluation of a community-based exercise program to reduce fall and fracture risk.</w:t>
      </w:r>
      <w:r w:rsidRPr="00C350AE">
        <w:rPr>
          <w:rFonts w:ascii="Times New Roman" w:hAnsi="Times New Roman" w:cs="Times New Roman"/>
          <w:szCs w:val="20"/>
        </w:rPr>
        <w:t xml:space="preserve"> Osteoporosis International, 2012. </w:t>
      </w:r>
      <w:r w:rsidRPr="00C350AE">
        <w:rPr>
          <w:rFonts w:ascii="Times New Roman" w:hAnsi="Times New Roman" w:cs="Times New Roman"/>
          <w:b/>
          <w:szCs w:val="20"/>
        </w:rPr>
        <w:t>23</w:t>
      </w:r>
      <w:r w:rsidRPr="00C350AE">
        <w:rPr>
          <w:rFonts w:ascii="Times New Roman" w:hAnsi="Times New Roman" w:cs="Times New Roman"/>
          <w:szCs w:val="20"/>
        </w:rPr>
        <w:t>(6): p. 1813-1822.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22.</w:t>
      </w:r>
      <w:r w:rsidRPr="00C350AE">
        <w:rPr>
          <w:rFonts w:ascii="Times New Roman" w:hAnsi="Times New Roman" w:cs="Times New Roman"/>
          <w:szCs w:val="20"/>
        </w:rPr>
        <w:tab/>
        <w:t xml:space="preserve">Marini, S., et al., </w:t>
      </w:r>
      <w:r w:rsidRPr="00C350AE">
        <w:rPr>
          <w:rFonts w:ascii="Times New Roman" w:hAnsi="Times New Roman" w:cs="Times New Roman"/>
          <w:i/>
          <w:szCs w:val="20"/>
        </w:rPr>
        <w:t>Proposal of an Adapted Physical Activity Exercise Protocol for Women with Osteoporosis-Related Vertebral Fractures: A Pilot Study to Evaluate Feasibility, Safety, and Effectiveness.</w:t>
      </w:r>
      <w:r w:rsidRPr="00C350AE">
        <w:rPr>
          <w:rFonts w:ascii="Times New Roman" w:hAnsi="Times New Roman" w:cs="Times New Roman"/>
          <w:szCs w:val="20"/>
        </w:rPr>
        <w:t xml:space="preserve"> International Journal of Environmental Research &amp; Public Health [Electronic Resource], 2019. </w:t>
      </w:r>
      <w:r w:rsidRPr="00C350AE">
        <w:rPr>
          <w:rFonts w:ascii="Times New Roman" w:hAnsi="Times New Roman" w:cs="Times New Roman"/>
          <w:b/>
          <w:szCs w:val="20"/>
        </w:rPr>
        <w:t>16</w:t>
      </w:r>
      <w:r w:rsidRPr="00C350AE">
        <w:rPr>
          <w:rFonts w:ascii="Times New Roman" w:hAnsi="Times New Roman" w:cs="Times New Roman"/>
          <w:szCs w:val="20"/>
        </w:rPr>
        <w:t>(14): p. 18.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23.</w:t>
      </w:r>
      <w:r w:rsidRPr="00C350AE">
        <w:rPr>
          <w:rFonts w:ascii="Times New Roman" w:hAnsi="Times New Roman" w:cs="Times New Roman"/>
          <w:szCs w:val="20"/>
        </w:rPr>
        <w:tab/>
        <w:t xml:space="preserve">Kudlacek, S., et al., </w:t>
      </w:r>
      <w:r w:rsidRPr="00C350AE">
        <w:rPr>
          <w:rFonts w:ascii="Times New Roman" w:hAnsi="Times New Roman" w:cs="Times New Roman"/>
          <w:i/>
          <w:szCs w:val="20"/>
        </w:rPr>
        <w:t>The impact of a senior dancing program on spinal and peripheral bone mass.</w:t>
      </w:r>
      <w:r w:rsidRPr="00C350AE">
        <w:rPr>
          <w:rFonts w:ascii="Times New Roman" w:hAnsi="Times New Roman" w:cs="Times New Roman"/>
          <w:szCs w:val="20"/>
        </w:rPr>
        <w:t xml:space="preserve"> American Journal of Physical Medicine &amp; Rehabilitation, 1997. </w:t>
      </w:r>
      <w:r w:rsidRPr="00C350AE">
        <w:rPr>
          <w:rFonts w:ascii="Times New Roman" w:hAnsi="Times New Roman" w:cs="Times New Roman"/>
          <w:b/>
          <w:szCs w:val="20"/>
        </w:rPr>
        <w:t>76</w:t>
      </w:r>
      <w:r w:rsidRPr="00C350AE">
        <w:rPr>
          <w:rFonts w:ascii="Times New Roman" w:hAnsi="Times New Roman" w:cs="Times New Roman"/>
          <w:szCs w:val="20"/>
        </w:rPr>
        <w:t>(6): p. 477-481.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24.</w:t>
      </w:r>
      <w:r w:rsidRPr="00C350AE">
        <w:rPr>
          <w:rFonts w:ascii="Times New Roman" w:hAnsi="Times New Roman" w:cs="Times New Roman"/>
          <w:szCs w:val="20"/>
        </w:rPr>
        <w:tab/>
        <w:t xml:space="preserve">Kohrt, W.M., A.A. Ehsani, and S.J. Birge, Jr., </w:t>
      </w:r>
      <w:r w:rsidRPr="00C350AE">
        <w:rPr>
          <w:rFonts w:ascii="Times New Roman" w:hAnsi="Times New Roman" w:cs="Times New Roman"/>
          <w:i/>
          <w:szCs w:val="20"/>
        </w:rPr>
        <w:t>Effects of exercise involving predominantly either joint-reaction or ground-reaction forces on bone mineral density in older women.</w:t>
      </w:r>
      <w:r w:rsidRPr="00C350AE">
        <w:rPr>
          <w:rFonts w:ascii="Times New Roman" w:hAnsi="Times New Roman" w:cs="Times New Roman"/>
          <w:szCs w:val="20"/>
        </w:rPr>
        <w:t xml:space="preserve"> Journal of Bone &amp; Mineral Research, 1997. </w:t>
      </w:r>
      <w:r w:rsidRPr="00C350AE">
        <w:rPr>
          <w:rFonts w:ascii="Times New Roman" w:hAnsi="Times New Roman" w:cs="Times New Roman"/>
          <w:b/>
          <w:szCs w:val="20"/>
        </w:rPr>
        <w:t>12</w:t>
      </w:r>
      <w:r w:rsidRPr="00C350AE">
        <w:rPr>
          <w:rFonts w:ascii="Times New Roman" w:hAnsi="Times New Roman" w:cs="Times New Roman"/>
          <w:szCs w:val="20"/>
        </w:rPr>
        <w:t>(8): p. 1253-61.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25.</w:t>
      </w:r>
      <w:r w:rsidRPr="00C350AE">
        <w:rPr>
          <w:rFonts w:ascii="Times New Roman" w:hAnsi="Times New Roman" w:cs="Times New Roman"/>
          <w:szCs w:val="20"/>
        </w:rPr>
        <w:tab/>
        <w:t xml:space="preserve">Kerschan-Schindl, K., et al., </w:t>
      </w:r>
      <w:r w:rsidRPr="00C350AE">
        <w:rPr>
          <w:rFonts w:ascii="Times New Roman" w:hAnsi="Times New Roman" w:cs="Times New Roman"/>
          <w:i/>
          <w:szCs w:val="20"/>
        </w:rPr>
        <w:t>Long-term home exercise program: Effect in women at high risk of fracture.</w:t>
      </w:r>
      <w:r w:rsidRPr="00C350AE">
        <w:rPr>
          <w:rFonts w:ascii="Times New Roman" w:hAnsi="Times New Roman" w:cs="Times New Roman"/>
          <w:szCs w:val="20"/>
        </w:rPr>
        <w:t xml:space="preserve"> Archives of Physical Medicine and Rehabilitation, 2000. </w:t>
      </w:r>
      <w:r w:rsidRPr="00C350AE">
        <w:rPr>
          <w:rFonts w:ascii="Times New Roman" w:hAnsi="Times New Roman" w:cs="Times New Roman"/>
          <w:b/>
          <w:szCs w:val="20"/>
        </w:rPr>
        <w:t>81</w:t>
      </w:r>
      <w:r w:rsidRPr="00C350AE">
        <w:rPr>
          <w:rFonts w:ascii="Times New Roman" w:hAnsi="Times New Roman" w:cs="Times New Roman"/>
          <w:szCs w:val="20"/>
        </w:rPr>
        <w:t>(3): p. 319-323.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lastRenderedPageBreak/>
        <w:t>26.</w:t>
      </w:r>
      <w:r w:rsidRPr="00C350AE">
        <w:rPr>
          <w:rFonts w:ascii="Times New Roman" w:hAnsi="Times New Roman" w:cs="Times New Roman"/>
          <w:szCs w:val="20"/>
        </w:rPr>
        <w:tab/>
        <w:t xml:space="preserve">Kemmler, W., et al., </w:t>
      </w:r>
      <w:r w:rsidRPr="00C350AE">
        <w:rPr>
          <w:rFonts w:ascii="Times New Roman" w:hAnsi="Times New Roman" w:cs="Times New Roman"/>
          <w:i/>
          <w:szCs w:val="20"/>
        </w:rPr>
        <w:t>Exercise and fractures in postmenopausal women: 12-year results of the Erlangen Fitness and Osteoporosis Prevention Study (EFOPS).</w:t>
      </w:r>
      <w:r w:rsidRPr="00C350AE">
        <w:rPr>
          <w:rFonts w:ascii="Times New Roman" w:hAnsi="Times New Roman" w:cs="Times New Roman"/>
          <w:szCs w:val="20"/>
        </w:rPr>
        <w:t xml:space="preserve"> Osteoporosis International, 2012. </w:t>
      </w:r>
      <w:r w:rsidRPr="00C350AE">
        <w:rPr>
          <w:rFonts w:ascii="Times New Roman" w:hAnsi="Times New Roman" w:cs="Times New Roman"/>
          <w:b/>
          <w:szCs w:val="20"/>
        </w:rPr>
        <w:t>23</w:t>
      </w:r>
      <w:r w:rsidRPr="00C350AE">
        <w:rPr>
          <w:rFonts w:ascii="Times New Roman" w:hAnsi="Times New Roman" w:cs="Times New Roman"/>
          <w:szCs w:val="20"/>
        </w:rPr>
        <w:t>(4): p. 1267-76.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27.</w:t>
      </w:r>
      <w:r w:rsidRPr="00C350AE">
        <w:rPr>
          <w:rFonts w:ascii="Times New Roman" w:hAnsi="Times New Roman" w:cs="Times New Roman"/>
          <w:szCs w:val="20"/>
        </w:rPr>
        <w:tab/>
        <w:t xml:space="preserve">Kemmler, W., et al., </w:t>
      </w:r>
      <w:r w:rsidRPr="00C350AE">
        <w:rPr>
          <w:rFonts w:ascii="Times New Roman" w:hAnsi="Times New Roman" w:cs="Times New Roman"/>
          <w:i/>
          <w:szCs w:val="20"/>
        </w:rPr>
        <w:t>Benefits of 2 years of intense exercise on bone density, physical fitness, and blood lipids in early postmenopausal osteopenic women - Results of the Erlangen Fitness Osteoporosis Preventation Study (EFOPS).</w:t>
      </w:r>
      <w:r w:rsidRPr="00C350AE">
        <w:rPr>
          <w:rFonts w:ascii="Times New Roman" w:hAnsi="Times New Roman" w:cs="Times New Roman"/>
          <w:szCs w:val="20"/>
        </w:rPr>
        <w:t xml:space="preserve"> Archives of Internal Medicine, 2004. </w:t>
      </w:r>
      <w:r w:rsidRPr="00C350AE">
        <w:rPr>
          <w:rFonts w:ascii="Times New Roman" w:hAnsi="Times New Roman" w:cs="Times New Roman"/>
          <w:b/>
          <w:szCs w:val="20"/>
        </w:rPr>
        <w:t>164</w:t>
      </w:r>
      <w:r w:rsidRPr="00C350AE">
        <w:rPr>
          <w:rFonts w:ascii="Times New Roman" w:hAnsi="Times New Roman" w:cs="Times New Roman"/>
          <w:szCs w:val="20"/>
        </w:rPr>
        <w:t>(10): p. 1084-1091.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28.</w:t>
      </w:r>
      <w:r w:rsidRPr="00C350AE">
        <w:rPr>
          <w:rFonts w:ascii="Times New Roman" w:hAnsi="Times New Roman" w:cs="Times New Roman"/>
          <w:szCs w:val="20"/>
        </w:rPr>
        <w:tab/>
        <w:t xml:space="preserve">Kemmler, W., et al., </w:t>
      </w:r>
      <w:r w:rsidRPr="00C350AE">
        <w:rPr>
          <w:rFonts w:ascii="Times New Roman" w:hAnsi="Times New Roman" w:cs="Times New Roman"/>
          <w:i/>
          <w:szCs w:val="20"/>
        </w:rPr>
        <w:t>Physical training for fracture prophylaxis of the elderly: Evidence and training methodological implementation using the example of the Erlangen Fitness and Osteoporosis Prevention Study (EFOPS). [German].</w:t>
      </w:r>
      <w:r w:rsidRPr="00C350AE">
        <w:rPr>
          <w:rFonts w:ascii="Times New Roman" w:hAnsi="Times New Roman" w:cs="Times New Roman"/>
          <w:szCs w:val="20"/>
        </w:rPr>
        <w:t xml:space="preserve"> Osteologie, 2019. </w:t>
      </w:r>
      <w:r w:rsidRPr="00C350AE">
        <w:rPr>
          <w:rFonts w:ascii="Times New Roman" w:hAnsi="Times New Roman" w:cs="Times New Roman"/>
          <w:b/>
          <w:szCs w:val="20"/>
        </w:rPr>
        <w:t>28</w:t>
      </w:r>
      <w:r w:rsidRPr="00C350AE">
        <w:rPr>
          <w:rFonts w:ascii="Times New Roman" w:hAnsi="Times New Roman" w:cs="Times New Roman"/>
          <w:szCs w:val="20"/>
        </w:rPr>
        <w:t>(3): p. 192-201.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29.</w:t>
      </w:r>
      <w:r w:rsidRPr="00C350AE">
        <w:rPr>
          <w:rFonts w:ascii="Times New Roman" w:hAnsi="Times New Roman" w:cs="Times New Roman"/>
          <w:szCs w:val="20"/>
        </w:rPr>
        <w:tab/>
        <w:t xml:space="preserve">Kemmler, W., et al., </w:t>
      </w:r>
      <w:r w:rsidRPr="00C350AE">
        <w:rPr>
          <w:rFonts w:ascii="Times New Roman" w:hAnsi="Times New Roman" w:cs="Times New Roman"/>
          <w:i/>
          <w:szCs w:val="20"/>
        </w:rPr>
        <w:t>The Erlangen Fitness Osteoporosis Prevention Study: a controlled exercise trial in early postmenopausal women with low bone density-first-year results.</w:t>
      </w:r>
      <w:r w:rsidRPr="00C350AE">
        <w:rPr>
          <w:rFonts w:ascii="Times New Roman" w:hAnsi="Times New Roman" w:cs="Times New Roman"/>
          <w:szCs w:val="20"/>
        </w:rPr>
        <w:t xml:space="preserve"> Archives of Physical Medicine &amp; Rehabilitation, 2003. </w:t>
      </w:r>
      <w:r w:rsidRPr="00C350AE">
        <w:rPr>
          <w:rFonts w:ascii="Times New Roman" w:hAnsi="Times New Roman" w:cs="Times New Roman"/>
          <w:b/>
          <w:szCs w:val="20"/>
        </w:rPr>
        <w:t>84</w:t>
      </w:r>
      <w:r w:rsidRPr="00C350AE">
        <w:rPr>
          <w:rFonts w:ascii="Times New Roman" w:hAnsi="Times New Roman" w:cs="Times New Roman"/>
          <w:szCs w:val="20"/>
        </w:rPr>
        <w:t>(5): p. 673-82.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30.</w:t>
      </w:r>
      <w:r w:rsidRPr="00C350AE">
        <w:rPr>
          <w:rFonts w:ascii="Times New Roman" w:hAnsi="Times New Roman" w:cs="Times New Roman"/>
          <w:szCs w:val="20"/>
        </w:rPr>
        <w:tab/>
        <w:t xml:space="preserve">Kemmler, W., et al., </w:t>
      </w:r>
      <w:r w:rsidRPr="00C350AE">
        <w:rPr>
          <w:rFonts w:ascii="Times New Roman" w:hAnsi="Times New Roman" w:cs="Times New Roman"/>
          <w:i/>
          <w:szCs w:val="20"/>
        </w:rPr>
        <w:t>Exercise and fractures in postmenopausal women. Final results of the controlled Erlangen Fitness and Osteoporosis Prevention Study (EFOPS).</w:t>
      </w:r>
      <w:r w:rsidRPr="00C350AE">
        <w:rPr>
          <w:rFonts w:ascii="Times New Roman" w:hAnsi="Times New Roman" w:cs="Times New Roman"/>
          <w:szCs w:val="20"/>
        </w:rPr>
        <w:t xml:space="preserve"> Osteoporosis International, 2015. </w:t>
      </w:r>
      <w:r w:rsidRPr="00C350AE">
        <w:rPr>
          <w:rFonts w:ascii="Times New Roman" w:hAnsi="Times New Roman" w:cs="Times New Roman"/>
          <w:b/>
          <w:szCs w:val="20"/>
        </w:rPr>
        <w:t>26</w:t>
      </w:r>
      <w:r w:rsidRPr="00C350AE">
        <w:rPr>
          <w:rFonts w:ascii="Times New Roman" w:hAnsi="Times New Roman" w:cs="Times New Roman"/>
          <w:szCs w:val="20"/>
        </w:rPr>
        <w:t>(10): p. 2491-9.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31.</w:t>
      </w:r>
      <w:r w:rsidRPr="00C350AE">
        <w:rPr>
          <w:rFonts w:ascii="Times New Roman" w:hAnsi="Times New Roman" w:cs="Times New Roman"/>
          <w:szCs w:val="20"/>
        </w:rPr>
        <w:tab/>
        <w:t xml:space="preserve">Iwamoto, J., et al., </w:t>
      </w:r>
      <w:r w:rsidRPr="00C350AE">
        <w:rPr>
          <w:rFonts w:ascii="Times New Roman" w:hAnsi="Times New Roman" w:cs="Times New Roman"/>
          <w:i/>
          <w:szCs w:val="20"/>
        </w:rPr>
        <w:t>Effect of increased physical activity on bone mineral density in postmenopausal osteoporotic women.</w:t>
      </w:r>
      <w:r w:rsidRPr="00C350AE">
        <w:rPr>
          <w:rFonts w:ascii="Times New Roman" w:hAnsi="Times New Roman" w:cs="Times New Roman"/>
          <w:szCs w:val="20"/>
        </w:rPr>
        <w:t xml:space="preserve"> Keio Journal of Medicine, 1998. </w:t>
      </w:r>
      <w:r w:rsidRPr="00C350AE">
        <w:rPr>
          <w:rFonts w:ascii="Times New Roman" w:hAnsi="Times New Roman" w:cs="Times New Roman"/>
          <w:b/>
          <w:szCs w:val="20"/>
        </w:rPr>
        <w:t>47</w:t>
      </w:r>
      <w:r w:rsidRPr="00C350AE">
        <w:rPr>
          <w:rFonts w:ascii="Times New Roman" w:hAnsi="Times New Roman" w:cs="Times New Roman"/>
          <w:szCs w:val="20"/>
        </w:rPr>
        <w:t>(3): p. 157-61.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32.</w:t>
      </w:r>
      <w:r w:rsidRPr="00C350AE">
        <w:rPr>
          <w:rFonts w:ascii="Times New Roman" w:hAnsi="Times New Roman" w:cs="Times New Roman"/>
          <w:szCs w:val="20"/>
        </w:rPr>
        <w:tab/>
        <w:t xml:space="preserve">Harrison, J.E., et al., </w:t>
      </w:r>
      <w:r w:rsidRPr="00C350AE">
        <w:rPr>
          <w:rFonts w:ascii="Times New Roman" w:hAnsi="Times New Roman" w:cs="Times New Roman"/>
          <w:i/>
          <w:szCs w:val="20"/>
        </w:rPr>
        <w:t>Evaluation of a Program for Rehabilitation of Osteoporotic Patients (Pro) - 4-Year Follow-Up.</w:t>
      </w:r>
      <w:r w:rsidRPr="00C350AE">
        <w:rPr>
          <w:rFonts w:ascii="Times New Roman" w:hAnsi="Times New Roman" w:cs="Times New Roman"/>
          <w:szCs w:val="20"/>
        </w:rPr>
        <w:t xml:space="preserve"> Osteoporosis International, 1993. </w:t>
      </w:r>
      <w:r w:rsidRPr="00C350AE">
        <w:rPr>
          <w:rFonts w:ascii="Times New Roman" w:hAnsi="Times New Roman" w:cs="Times New Roman"/>
          <w:b/>
          <w:szCs w:val="20"/>
        </w:rPr>
        <w:t>3</w:t>
      </w:r>
      <w:r w:rsidRPr="00C350AE">
        <w:rPr>
          <w:rFonts w:ascii="Times New Roman" w:hAnsi="Times New Roman" w:cs="Times New Roman"/>
          <w:szCs w:val="20"/>
        </w:rPr>
        <w:t>(1): p. 13-17.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33.</w:t>
      </w:r>
      <w:r w:rsidRPr="00C350AE">
        <w:rPr>
          <w:rFonts w:ascii="Times New Roman" w:hAnsi="Times New Roman" w:cs="Times New Roman"/>
          <w:szCs w:val="20"/>
        </w:rPr>
        <w:tab/>
        <w:t xml:space="preserve">Giangregorio, L.M., et al., </w:t>
      </w:r>
      <w:r w:rsidRPr="00C350AE">
        <w:rPr>
          <w:rFonts w:ascii="Times New Roman" w:hAnsi="Times New Roman" w:cs="Times New Roman"/>
          <w:i/>
          <w:szCs w:val="20"/>
        </w:rPr>
        <w:t>Too Fit To Fracture: exercise recommendations for individuals with osteoporosis or osteoporotic vertebral fracture.</w:t>
      </w:r>
      <w:r w:rsidRPr="00C350AE">
        <w:rPr>
          <w:rFonts w:ascii="Times New Roman" w:hAnsi="Times New Roman" w:cs="Times New Roman"/>
          <w:szCs w:val="20"/>
        </w:rPr>
        <w:t xml:space="preserve"> Osteoporosis International, 2014. </w:t>
      </w:r>
      <w:r w:rsidRPr="00C350AE">
        <w:rPr>
          <w:rFonts w:ascii="Times New Roman" w:hAnsi="Times New Roman" w:cs="Times New Roman"/>
          <w:b/>
          <w:szCs w:val="20"/>
        </w:rPr>
        <w:t>25</w:t>
      </w:r>
      <w:r w:rsidRPr="00C350AE">
        <w:rPr>
          <w:rFonts w:ascii="Times New Roman" w:hAnsi="Times New Roman" w:cs="Times New Roman"/>
          <w:szCs w:val="20"/>
        </w:rPr>
        <w:t>(3): p. 821-835.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34.</w:t>
      </w:r>
      <w:r w:rsidRPr="00C350AE">
        <w:rPr>
          <w:rFonts w:ascii="Times New Roman" w:hAnsi="Times New Roman" w:cs="Times New Roman"/>
          <w:szCs w:val="20"/>
        </w:rPr>
        <w:tab/>
        <w:t xml:space="preserve">Engelke, K., et al., </w:t>
      </w:r>
      <w:r w:rsidRPr="00C350AE">
        <w:rPr>
          <w:rFonts w:ascii="Times New Roman" w:hAnsi="Times New Roman" w:cs="Times New Roman"/>
          <w:i/>
          <w:szCs w:val="20"/>
        </w:rPr>
        <w:t>Exercise maintains bone density at spine and hip EFOPS: a 3-year longitudinal study in early postmenopausal women.</w:t>
      </w:r>
      <w:r w:rsidRPr="00C350AE">
        <w:rPr>
          <w:rFonts w:ascii="Times New Roman" w:hAnsi="Times New Roman" w:cs="Times New Roman"/>
          <w:szCs w:val="20"/>
        </w:rPr>
        <w:t xml:space="preserve"> Osteoporosis International, 2006. </w:t>
      </w:r>
      <w:r w:rsidRPr="00C350AE">
        <w:rPr>
          <w:rFonts w:ascii="Times New Roman" w:hAnsi="Times New Roman" w:cs="Times New Roman"/>
          <w:b/>
          <w:szCs w:val="20"/>
        </w:rPr>
        <w:t>17</w:t>
      </w:r>
      <w:r w:rsidRPr="00C350AE">
        <w:rPr>
          <w:rFonts w:ascii="Times New Roman" w:hAnsi="Times New Roman" w:cs="Times New Roman"/>
          <w:szCs w:val="20"/>
        </w:rPr>
        <w:t>(1): p. 133-42.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35.</w:t>
      </w:r>
      <w:r w:rsidRPr="00C350AE">
        <w:rPr>
          <w:rFonts w:ascii="Times New Roman" w:hAnsi="Times New Roman" w:cs="Times New Roman"/>
          <w:szCs w:val="20"/>
        </w:rPr>
        <w:tab/>
        <w:t xml:space="preserve">Deng, S.L., </w:t>
      </w:r>
      <w:r w:rsidRPr="00C350AE">
        <w:rPr>
          <w:rFonts w:ascii="Times New Roman" w:hAnsi="Times New Roman" w:cs="Times New Roman"/>
          <w:i/>
          <w:szCs w:val="20"/>
        </w:rPr>
        <w:t>Muscle strength training helps to reduce bone loss in early postmenopausal women.</w:t>
      </w:r>
      <w:r w:rsidRPr="00C350AE">
        <w:rPr>
          <w:rFonts w:ascii="Times New Roman" w:hAnsi="Times New Roman" w:cs="Times New Roman"/>
          <w:szCs w:val="20"/>
        </w:rPr>
        <w:t xml:space="preserve"> Science &amp; Sports, 2013. </w:t>
      </w:r>
      <w:r w:rsidRPr="00C350AE">
        <w:rPr>
          <w:rFonts w:ascii="Times New Roman" w:hAnsi="Times New Roman" w:cs="Times New Roman"/>
          <w:b/>
          <w:szCs w:val="20"/>
        </w:rPr>
        <w:t>28</w:t>
      </w:r>
      <w:r w:rsidRPr="00C350AE">
        <w:rPr>
          <w:rFonts w:ascii="Times New Roman" w:hAnsi="Times New Roman" w:cs="Times New Roman"/>
          <w:szCs w:val="20"/>
        </w:rPr>
        <w:t>(5): p. 260-266.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36.</w:t>
      </w:r>
      <w:r w:rsidRPr="00C350AE">
        <w:rPr>
          <w:rFonts w:ascii="Times New Roman" w:hAnsi="Times New Roman" w:cs="Times New Roman"/>
          <w:szCs w:val="20"/>
        </w:rPr>
        <w:tab/>
        <w:t xml:space="preserve">Damilakis, J., et al., </w:t>
      </w:r>
      <w:r w:rsidRPr="00C350AE">
        <w:rPr>
          <w:rFonts w:ascii="Times New Roman" w:hAnsi="Times New Roman" w:cs="Times New Roman"/>
          <w:i/>
          <w:szCs w:val="20"/>
        </w:rPr>
        <w:t>Effect of lifetime occupational physical activity on indices of bone mineral status in healthy postmenopausal women.</w:t>
      </w:r>
      <w:r w:rsidRPr="00C350AE">
        <w:rPr>
          <w:rFonts w:ascii="Times New Roman" w:hAnsi="Times New Roman" w:cs="Times New Roman"/>
          <w:szCs w:val="20"/>
        </w:rPr>
        <w:t xml:space="preserve"> Calcified Tissue International, 1999. </w:t>
      </w:r>
      <w:r w:rsidRPr="00C350AE">
        <w:rPr>
          <w:rFonts w:ascii="Times New Roman" w:hAnsi="Times New Roman" w:cs="Times New Roman"/>
          <w:b/>
          <w:szCs w:val="20"/>
        </w:rPr>
        <w:t>64</w:t>
      </w:r>
      <w:r w:rsidRPr="00C350AE">
        <w:rPr>
          <w:rFonts w:ascii="Times New Roman" w:hAnsi="Times New Roman" w:cs="Times New Roman"/>
          <w:szCs w:val="20"/>
        </w:rPr>
        <w:t>(2): p. 112-116.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37.</w:t>
      </w:r>
      <w:r w:rsidRPr="00C350AE">
        <w:rPr>
          <w:rFonts w:ascii="Times New Roman" w:hAnsi="Times New Roman" w:cs="Times New Roman"/>
          <w:szCs w:val="20"/>
        </w:rPr>
        <w:tab/>
        <w:t xml:space="preserve">Daly, R.M., R.L. Duckham, and J. Gianoudis, </w:t>
      </w:r>
      <w:r w:rsidRPr="00C350AE">
        <w:rPr>
          <w:rFonts w:ascii="Times New Roman" w:hAnsi="Times New Roman" w:cs="Times New Roman"/>
          <w:i/>
          <w:szCs w:val="20"/>
        </w:rPr>
        <w:t>Evidence for an Interaction Between Exercise and Nutrition for Improving Bone and Muscle Health.</w:t>
      </w:r>
      <w:r w:rsidRPr="00C350AE">
        <w:rPr>
          <w:rFonts w:ascii="Times New Roman" w:hAnsi="Times New Roman" w:cs="Times New Roman"/>
          <w:szCs w:val="20"/>
        </w:rPr>
        <w:t xml:space="preserve"> Current Osteoporosis Reports, 2014. </w:t>
      </w:r>
      <w:r w:rsidRPr="00C350AE">
        <w:rPr>
          <w:rFonts w:ascii="Times New Roman" w:hAnsi="Times New Roman" w:cs="Times New Roman"/>
          <w:b/>
          <w:szCs w:val="20"/>
        </w:rPr>
        <w:t>12</w:t>
      </w:r>
      <w:r w:rsidRPr="00C350AE">
        <w:rPr>
          <w:rFonts w:ascii="Times New Roman" w:hAnsi="Times New Roman" w:cs="Times New Roman"/>
          <w:szCs w:val="20"/>
        </w:rPr>
        <w:t>(2): p. 219-226.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38.</w:t>
      </w:r>
      <w:r w:rsidRPr="00C350AE">
        <w:rPr>
          <w:rFonts w:ascii="Times New Roman" w:hAnsi="Times New Roman" w:cs="Times New Roman"/>
          <w:szCs w:val="20"/>
        </w:rPr>
        <w:tab/>
        <w:t xml:space="preserve">Dalsky, G.P., et al., </w:t>
      </w:r>
      <w:r w:rsidRPr="00C350AE">
        <w:rPr>
          <w:rFonts w:ascii="Times New Roman" w:hAnsi="Times New Roman" w:cs="Times New Roman"/>
          <w:i/>
          <w:szCs w:val="20"/>
        </w:rPr>
        <w:t>Weight-bearing exercise training and lumbar bone mineral content in postmenopausal women.</w:t>
      </w:r>
      <w:r w:rsidRPr="00C350AE">
        <w:rPr>
          <w:rFonts w:ascii="Times New Roman" w:hAnsi="Times New Roman" w:cs="Times New Roman"/>
          <w:szCs w:val="20"/>
        </w:rPr>
        <w:t xml:space="preserve"> Annals of Internal Medicine, 1988. </w:t>
      </w:r>
      <w:r w:rsidRPr="00C350AE">
        <w:rPr>
          <w:rFonts w:ascii="Times New Roman" w:hAnsi="Times New Roman" w:cs="Times New Roman"/>
          <w:b/>
          <w:szCs w:val="20"/>
        </w:rPr>
        <w:t>108</w:t>
      </w:r>
      <w:r w:rsidRPr="00C350AE">
        <w:rPr>
          <w:rFonts w:ascii="Times New Roman" w:hAnsi="Times New Roman" w:cs="Times New Roman"/>
          <w:szCs w:val="20"/>
        </w:rPr>
        <w:t>(6): p. 824-8.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39.</w:t>
      </w:r>
      <w:r w:rsidRPr="00C350AE">
        <w:rPr>
          <w:rFonts w:ascii="Times New Roman" w:hAnsi="Times New Roman" w:cs="Times New Roman"/>
          <w:szCs w:val="20"/>
        </w:rPr>
        <w:tab/>
        <w:t xml:space="preserve">Chien, M.Y., et al., </w:t>
      </w:r>
      <w:r w:rsidRPr="00C350AE">
        <w:rPr>
          <w:rFonts w:ascii="Times New Roman" w:hAnsi="Times New Roman" w:cs="Times New Roman"/>
          <w:i/>
          <w:szCs w:val="20"/>
        </w:rPr>
        <w:t>Efficacy of a 24-week aerobic exercise program for osteopenic postmenopausal women.</w:t>
      </w:r>
      <w:r w:rsidRPr="00C350AE">
        <w:rPr>
          <w:rFonts w:ascii="Times New Roman" w:hAnsi="Times New Roman" w:cs="Times New Roman"/>
          <w:szCs w:val="20"/>
        </w:rPr>
        <w:t xml:space="preserve"> Calcified Tissue International, 2000. </w:t>
      </w:r>
      <w:r w:rsidRPr="00C350AE">
        <w:rPr>
          <w:rFonts w:ascii="Times New Roman" w:hAnsi="Times New Roman" w:cs="Times New Roman"/>
          <w:b/>
          <w:szCs w:val="20"/>
        </w:rPr>
        <w:t>67</w:t>
      </w:r>
      <w:r w:rsidRPr="00C350AE">
        <w:rPr>
          <w:rFonts w:ascii="Times New Roman" w:hAnsi="Times New Roman" w:cs="Times New Roman"/>
          <w:szCs w:val="20"/>
        </w:rPr>
        <w:t>(6): p. 443-8.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40.</w:t>
      </w:r>
      <w:r w:rsidRPr="00C350AE">
        <w:rPr>
          <w:rFonts w:ascii="Times New Roman" w:hAnsi="Times New Roman" w:cs="Times New Roman"/>
          <w:szCs w:val="20"/>
        </w:rPr>
        <w:tab/>
        <w:t xml:space="preserve">Brubaker, M., P. Limburg, and M. Sinaki, </w:t>
      </w:r>
      <w:r w:rsidRPr="00C350AE">
        <w:rPr>
          <w:rFonts w:ascii="Times New Roman" w:hAnsi="Times New Roman" w:cs="Times New Roman"/>
          <w:i/>
          <w:szCs w:val="20"/>
        </w:rPr>
        <w:t>Site specificity of physical activity and its effect on long-term risk of fracture: Spine vs. Hip.</w:t>
      </w:r>
      <w:r w:rsidRPr="00C350AE">
        <w:rPr>
          <w:rFonts w:ascii="Times New Roman" w:hAnsi="Times New Roman" w:cs="Times New Roman"/>
          <w:szCs w:val="20"/>
        </w:rPr>
        <w:t xml:space="preserve"> Journal of Bone and Mineral Research. Conference, 2012. </w:t>
      </w:r>
      <w:r w:rsidRPr="00C350AE">
        <w:rPr>
          <w:rFonts w:ascii="Times New Roman" w:hAnsi="Times New Roman" w:cs="Times New Roman"/>
          <w:b/>
          <w:szCs w:val="20"/>
        </w:rPr>
        <w:t>27</w:t>
      </w:r>
      <w:r w:rsidRPr="00C350AE">
        <w:rPr>
          <w:rFonts w:ascii="Times New Roman" w:hAnsi="Times New Roman" w:cs="Times New Roman"/>
          <w:szCs w:val="20"/>
        </w:rPr>
        <w:t>(SUPPL. 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41.</w:t>
      </w:r>
      <w:r w:rsidRPr="00C350AE">
        <w:rPr>
          <w:rFonts w:ascii="Times New Roman" w:hAnsi="Times New Roman" w:cs="Times New Roman"/>
          <w:szCs w:val="20"/>
        </w:rPr>
        <w:tab/>
        <w:t xml:space="preserve">Brooke-Wavell, K., et al., </w:t>
      </w:r>
      <w:r w:rsidRPr="00C350AE">
        <w:rPr>
          <w:rFonts w:ascii="Times New Roman" w:hAnsi="Times New Roman" w:cs="Times New Roman"/>
          <w:i/>
          <w:szCs w:val="20"/>
        </w:rPr>
        <w:t>Commencing, continuing and stopping brisk walking: effects on bone mineral density, quantitative ultrasound of bone and markers of bone metabolism in postmenopausal women.</w:t>
      </w:r>
      <w:r w:rsidRPr="00C350AE">
        <w:rPr>
          <w:rFonts w:ascii="Times New Roman" w:hAnsi="Times New Roman" w:cs="Times New Roman"/>
          <w:szCs w:val="20"/>
        </w:rPr>
        <w:t xml:space="preserve"> Osteoporosis International, 2001. </w:t>
      </w:r>
      <w:r w:rsidRPr="00C350AE">
        <w:rPr>
          <w:rFonts w:ascii="Times New Roman" w:hAnsi="Times New Roman" w:cs="Times New Roman"/>
          <w:b/>
          <w:szCs w:val="20"/>
        </w:rPr>
        <w:t>12</w:t>
      </w:r>
      <w:r w:rsidRPr="00C350AE">
        <w:rPr>
          <w:rFonts w:ascii="Times New Roman" w:hAnsi="Times New Roman" w:cs="Times New Roman"/>
          <w:szCs w:val="20"/>
        </w:rPr>
        <w:t>(7): p. 581-7.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42.</w:t>
      </w:r>
      <w:r w:rsidRPr="00C350AE">
        <w:rPr>
          <w:rFonts w:ascii="Times New Roman" w:hAnsi="Times New Roman" w:cs="Times New Roman"/>
          <w:szCs w:val="20"/>
        </w:rPr>
        <w:tab/>
        <w:t xml:space="preserve">Borer, K.T., et al., </w:t>
      </w:r>
      <w:r w:rsidRPr="00C350AE">
        <w:rPr>
          <w:rFonts w:ascii="Times New Roman" w:hAnsi="Times New Roman" w:cs="Times New Roman"/>
          <w:i/>
          <w:szCs w:val="20"/>
        </w:rPr>
        <w:t>Walking intensity for postmenopausal bone mineral preservation and accrual.</w:t>
      </w:r>
      <w:r w:rsidRPr="00C350AE">
        <w:rPr>
          <w:rFonts w:ascii="Times New Roman" w:hAnsi="Times New Roman" w:cs="Times New Roman"/>
          <w:szCs w:val="20"/>
        </w:rPr>
        <w:t xml:space="preserve"> Bone, 2007. </w:t>
      </w:r>
      <w:r w:rsidRPr="00C350AE">
        <w:rPr>
          <w:rFonts w:ascii="Times New Roman" w:hAnsi="Times New Roman" w:cs="Times New Roman"/>
          <w:b/>
          <w:szCs w:val="20"/>
        </w:rPr>
        <w:t>41</w:t>
      </w:r>
      <w:r w:rsidRPr="00C350AE">
        <w:rPr>
          <w:rFonts w:ascii="Times New Roman" w:hAnsi="Times New Roman" w:cs="Times New Roman"/>
          <w:szCs w:val="20"/>
        </w:rPr>
        <w:t>(4): p. 713-21.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43.</w:t>
      </w:r>
      <w:r w:rsidRPr="00C350AE">
        <w:rPr>
          <w:rFonts w:ascii="Times New Roman" w:hAnsi="Times New Roman" w:cs="Times New Roman"/>
          <w:szCs w:val="20"/>
        </w:rPr>
        <w:tab/>
        <w:t xml:space="preserve">Borba-Pinheiro, C.J., et al., </w:t>
      </w:r>
      <w:r w:rsidRPr="00C350AE">
        <w:rPr>
          <w:rFonts w:ascii="Times New Roman" w:hAnsi="Times New Roman" w:cs="Times New Roman"/>
          <w:i/>
          <w:szCs w:val="20"/>
        </w:rPr>
        <w:t>Combining Adapted Judo Training and pharmacological treatment to improve Bone Mineral Density on postmenopausal women: A two years study.</w:t>
      </w:r>
      <w:r w:rsidRPr="00C350AE">
        <w:rPr>
          <w:rFonts w:ascii="Times New Roman" w:hAnsi="Times New Roman" w:cs="Times New Roman"/>
          <w:szCs w:val="20"/>
        </w:rPr>
        <w:t xml:space="preserve"> Archives of Budo, 2013. </w:t>
      </w:r>
      <w:r w:rsidRPr="00C350AE">
        <w:rPr>
          <w:rFonts w:ascii="Times New Roman" w:hAnsi="Times New Roman" w:cs="Times New Roman"/>
          <w:b/>
          <w:szCs w:val="20"/>
        </w:rPr>
        <w:lastRenderedPageBreak/>
        <w:t>9</w:t>
      </w:r>
      <w:r w:rsidRPr="00C350AE">
        <w:rPr>
          <w:rFonts w:ascii="Times New Roman" w:hAnsi="Times New Roman" w:cs="Times New Roman"/>
          <w:szCs w:val="20"/>
        </w:rPr>
        <w:t>(2): p. 93-99.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44.</w:t>
      </w:r>
      <w:r w:rsidRPr="00C350AE">
        <w:rPr>
          <w:rFonts w:ascii="Times New Roman" w:hAnsi="Times New Roman" w:cs="Times New Roman"/>
          <w:szCs w:val="20"/>
        </w:rPr>
        <w:tab/>
        <w:t xml:space="preserve">Bloomfield, S.A., et al., </w:t>
      </w:r>
      <w:r w:rsidRPr="00C350AE">
        <w:rPr>
          <w:rFonts w:ascii="Times New Roman" w:hAnsi="Times New Roman" w:cs="Times New Roman"/>
          <w:i/>
          <w:szCs w:val="20"/>
        </w:rPr>
        <w:t>Non-Weightbearing Exercise May Increase Lumbar Spine Bone-Mineral Density in Healthy Postmenopausal Women.</w:t>
      </w:r>
      <w:r w:rsidRPr="00C350AE">
        <w:rPr>
          <w:rFonts w:ascii="Times New Roman" w:hAnsi="Times New Roman" w:cs="Times New Roman"/>
          <w:szCs w:val="20"/>
        </w:rPr>
        <w:t xml:space="preserve"> American Journal of Physical Medicine &amp; Rehabilitation, 1993. </w:t>
      </w:r>
      <w:r w:rsidRPr="00C350AE">
        <w:rPr>
          <w:rFonts w:ascii="Times New Roman" w:hAnsi="Times New Roman" w:cs="Times New Roman"/>
          <w:b/>
          <w:szCs w:val="20"/>
        </w:rPr>
        <w:t>72</w:t>
      </w:r>
      <w:r w:rsidRPr="00C350AE">
        <w:rPr>
          <w:rFonts w:ascii="Times New Roman" w:hAnsi="Times New Roman" w:cs="Times New Roman"/>
          <w:szCs w:val="20"/>
        </w:rPr>
        <w:t>(4): p. 204-209.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45.</w:t>
      </w:r>
      <w:r w:rsidRPr="00C350AE">
        <w:rPr>
          <w:rFonts w:ascii="Times New Roman" w:hAnsi="Times New Roman" w:cs="Times New Roman"/>
          <w:szCs w:val="20"/>
        </w:rPr>
        <w:tab/>
        <w:t xml:space="preserve">Bemben, D.A., et al., </w:t>
      </w:r>
      <w:r w:rsidRPr="00C350AE">
        <w:rPr>
          <w:rFonts w:ascii="Times New Roman" w:hAnsi="Times New Roman" w:cs="Times New Roman"/>
          <w:i/>
          <w:szCs w:val="20"/>
        </w:rPr>
        <w:t>Effects of combined whole-body vibration and resistance training on muscular strength and bone metabolism in postmenopausal women.</w:t>
      </w:r>
      <w:r w:rsidRPr="00C350AE">
        <w:rPr>
          <w:rFonts w:ascii="Times New Roman" w:hAnsi="Times New Roman" w:cs="Times New Roman"/>
          <w:szCs w:val="20"/>
        </w:rPr>
        <w:t xml:space="preserve"> Bone, 2010. </w:t>
      </w:r>
      <w:r w:rsidRPr="00C350AE">
        <w:rPr>
          <w:rFonts w:ascii="Times New Roman" w:hAnsi="Times New Roman" w:cs="Times New Roman"/>
          <w:b/>
          <w:szCs w:val="20"/>
        </w:rPr>
        <w:t>47</w:t>
      </w:r>
      <w:r w:rsidRPr="00C350AE">
        <w:rPr>
          <w:rFonts w:ascii="Times New Roman" w:hAnsi="Times New Roman" w:cs="Times New Roman"/>
          <w:szCs w:val="20"/>
        </w:rPr>
        <w:t>(3): p. 650-6.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46.</w:t>
      </w:r>
      <w:r w:rsidRPr="00C350AE">
        <w:rPr>
          <w:rFonts w:ascii="Times New Roman" w:hAnsi="Times New Roman" w:cs="Times New Roman"/>
          <w:szCs w:val="20"/>
        </w:rPr>
        <w:tab/>
        <w:t xml:space="preserve">Beavers, K.M., et al., </w:t>
      </w:r>
      <w:r w:rsidRPr="00C350AE">
        <w:rPr>
          <w:rFonts w:ascii="Times New Roman" w:hAnsi="Times New Roman" w:cs="Times New Roman"/>
          <w:i/>
          <w:szCs w:val="20"/>
        </w:rPr>
        <w:t>Change in Bone Mineral Density During Weight Loss with Resistance Versus Aerobic Exercise Training in Older Adults.</w:t>
      </w:r>
      <w:r w:rsidRPr="00C350AE">
        <w:rPr>
          <w:rFonts w:ascii="Times New Roman" w:hAnsi="Times New Roman" w:cs="Times New Roman"/>
          <w:szCs w:val="20"/>
        </w:rPr>
        <w:t xml:space="preserve"> Journals of Gerontology Series a-Biological Sciences and Medical Sciences, 2017. </w:t>
      </w:r>
      <w:r w:rsidRPr="00C350AE">
        <w:rPr>
          <w:rFonts w:ascii="Times New Roman" w:hAnsi="Times New Roman" w:cs="Times New Roman"/>
          <w:b/>
          <w:szCs w:val="20"/>
        </w:rPr>
        <w:t>72</w:t>
      </w:r>
      <w:r w:rsidRPr="00C350AE">
        <w:rPr>
          <w:rFonts w:ascii="Times New Roman" w:hAnsi="Times New Roman" w:cs="Times New Roman"/>
          <w:szCs w:val="20"/>
        </w:rPr>
        <w:t>(11): p. 1582-1585.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47.</w:t>
      </w:r>
      <w:r w:rsidRPr="00C350AE">
        <w:rPr>
          <w:rFonts w:ascii="Times New Roman" w:hAnsi="Times New Roman" w:cs="Times New Roman"/>
          <w:szCs w:val="20"/>
        </w:rPr>
        <w:tab/>
        <w:t xml:space="preserve">Aubry-Rozier, B., et al., </w:t>
      </w:r>
      <w:r w:rsidRPr="00C350AE">
        <w:rPr>
          <w:rFonts w:ascii="Times New Roman" w:hAnsi="Times New Roman" w:cs="Times New Roman"/>
          <w:i/>
          <w:szCs w:val="20"/>
        </w:rPr>
        <w:t>Impact of physical activity on the musculoskeletal health evaluated with bone density, bone texture and body composition: The OsteoLaus Study.</w:t>
      </w:r>
      <w:r w:rsidRPr="00C350AE">
        <w:rPr>
          <w:rFonts w:ascii="Times New Roman" w:hAnsi="Times New Roman" w:cs="Times New Roman"/>
          <w:szCs w:val="20"/>
        </w:rPr>
        <w:t xml:space="preserve"> Swiss Medical Weekly, 2017. </w:t>
      </w:r>
      <w:r w:rsidRPr="00C350AE">
        <w:rPr>
          <w:rFonts w:ascii="Times New Roman" w:hAnsi="Times New Roman" w:cs="Times New Roman"/>
          <w:b/>
          <w:szCs w:val="20"/>
        </w:rPr>
        <w:t>147 (Supplement 224)</w:t>
      </w:r>
      <w:r w:rsidRPr="00C350AE">
        <w:rPr>
          <w:rFonts w:ascii="Times New Roman" w:hAnsi="Times New Roman" w:cs="Times New Roman"/>
          <w:szCs w:val="20"/>
        </w:rPr>
        <w:t>: p. 4S-5S.</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48.</w:t>
      </w:r>
      <w:r w:rsidRPr="00C350AE">
        <w:rPr>
          <w:rFonts w:ascii="Times New Roman" w:hAnsi="Times New Roman" w:cs="Times New Roman"/>
          <w:szCs w:val="20"/>
        </w:rPr>
        <w:tab/>
        <w:t xml:space="preserve">Aloia, J.F., et al., </w:t>
      </w:r>
      <w:r w:rsidRPr="00C350AE">
        <w:rPr>
          <w:rFonts w:ascii="Times New Roman" w:hAnsi="Times New Roman" w:cs="Times New Roman"/>
          <w:i/>
          <w:szCs w:val="20"/>
        </w:rPr>
        <w:t>Prevention of involutional bone loss by exercise.</w:t>
      </w:r>
      <w:r w:rsidRPr="00C350AE">
        <w:rPr>
          <w:rFonts w:ascii="Times New Roman" w:hAnsi="Times New Roman" w:cs="Times New Roman"/>
          <w:szCs w:val="20"/>
        </w:rPr>
        <w:t xml:space="preserve"> Annals of Internal Medicine, 1978. </w:t>
      </w:r>
      <w:r w:rsidRPr="00C350AE">
        <w:rPr>
          <w:rFonts w:ascii="Times New Roman" w:hAnsi="Times New Roman" w:cs="Times New Roman"/>
          <w:b/>
          <w:szCs w:val="20"/>
        </w:rPr>
        <w:t>89</w:t>
      </w:r>
      <w:r w:rsidRPr="00C350AE">
        <w:rPr>
          <w:rFonts w:ascii="Times New Roman" w:hAnsi="Times New Roman" w:cs="Times New Roman"/>
          <w:szCs w:val="20"/>
        </w:rPr>
        <w:t>(3): p. 356-8.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49.</w:t>
      </w:r>
      <w:r w:rsidRPr="00C350AE">
        <w:rPr>
          <w:rFonts w:ascii="Times New Roman" w:hAnsi="Times New Roman" w:cs="Times New Roman"/>
          <w:szCs w:val="20"/>
        </w:rPr>
        <w:tab/>
        <w:t xml:space="preserve">Adami, S., et al., </w:t>
      </w:r>
      <w:r w:rsidRPr="00C350AE">
        <w:rPr>
          <w:rFonts w:ascii="Times New Roman" w:hAnsi="Times New Roman" w:cs="Times New Roman"/>
          <w:i/>
          <w:szCs w:val="20"/>
        </w:rPr>
        <w:t>Site-specific effects of strength training on bone structure and geometry of ultradistal radius in postmenopausal women.</w:t>
      </w:r>
      <w:r w:rsidRPr="00C350AE">
        <w:rPr>
          <w:rFonts w:ascii="Times New Roman" w:hAnsi="Times New Roman" w:cs="Times New Roman"/>
          <w:szCs w:val="20"/>
        </w:rPr>
        <w:t xml:space="preserve"> Journal of Bone &amp; Mineral Research, 1999. </w:t>
      </w:r>
      <w:r w:rsidRPr="00C350AE">
        <w:rPr>
          <w:rFonts w:ascii="Times New Roman" w:hAnsi="Times New Roman" w:cs="Times New Roman"/>
          <w:b/>
          <w:szCs w:val="20"/>
        </w:rPr>
        <w:t>14</w:t>
      </w:r>
      <w:r w:rsidRPr="00C350AE">
        <w:rPr>
          <w:rFonts w:ascii="Times New Roman" w:hAnsi="Times New Roman" w:cs="Times New Roman"/>
          <w:szCs w:val="20"/>
        </w:rPr>
        <w:t>(1): p. 120-4.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50.</w:t>
      </w:r>
      <w:r w:rsidRPr="00C350AE">
        <w:rPr>
          <w:rFonts w:ascii="Times New Roman" w:hAnsi="Times New Roman" w:cs="Times New Roman"/>
          <w:szCs w:val="20"/>
        </w:rPr>
        <w:tab/>
      </w:r>
      <w:r w:rsidRPr="00C350AE">
        <w:rPr>
          <w:rFonts w:ascii="Times New Roman" w:hAnsi="Times New Roman" w:cs="Times New Roman"/>
          <w:i/>
          <w:szCs w:val="20"/>
        </w:rPr>
        <w:t>Effects of Whole Body Vibration (WBV) on Musculoskeletal System of Aged Women.</w:t>
      </w:r>
      <w:r w:rsidRPr="00C350AE">
        <w:rPr>
          <w:rFonts w:ascii="Times New Roman" w:hAnsi="Times New Roman" w:cs="Times New Roman"/>
          <w:szCs w:val="20"/>
        </w:rPr>
        <w:t xml:space="preserve"> https://clinicaltrials gov/show/NCT01982214, 2013.</w:t>
      </w:r>
    </w:p>
    <w:p w:rsidR="00C350AE" w:rsidRPr="00C350AE" w:rsidRDefault="00C350AE" w:rsidP="00C350AE">
      <w:pPr>
        <w:pStyle w:val="EndNoteBibliography"/>
        <w:jc w:val="left"/>
        <w:rPr>
          <w:rFonts w:ascii="Times New Roman" w:hAnsi="Times New Roman" w:cs="Times New Roman"/>
          <w:b/>
          <w:szCs w:val="20"/>
        </w:rPr>
      </w:pPr>
      <w:r w:rsidRPr="00C350AE">
        <w:rPr>
          <w:rFonts w:ascii="Times New Roman" w:hAnsi="Times New Roman" w:cs="Times New Roman"/>
          <w:b/>
          <w:szCs w:val="20"/>
        </w:rPr>
        <w:t>No relevant population (n=82):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w:t>
      </w:r>
      <w:r w:rsidRPr="00C350AE">
        <w:rPr>
          <w:rFonts w:ascii="Times New Roman" w:hAnsi="Times New Roman" w:cs="Times New Roman"/>
          <w:szCs w:val="20"/>
        </w:rPr>
        <w:tab/>
        <w:t>Zhao, J.X., L. Zhang, and Y. Tian, Effect of 6 months of Tai Chi Chuan and calcium supplementation on bone health in females aged 50-59 years. Journal of Exercise Science &amp; Fitness, 2007. 5(2): p. 88-94.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w:t>
      </w:r>
      <w:r w:rsidRPr="00C350AE">
        <w:rPr>
          <w:rFonts w:ascii="Times New Roman" w:hAnsi="Times New Roman" w:cs="Times New Roman"/>
          <w:szCs w:val="20"/>
        </w:rPr>
        <w:tab/>
        <w:t>Zha, D.S., et al., Does whole-body vibration with alternative tilting increase bone mineral density and change bone metabolism in senior people? Aging Clinical and Experimental Research, 2012. 24(1): p. 28-36.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w:t>
      </w:r>
      <w:r w:rsidRPr="00C350AE">
        <w:rPr>
          <w:rFonts w:ascii="Times New Roman" w:hAnsi="Times New Roman" w:cs="Times New Roman"/>
          <w:szCs w:val="20"/>
        </w:rPr>
        <w:tab/>
        <w:t>Xiao, C.-M., Y. Kang, and Y.-C. Zhuang, Effects of Elastic Resistance Band Exercise on Postural Balance, Estrogen, Bone Metabolism Index, and Muscle Strength of Perimenopausal Period Women. Journal of the American Geriatrics Society, 2016. 64(6): p. 1368-70.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w:t>
      </w:r>
      <w:r w:rsidRPr="00C350AE">
        <w:rPr>
          <w:rFonts w:ascii="Times New Roman" w:hAnsi="Times New Roman" w:cs="Times New Roman"/>
          <w:szCs w:val="20"/>
        </w:rPr>
        <w:tab/>
        <w:t>Welsh, L. and O.M. Rutherford, Hip bone mineral density is improved by high-impact aerobic exercise in postmenopausal women and men over 50 years. European Journal of Applied Physiology and Occupational Physiology, 1996. 74(6): p. 511-517.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w:t>
      </w:r>
      <w:r w:rsidRPr="00C350AE">
        <w:rPr>
          <w:rFonts w:ascii="Times New Roman" w:hAnsi="Times New Roman" w:cs="Times New Roman"/>
          <w:szCs w:val="20"/>
        </w:rPr>
        <w:tab/>
        <w:t>Vuori, I., et al., Effects of Unilateral Strength Training and Detraining on Bone-Mineral Density and Content in Young-Women - a Study of Mechanical Loading and Deloading on Human Bones. Calcified Tissue International, 1994. 55(1): p. 59-67.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w:t>
      </w:r>
      <w:r w:rsidRPr="00C350AE">
        <w:rPr>
          <w:rFonts w:ascii="Times New Roman" w:hAnsi="Times New Roman" w:cs="Times New Roman"/>
          <w:szCs w:val="20"/>
        </w:rPr>
        <w:tab/>
        <w:t>Villareal, D.T., et al., Effects of exercise training on bone mineral density in frail older women and men: a randomised controlled trial. Age &amp; Ageing, 2004. 33(3): p. 309-12.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w:t>
      </w:r>
      <w:r w:rsidRPr="00C350AE">
        <w:rPr>
          <w:rFonts w:ascii="Times New Roman" w:hAnsi="Times New Roman" w:cs="Times New Roman"/>
          <w:szCs w:val="20"/>
        </w:rPr>
        <w:tab/>
        <w:t>Vanni, A.C., et al., Comparison of the effects of two resistance training regimens on muscular and bone responses in premenopausal women. Osteoporosis International, 2010. 21(9): p. 1537-44.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8.</w:t>
      </w:r>
      <w:r w:rsidRPr="00C350AE">
        <w:rPr>
          <w:rFonts w:ascii="Times New Roman" w:hAnsi="Times New Roman" w:cs="Times New Roman"/>
          <w:szCs w:val="20"/>
        </w:rPr>
        <w:tab/>
        <w:t>Vainionpaa, A., et al., Effect of impact exercise and its intensity on bone geometry at weight-bearing tibia and femur. Bone, 2007. 40(3): p. 604-611.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9.</w:t>
      </w:r>
      <w:r w:rsidRPr="00C350AE">
        <w:rPr>
          <w:rFonts w:ascii="Times New Roman" w:hAnsi="Times New Roman" w:cs="Times New Roman"/>
          <w:szCs w:val="20"/>
        </w:rPr>
        <w:tab/>
        <w:t>Vainionpaa, A., et al., Effects of high-impact exercise on bone mineral density: a randomized controlled trial in premenopausal women. Osteoporosis International, 2005. 16(2): p. 191-7.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10.</w:t>
      </w:r>
      <w:r w:rsidRPr="00C350AE">
        <w:rPr>
          <w:rFonts w:ascii="Times New Roman" w:hAnsi="Times New Roman" w:cs="Times New Roman"/>
          <w:szCs w:val="20"/>
        </w:rPr>
        <w:tab/>
        <w:t xml:space="preserve">Vainionpaa, A., et al., Effect of impact exercise on physical performance and cardiovascular risk </w:t>
      </w:r>
      <w:r w:rsidRPr="00C350AE">
        <w:rPr>
          <w:rFonts w:ascii="Times New Roman" w:hAnsi="Times New Roman" w:cs="Times New Roman"/>
          <w:szCs w:val="20"/>
        </w:rPr>
        <w:lastRenderedPageBreak/>
        <w:t>factors. Medicine and Science in Sports and Exercise, 2007. 39(5): p. 756-763.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11.</w:t>
      </w:r>
      <w:r w:rsidRPr="00C350AE">
        <w:rPr>
          <w:rFonts w:ascii="Times New Roman" w:hAnsi="Times New Roman" w:cs="Times New Roman"/>
          <w:szCs w:val="20"/>
        </w:rPr>
        <w:tab/>
        <w:t>Ubago-Guisado, E., et al., Effects of Zumba&lt;sup&gt; R&lt;/sup&gt; and Aquagym on Bone Mass in Inactive Middle-Aged Women. Medicina, 2019. 55(1): p. 21.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12.</w:t>
      </w:r>
      <w:r w:rsidRPr="00C350AE">
        <w:rPr>
          <w:rFonts w:ascii="Times New Roman" w:hAnsi="Times New Roman" w:cs="Times New Roman"/>
          <w:szCs w:val="20"/>
        </w:rPr>
        <w:tab/>
        <w:t>Tucker, L.A., et al., Effect of two jumping programs on hip bone mineral density in premenopausal women: a randomized controlled trial. American Journal of Health Promotion, 2015. 29(3): p. 158-64.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13.</w:t>
      </w:r>
      <w:r w:rsidRPr="00C350AE">
        <w:rPr>
          <w:rFonts w:ascii="Times New Roman" w:hAnsi="Times New Roman" w:cs="Times New Roman"/>
          <w:szCs w:val="20"/>
        </w:rPr>
        <w:tab/>
        <w:t>Thomas, D.T., L. Wideman, and C.A. Lovelady, Effects of calcium and resistance exercise on body composition in overweight premenopausal women. Journal of the American College of Nutrition, 2010. 29(6): p. 604-11.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14.</w:t>
      </w:r>
      <w:r w:rsidRPr="00C350AE">
        <w:rPr>
          <w:rFonts w:ascii="Times New Roman" w:hAnsi="Times New Roman" w:cs="Times New Roman"/>
          <w:szCs w:val="20"/>
        </w:rPr>
        <w:tab/>
        <w:t>Tan, A.M., et al., Efficacy of a workplace osteoporosis prevention intervention: a cluster randomized trial. Bmc Public Health, 2016. 16.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15.</w:t>
      </w:r>
      <w:r w:rsidRPr="00C350AE">
        <w:rPr>
          <w:rFonts w:ascii="Times New Roman" w:hAnsi="Times New Roman" w:cs="Times New Roman"/>
          <w:szCs w:val="20"/>
        </w:rPr>
        <w:tab/>
        <w:t>Soomro, R.R., et al., Comparing the effects of Osteoporosis Prevention Exercise Protocol (OPEP) versus walking in the prevention of osteoporosis in younger females. Pakistan Journal of Medical Sciences, 2015. 31(2): p. 336-340.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16.</w:t>
      </w:r>
      <w:r w:rsidRPr="00C350AE">
        <w:rPr>
          <w:rFonts w:ascii="Times New Roman" w:hAnsi="Times New Roman" w:cs="Times New Roman"/>
          <w:szCs w:val="20"/>
        </w:rPr>
        <w:tab/>
        <w:t>Sinaki, M., et al., Three-year controlled, randomized trial of the effect of dose-specified loading and strengthening exercises on bone mineral density of spine and femur in nonathletic, physically active women. Bone, 1996. 19(3): p. 233-244.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17.</w:t>
      </w:r>
      <w:r w:rsidRPr="00C350AE">
        <w:rPr>
          <w:rFonts w:ascii="Times New Roman" w:hAnsi="Times New Roman" w:cs="Times New Roman"/>
          <w:szCs w:val="20"/>
        </w:rPr>
        <w:tab/>
        <w:t>Shea, K.L., et al., Body composition and bone mineral density after ovarian hormone suppression with or without estradiol treatment. Menopause, 2015. 22(10): p. 1045-1052.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18.</w:t>
      </w:r>
      <w:r w:rsidRPr="00C350AE">
        <w:rPr>
          <w:rFonts w:ascii="Times New Roman" w:hAnsi="Times New Roman" w:cs="Times New Roman"/>
          <w:szCs w:val="20"/>
        </w:rPr>
        <w:tab/>
        <w:t>Shanb, A.A., et al., Whole body vibration versus magnetic therapy on bone mineral density in elderly osteoporotic individuals. Journal of Back and Musculoskeletal Rehabilitation, 2017. 30(4): p. 903-912.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19.</w:t>
      </w:r>
      <w:r w:rsidRPr="00C350AE">
        <w:rPr>
          <w:rFonts w:ascii="Times New Roman" w:hAnsi="Times New Roman" w:cs="Times New Roman"/>
          <w:szCs w:val="20"/>
        </w:rPr>
        <w:tab/>
        <w:t>Olson, A.C.F., Promoting perimenopausal bone health: What's theory got to do with it? Journal of Clinical Densitometry, 2010. 13 (1): p. 110.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20.</w:t>
      </w:r>
      <w:r w:rsidRPr="00C350AE">
        <w:rPr>
          <w:rFonts w:ascii="Times New Roman" w:hAnsi="Times New Roman" w:cs="Times New Roman"/>
          <w:szCs w:val="20"/>
        </w:rPr>
        <w:tab/>
        <w:t>Moradell, A., et al., Role of Dietary Intake and Serum 25(OH)D on the Effects of a Multicomponent Exercise Program on Bone Mass and Structure of Frail and Pre-Frail Older Adults. Nutrients, 2020. 12(10).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21.</w:t>
      </w:r>
      <w:r w:rsidRPr="00C350AE">
        <w:rPr>
          <w:rFonts w:ascii="Times New Roman" w:hAnsi="Times New Roman" w:cs="Times New Roman"/>
          <w:szCs w:val="20"/>
        </w:rPr>
        <w:tab/>
        <w:t>Mohr, M., et al., Effects of soccer vs swim training on bone formation in sedentary middle-aged women. European Journal of Applied Physiology, 2015. 115(12): p. 2671-9.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22.</w:t>
      </w:r>
      <w:r w:rsidRPr="00C350AE">
        <w:rPr>
          <w:rFonts w:ascii="Times New Roman" w:hAnsi="Times New Roman" w:cs="Times New Roman"/>
          <w:szCs w:val="20"/>
        </w:rPr>
        <w:tab/>
        <w:t>Milanese, C., et al., Effects of Whole-Body Vibration With or Without Localized Radiofrequency on Anthropometry, Body Composition, and Motor Performance in Young Nonobese Women. Journal of Alternative and Complementary Medicine, 2012. 18(1): p. 69-75.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23.</w:t>
      </w:r>
      <w:r w:rsidRPr="00C350AE">
        <w:rPr>
          <w:rFonts w:ascii="Times New Roman" w:hAnsi="Times New Roman" w:cs="Times New Roman"/>
          <w:szCs w:val="20"/>
        </w:rPr>
        <w:tab/>
        <w:t>McCartney, N., et al., Long-Term Resistance Training in the Elderly - Effects on Dynamic Strength, Exercise Capacity, Muscle, and Bone. Journals of Gerontology Series a-Biological Sciences and Medical Sciences, 1995. 50(2): p. B97-B104.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24.</w:t>
      </w:r>
      <w:r w:rsidRPr="00C350AE">
        <w:rPr>
          <w:rFonts w:ascii="Times New Roman" w:hAnsi="Times New Roman" w:cs="Times New Roman"/>
          <w:szCs w:val="20"/>
        </w:rPr>
        <w:tab/>
        <w:t>Marchese, D., et al., Effects of a Weight-Bearing Exercise Training on Bone Mineral Density and Neuromuscular Function of Osteopenic Women. European Journal of Inflammation, 2012. 10(3): p. 427-435.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25.</w:t>
      </w:r>
      <w:r w:rsidRPr="00C350AE">
        <w:rPr>
          <w:rFonts w:ascii="Times New Roman" w:hAnsi="Times New Roman" w:cs="Times New Roman"/>
          <w:szCs w:val="20"/>
        </w:rPr>
        <w:tab/>
        <w:t>Lohman, T., et al., Effects of resistance training on regional and total bone mineral density in premenopausal women: a randomized prospective study. Journal of Bone &amp; Mineral Research, 1995. 10(7): p. 1015-24.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26.</w:t>
      </w:r>
      <w:r w:rsidRPr="00C350AE">
        <w:rPr>
          <w:rFonts w:ascii="Times New Roman" w:hAnsi="Times New Roman" w:cs="Times New Roman"/>
          <w:szCs w:val="20"/>
        </w:rPr>
        <w:tab/>
        <w:t>Liang, M.T.C., et al., Effect of high-impact aerobics and strength training on BMD in young women aged 20-35 years. International Journal of Sports Medicine, 2011. 32(2): p. 100-8.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27.</w:t>
      </w:r>
      <w:r w:rsidRPr="00C350AE">
        <w:rPr>
          <w:rFonts w:ascii="Times New Roman" w:hAnsi="Times New Roman" w:cs="Times New Roman"/>
          <w:szCs w:val="20"/>
        </w:rPr>
        <w:tab/>
        <w:t xml:space="preserve">Kontulainen, S., et al., Former exercisers of an 18-month intervention display residual aBMD </w:t>
      </w:r>
      <w:r w:rsidRPr="00C350AE">
        <w:rPr>
          <w:rFonts w:ascii="Times New Roman" w:hAnsi="Times New Roman" w:cs="Times New Roman"/>
          <w:szCs w:val="20"/>
        </w:rPr>
        <w:lastRenderedPageBreak/>
        <w:t>benefits compared with control women 3.5 years post-intervention: a follow-up of a randomized controlled high-impact trial. Osteoporosis International, 2004. 15(3): p. 248-51.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28.</w:t>
      </w:r>
      <w:r w:rsidRPr="00C350AE">
        <w:rPr>
          <w:rFonts w:ascii="Times New Roman" w:hAnsi="Times New Roman" w:cs="Times New Roman"/>
          <w:szCs w:val="20"/>
        </w:rPr>
        <w:tab/>
        <w:t>Knobf, M.T., et al., Effect of a randomized controlled exercise trial on bone outcomes: influence of adjuvant endocrine therapy. Breast Cancer Research &amp; Treatment, 2016. 155(3): p. 491-500.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29.</w:t>
      </w:r>
      <w:r w:rsidRPr="00C350AE">
        <w:rPr>
          <w:rFonts w:ascii="Times New Roman" w:hAnsi="Times New Roman" w:cs="Times New Roman"/>
          <w:szCs w:val="20"/>
        </w:rPr>
        <w:tab/>
        <w:t>Kim, S., et al., Effects of an 8-Month Ashtanga-Based Yoga Intervention on Bone Metabolism in Middle-Aged Premenopausal Women: A Randomized Controlled Study. Journal of Sports Science and Medicine, 2015. 14(4): p. 756-768.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30.</w:t>
      </w:r>
      <w:r w:rsidRPr="00C350AE">
        <w:rPr>
          <w:rFonts w:ascii="Times New Roman" w:hAnsi="Times New Roman" w:cs="Times New Roman"/>
          <w:szCs w:val="20"/>
        </w:rPr>
        <w:tab/>
        <w:t>Josse, A.R., et al., Body Composition and Strength Changes in Women with Milk and Resistance Exercise. Medicine and Science in Sports and Exercise, 2010. 42(6): p. 1122-1130.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31.</w:t>
      </w:r>
      <w:r w:rsidRPr="00C350AE">
        <w:rPr>
          <w:rFonts w:ascii="Times New Roman" w:hAnsi="Times New Roman" w:cs="Times New Roman"/>
          <w:szCs w:val="20"/>
        </w:rPr>
        <w:tab/>
        <w:t>Jiang, J., et al., The effects of improved metabolic risk factors on bone turnover markers after 12 weeks of simvastatin treatment with or without exercise. Metabolism-Clinical and Experimental, 2014. 63(11): p. 1398-1408.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32.</w:t>
      </w:r>
      <w:r w:rsidRPr="00C350AE">
        <w:rPr>
          <w:rFonts w:ascii="Times New Roman" w:hAnsi="Times New Roman" w:cs="Times New Roman"/>
          <w:szCs w:val="20"/>
        </w:rPr>
        <w:tab/>
        <w:t>Itoi, E. and M. Sinaki, Effect of Back-Strengthening Exercise on Posture in Healthy Women 49 to 65 Years of Age. Mayo Clinic Proceedings, 1994. 69(11): p. 1054-1059.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33.</w:t>
      </w:r>
      <w:r w:rsidRPr="00C350AE">
        <w:rPr>
          <w:rFonts w:ascii="Times New Roman" w:hAnsi="Times New Roman" w:cs="Times New Roman"/>
          <w:szCs w:val="20"/>
        </w:rPr>
        <w:tab/>
        <w:t>Huuskonen, J., et al., Regular physical exercise and bone mineral density: A four-year controlled randomized trial in middle-aged men. The DNASCO study. Osteoporosis International, 2001. 12(5): p. 349-355.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34.</w:t>
      </w:r>
      <w:r w:rsidRPr="00C350AE">
        <w:rPr>
          <w:rFonts w:ascii="Times New Roman" w:hAnsi="Times New Roman" w:cs="Times New Roman"/>
          <w:szCs w:val="20"/>
        </w:rPr>
        <w:tab/>
        <w:t>Hui, S.S.C., et al., Effects of Tai Chi and Walking Exercises on Weight Loss, Metabolic Syndrome Parameters, and Bone Mineral Density: A Cluster Randomized Controlled Trial. Evidence-Based Complementary and Alternative Medicine, 2015. 2015.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35.</w:t>
      </w:r>
      <w:r w:rsidRPr="00C350AE">
        <w:rPr>
          <w:rFonts w:ascii="Times New Roman" w:hAnsi="Times New Roman" w:cs="Times New Roman"/>
          <w:szCs w:val="20"/>
        </w:rPr>
        <w:tab/>
        <w:t>Hourigan, S.R., et al., Positive effects of exercise on falls and fracture risk in osteopenic women. Osteoporosis International, 2008. 19(7): p. 1077-1086.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36.</w:t>
      </w:r>
      <w:r w:rsidRPr="00C350AE">
        <w:rPr>
          <w:rFonts w:ascii="Times New Roman" w:hAnsi="Times New Roman" w:cs="Times New Roman"/>
          <w:szCs w:val="20"/>
        </w:rPr>
        <w:tab/>
        <w:t>Hirosaki, M., et al., Effects of a laughter and exercise program on physiological and psychological health among community-dwelling elderly in Japan: Randomized controlled trial. Geriatrics &amp; Gerontology International, 2013. 13(1): p. 152-160.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37.</w:t>
      </w:r>
      <w:r w:rsidRPr="00C350AE">
        <w:rPr>
          <w:rFonts w:ascii="Times New Roman" w:hAnsi="Times New Roman" w:cs="Times New Roman"/>
          <w:szCs w:val="20"/>
        </w:rPr>
        <w:tab/>
        <w:t>Hinton, P.S., et al., Weight-loss-associated changes in bone mineral density and bone turnover after partial weight regain with or without aerobic exercise in obese women. European Journal of Clinical Nutrition, 2012. 66(5): p. 606-612.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38.</w:t>
      </w:r>
      <w:r w:rsidRPr="00C350AE">
        <w:rPr>
          <w:rFonts w:ascii="Times New Roman" w:hAnsi="Times New Roman" w:cs="Times New Roman"/>
          <w:szCs w:val="20"/>
        </w:rPr>
        <w:tab/>
        <w:t>Hinton, P.S., et al., Total body bone mineral content and density during weight loss and maintenance on a low- or recommended-dairy weight-maintenance diet in obese men and women. European Journal of Clinical Nutrition, 2010. 64(4): p. 392-399.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39.</w:t>
      </w:r>
      <w:r w:rsidRPr="00C350AE">
        <w:rPr>
          <w:rFonts w:ascii="Times New Roman" w:hAnsi="Times New Roman" w:cs="Times New Roman"/>
          <w:szCs w:val="20"/>
        </w:rPr>
        <w:tab/>
        <w:t>Helge, E.W., et al., Recreational football training decreases risk factors for bone fractures in untrained premenopausal women. Scandinavian Journal of Medicine &amp; Science in Sports, 2010. 20: p. 31-39.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40.</w:t>
      </w:r>
      <w:r w:rsidRPr="00C350AE">
        <w:rPr>
          <w:rFonts w:ascii="Times New Roman" w:hAnsi="Times New Roman" w:cs="Times New Roman"/>
          <w:szCs w:val="20"/>
        </w:rPr>
        <w:tab/>
        <w:t>Heinonen, A., et al., Effect of two training regimens on bone mineral density in healthy perimenopausal women: a randomized controlled trial. Journal of Bone &amp; Mineral Research, 1998. 13(3): p. 483-90.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41.</w:t>
      </w:r>
      <w:r w:rsidRPr="00C350AE">
        <w:rPr>
          <w:rFonts w:ascii="Times New Roman" w:hAnsi="Times New Roman" w:cs="Times New Roman"/>
          <w:szCs w:val="20"/>
        </w:rPr>
        <w:tab/>
        <w:t>Heinonen, A., et al., Effects of High-Impact Training and Detraining on Femoral Neck Structure in Premenopausal Women: A Hip Structural Analysis of an 18-Month Randomized Controlled Exercise Intervention with 3.5-Year Follow-Up. Physiotherapy Canada, 2012. 64(1): p. 98-105.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42.</w:t>
      </w:r>
      <w:r w:rsidRPr="00C350AE">
        <w:rPr>
          <w:rFonts w:ascii="Times New Roman" w:hAnsi="Times New Roman" w:cs="Times New Roman"/>
          <w:szCs w:val="20"/>
        </w:rPr>
        <w:tab/>
        <w:t>Heinonen, A., et al., Good maintenance of high-impact activity-induced bone gain by voluntary, unsupervised exercises: An 8-month follow-up of a randomized controlled trial. Journal of Bone &amp; Mineral Research, 1999. 14(1): p. 125-8.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43.</w:t>
      </w:r>
      <w:r w:rsidRPr="00C350AE">
        <w:rPr>
          <w:rFonts w:ascii="Times New Roman" w:hAnsi="Times New Roman" w:cs="Times New Roman"/>
          <w:szCs w:val="20"/>
        </w:rPr>
        <w:tab/>
        <w:t xml:space="preserve">Heinonen, A., et al., Randomised controlled trial of effect of high-impact exercise on selected risk </w:t>
      </w:r>
      <w:r w:rsidRPr="00C350AE">
        <w:rPr>
          <w:rFonts w:ascii="Times New Roman" w:hAnsi="Times New Roman" w:cs="Times New Roman"/>
          <w:szCs w:val="20"/>
        </w:rPr>
        <w:lastRenderedPageBreak/>
        <w:t>factors for osteoporotic fractures. Lancet, 1996. 348(9038): p. 1343-1347.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44.</w:t>
      </w:r>
      <w:r w:rsidRPr="00C350AE">
        <w:rPr>
          <w:rFonts w:ascii="Times New Roman" w:hAnsi="Times New Roman" w:cs="Times New Roman"/>
          <w:szCs w:val="20"/>
        </w:rPr>
        <w:tab/>
        <w:t>Greenway, K.G., J.W. Walkley, and P.A. Rich, Impact exercise and bone density in premenopausal women with below average bone density for age. European Journal of Applied Physiology, 2015. 115(11): p. 2457-69.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45.</w:t>
      </w:r>
      <w:r w:rsidRPr="00C350AE">
        <w:rPr>
          <w:rFonts w:ascii="Times New Roman" w:hAnsi="Times New Roman" w:cs="Times New Roman"/>
          <w:szCs w:val="20"/>
        </w:rPr>
        <w:tab/>
        <w:t>Greendale, G.A., et al., A randomized trial of weighted vest use in ambulatory older adults: Strength, performance, and quality of life outcomes. Journal of the American Geriatrics Society, 2000. 48(3): p. 305-311.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46.</w:t>
      </w:r>
      <w:r w:rsidRPr="00C350AE">
        <w:rPr>
          <w:rFonts w:ascii="Times New Roman" w:hAnsi="Times New Roman" w:cs="Times New Roman"/>
          <w:szCs w:val="20"/>
        </w:rPr>
        <w:tab/>
        <w:t>Gomez-Cabello, A., et al., Effects of a short-term whole body vibration intervention on bone mass and structure in elderly people. Journal of Science and Medicine in Sport, 2014. 17(2): p. 160-164.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47.</w:t>
      </w:r>
      <w:r w:rsidRPr="00C350AE">
        <w:rPr>
          <w:rFonts w:ascii="Times New Roman" w:hAnsi="Times New Roman" w:cs="Times New Roman"/>
          <w:szCs w:val="20"/>
        </w:rPr>
        <w:tab/>
        <w:t>Gianoudis, J., et al., Effects of a Targeted Multimodal Exercise Program Incorporating High-Speed Power Training on Falls and Fracture Risk Factors in Older Adults: A Community-Based Randomized Controlled Trial. Journal of Bone and Mineral Research, 2014. 29(1): p. 182-191.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48.</w:t>
      </w:r>
      <w:r w:rsidRPr="00C350AE">
        <w:rPr>
          <w:rFonts w:ascii="Times New Roman" w:hAnsi="Times New Roman" w:cs="Times New Roman"/>
          <w:szCs w:val="20"/>
        </w:rPr>
        <w:tab/>
        <w:t>Gaines, J.M., M. Narrett, and J.M. Parrish, The Effect of the Addition of Osteoporosis Education to a Bone Health Screening Program for Older Adults. Geriatric Nursing, 2010. 31(5): p. 348-360.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49.</w:t>
      </w:r>
      <w:r w:rsidRPr="00C350AE">
        <w:rPr>
          <w:rFonts w:ascii="Times New Roman" w:hAnsi="Times New Roman" w:cs="Times New Roman"/>
          <w:szCs w:val="20"/>
        </w:rPr>
        <w:tab/>
        <w:t>Gaba, A., et al., The effect of brisk walking on postural stability, bone mineral density, body weight and composition in women over 50 years with a sedentary occupation: a randomized controlled trial. Bmc Womens Health, 2016. 16.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50.</w:t>
      </w:r>
      <w:r w:rsidRPr="00C350AE">
        <w:rPr>
          <w:rFonts w:ascii="Times New Roman" w:hAnsi="Times New Roman" w:cs="Times New Roman"/>
          <w:szCs w:val="20"/>
        </w:rPr>
        <w:tab/>
        <w:t>Friedlander, A.L., et al., A 2-Year Program of Aerobics and Weight Training Enhances Bone-Mineral Density of Young-Women. Journal of Bone and Mineral Research, 1995. 10(4): p. 574-585.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51.</w:t>
      </w:r>
      <w:r w:rsidRPr="00C350AE">
        <w:rPr>
          <w:rFonts w:ascii="Times New Roman" w:hAnsi="Times New Roman" w:cs="Times New Roman"/>
          <w:szCs w:val="20"/>
        </w:rPr>
        <w:tab/>
        <w:t>Evans, W.J., Effects of exercise on body composition and functional capacity of the elderly. Journals of Gerontology Series A-Biological Sciences &amp; Medical Sciences, 1995. 50 Spec No: p. 147-50.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52.</w:t>
      </w:r>
      <w:r w:rsidRPr="00C350AE">
        <w:rPr>
          <w:rFonts w:ascii="Times New Roman" w:hAnsi="Times New Roman" w:cs="Times New Roman"/>
          <w:szCs w:val="20"/>
        </w:rPr>
        <w:tab/>
        <w:t>Duckham, R.L., et al., Randomised controlled trial of the effectiveness of community group and home-based falls prevention exercise programmes on bone health in older people: the ProAct65+bone study. Age and Ageing, 2015. 44(4): p. 573-579.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53.</w:t>
      </w:r>
      <w:r w:rsidRPr="00C350AE">
        <w:rPr>
          <w:rFonts w:ascii="Times New Roman" w:hAnsi="Times New Roman" w:cs="Times New Roman"/>
          <w:szCs w:val="20"/>
        </w:rPr>
        <w:tab/>
        <w:t>Dornemann, T.M., et al., Effects of high-intensity resistance exercise on bone mineral density and muscle strength of 40-50-year-old women. Journal of Sports Medicine &amp; Physical Fitness, 1997. 37(4): p. 246-51.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54.</w:t>
      </w:r>
      <w:r w:rsidRPr="00C350AE">
        <w:rPr>
          <w:rFonts w:ascii="Times New Roman" w:hAnsi="Times New Roman" w:cs="Times New Roman"/>
          <w:szCs w:val="20"/>
        </w:rPr>
        <w:tab/>
        <w:t>de Jong, N., et al., Dietary supplements and physical exercise affecting bone and body composition in frail elderly persons. American Journal of Public Health, 2000. 90(6): p. 947-954.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55.</w:t>
      </w:r>
      <w:r w:rsidRPr="00C350AE">
        <w:rPr>
          <w:rFonts w:ascii="Times New Roman" w:hAnsi="Times New Roman" w:cs="Times New Roman"/>
          <w:szCs w:val="20"/>
        </w:rPr>
        <w:tab/>
        <w:t>Daly, R.M., et al., Effects of a 12-Month Supervised, Community-Based, Multimodal Exercise Program Followed by a 6-Month Research-to-Practice Transition on Bone Mineral Density, Trabecular Microarchitecture, and Physical Function in Older Adults: A Randomized Controlled Trial. Journal of Bone and Mineral Research, 2020. 35(3): p. 419-429.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56.</w:t>
      </w:r>
      <w:r w:rsidRPr="00C350AE">
        <w:rPr>
          <w:rFonts w:ascii="Times New Roman" w:hAnsi="Times New Roman" w:cs="Times New Roman"/>
          <w:szCs w:val="20"/>
        </w:rPr>
        <w:tab/>
        <w:t>Corrie, H., et al., Effects of vertical and side-alternating vibration training on fall risk factors and bone turnover in older people at risk of falls. Age and Ageing, 2015. 44(1): p. 115-122.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57.</w:t>
      </w:r>
      <w:r w:rsidRPr="00C350AE">
        <w:rPr>
          <w:rFonts w:ascii="Times New Roman" w:hAnsi="Times New Roman" w:cs="Times New Roman"/>
          <w:szCs w:val="20"/>
        </w:rPr>
        <w:tab/>
        <w:t>Colleran, H.L., L. Wideman, and C.A. Lovelady, Effects of Energy Restriction and Exercise on Bone Mineral Density during Lactation. Medicine and Science in Sports and Exercise, 2012. 44(8): p. 1570-1579.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58.</w:t>
      </w:r>
      <w:r w:rsidRPr="00C350AE">
        <w:rPr>
          <w:rFonts w:ascii="Times New Roman" w:hAnsi="Times New Roman" w:cs="Times New Roman"/>
          <w:szCs w:val="20"/>
        </w:rPr>
        <w:tab/>
        <w:t>Coll-Risco, I., et al., Body Composition Changes Following a Concurrent Exercise Intervention in Perimenopausal Women: The FLAMENCO Project Randomized Controlled Trial. Journal of Clinical Medicine, 2019. 8(10).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59.</w:t>
      </w:r>
      <w:r w:rsidRPr="00C350AE">
        <w:rPr>
          <w:rFonts w:ascii="Times New Roman" w:hAnsi="Times New Roman" w:cs="Times New Roman"/>
          <w:szCs w:val="20"/>
        </w:rPr>
        <w:tab/>
        <w:t>Blumenthal, J.A., et al., Effects of Exercise Training on Bone-Density in Older Men and Women. Journal of the American Geriatrics Society, 1991. 39(11): p. 1065-1070.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lastRenderedPageBreak/>
        <w:t>60.</w:t>
      </w:r>
      <w:r w:rsidRPr="00C350AE">
        <w:rPr>
          <w:rFonts w:ascii="Times New Roman" w:hAnsi="Times New Roman" w:cs="Times New Roman"/>
          <w:szCs w:val="20"/>
        </w:rPr>
        <w:tab/>
        <w:t>Bergstrom, I., B. Freyschuss, and B.-M. Landgren, Physical training and hormone replacement therapy reduce the decrease in bone mineral density in perimenopausal women: a pilot study. Osteoporosis International, 2005. 16(7): p. 823-8.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61.</w:t>
      </w:r>
      <w:r w:rsidRPr="00C350AE">
        <w:rPr>
          <w:rFonts w:ascii="Times New Roman" w:hAnsi="Times New Roman" w:cs="Times New Roman"/>
          <w:szCs w:val="20"/>
        </w:rPr>
        <w:tab/>
        <w:t>Bemben, D.A. and M.G. Bemben, Dose-response effect of 40 weeks of resistance training on bone mineral density in older adults. Osteoporosis International, 2011. 22(1): p. 179-86.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62.</w:t>
      </w:r>
      <w:r w:rsidRPr="00C350AE">
        <w:rPr>
          <w:rFonts w:ascii="Times New Roman" w:hAnsi="Times New Roman" w:cs="Times New Roman"/>
          <w:szCs w:val="20"/>
        </w:rPr>
        <w:tab/>
        <w:t>Beavers, K.M., et al., Effect of Exercise Modality During Weight Loss on Bone Health in Older Adults With Obesity and Cardiovascular Disease or Metabolic Syndrome: A Randomized Controlled Trial. Journal of Bone and Mineral Research, 2018. 33(12): p. 2140-2149.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63.</w:t>
      </w:r>
      <w:r w:rsidRPr="00C350AE">
        <w:rPr>
          <w:rFonts w:ascii="Times New Roman" w:hAnsi="Times New Roman" w:cs="Times New Roman"/>
          <w:szCs w:val="20"/>
        </w:rPr>
        <w:tab/>
        <w:t>Bailey, C.A. and K. Brooke-Wavell, Daily exercise is most effective for increasing hip bone mineral density: A randomized high-impact, unilateral intervention. Bone, 2009. 44: p. S100-S101.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64.</w:t>
      </w:r>
      <w:r w:rsidRPr="00C350AE">
        <w:rPr>
          <w:rFonts w:ascii="Times New Roman" w:hAnsi="Times New Roman" w:cs="Times New Roman"/>
          <w:szCs w:val="20"/>
        </w:rPr>
        <w:tab/>
        <w:t>Babatunde, O. and J. Forsyth, Effects of lifestyle exercise on premenopausal bone health: a randomised controlled trial. Journal of Bone &amp; Mineral Metabolism, 2014. 32(5): p. 563-72.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65.</w:t>
      </w:r>
      <w:r w:rsidRPr="00C350AE">
        <w:rPr>
          <w:rFonts w:ascii="Times New Roman" w:hAnsi="Times New Roman" w:cs="Times New Roman"/>
          <w:szCs w:val="20"/>
        </w:rPr>
        <w:tab/>
        <w:t>Al Mulhim, A.A., et al., Effect of exercise program on the bone mineral density in sedentary females. Bahrain Medical Bulletin, 2004. 26(2): p. 42-44.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66.</w:t>
      </w:r>
      <w:r w:rsidRPr="00C350AE">
        <w:rPr>
          <w:rFonts w:ascii="Times New Roman" w:hAnsi="Times New Roman" w:cs="Times New Roman"/>
          <w:szCs w:val="20"/>
        </w:rPr>
        <w:tab/>
        <w:t>Ahola, R., et al., Time-course of exercise and its association with 12-month bone changes. Bmc Musculoskeletal Disorders, 2009. 10.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67.</w:t>
      </w:r>
      <w:r w:rsidRPr="00C350AE">
        <w:rPr>
          <w:rFonts w:ascii="Times New Roman" w:hAnsi="Times New Roman" w:cs="Times New Roman"/>
          <w:szCs w:val="20"/>
        </w:rPr>
        <w:tab/>
        <w:t>Effects of Zumba(R) and Aquagym on Bone Mass in Inactive Middle-Aged Women. Medicina, 2019. 55(1).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68.</w:t>
      </w:r>
      <w:r w:rsidRPr="00C350AE">
        <w:rPr>
          <w:rFonts w:ascii="Times New Roman" w:hAnsi="Times New Roman" w:cs="Times New Roman"/>
          <w:szCs w:val="20"/>
        </w:rPr>
        <w:tab/>
        <w:t>Effects of an Exercise Program on Bone Density. https://clinicaltrials gov/show/NCT03308292, 2017.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69.</w:t>
      </w:r>
      <w:r w:rsidRPr="00C350AE">
        <w:rPr>
          <w:rFonts w:ascii="Times New Roman" w:hAnsi="Times New Roman" w:cs="Times New Roman"/>
          <w:szCs w:val="20"/>
        </w:rPr>
        <w:tab/>
        <w:t>The Flamenco (Fitness League Against MENopause COsts) Project. https://clinicaltrials gov/show/NCT02358109, 2014.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70.</w:t>
      </w:r>
      <w:r w:rsidRPr="00C350AE">
        <w:rPr>
          <w:rFonts w:ascii="Times New Roman" w:hAnsi="Times New Roman" w:cs="Times New Roman"/>
          <w:szCs w:val="20"/>
        </w:rPr>
        <w:tab/>
        <w:t>Effect of eight weeks aerobic training on serum parathormone, estrogen and alkaline phosphatase concentration in obese women with premature menopause. Iranian journal of obstetrics, gynecology and infertility. 20(7): p. 8-17.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71.</w:t>
      </w:r>
      <w:r w:rsidRPr="00C350AE">
        <w:rPr>
          <w:rFonts w:ascii="Times New Roman" w:hAnsi="Times New Roman" w:cs="Times New Roman"/>
          <w:szCs w:val="20"/>
        </w:rPr>
        <w:tab/>
        <w:t>Choquette, S., et al., Effects of soya isoflavones and exercise on body composition and clinical risk factors of cardiovascular diseases in overweight postmenopausal women: a 6-month double-blind controlled trial. British Journal of Nutrition, 2011. 105(8): p. 1199-209.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72.</w:t>
      </w:r>
      <w:r w:rsidRPr="00C350AE">
        <w:rPr>
          <w:rFonts w:ascii="Times New Roman" w:hAnsi="Times New Roman" w:cs="Times New Roman"/>
          <w:szCs w:val="20"/>
        </w:rPr>
        <w:tab/>
        <w:t>Banitalebi, E., et al., Osteosarcopenic obesity markers following elastic band resistance training: A randomized controlled trial. Experimental Gerontology, 2020. 135.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73.</w:t>
      </w:r>
      <w:r w:rsidRPr="00C350AE">
        <w:rPr>
          <w:rFonts w:ascii="Times New Roman" w:hAnsi="Times New Roman" w:cs="Times New Roman"/>
          <w:szCs w:val="20"/>
        </w:rPr>
        <w:tab/>
        <w:t>Svendsen, O.L., C. Hassager, and C. Christiansen, Physical exercise as a supplement to diet. Effect on body composition, resting metabolic rate and cardiovascular risk factors in postmenopausal overweight women. [Danish]. Ugeskrift for laeger, 1994. 156(41): p. 6035-6038.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74.</w:t>
      </w:r>
      <w:r w:rsidRPr="00C350AE">
        <w:rPr>
          <w:rFonts w:ascii="Times New Roman" w:hAnsi="Times New Roman" w:cs="Times New Roman"/>
          <w:szCs w:val="20"/>
        </w:rPr>
        <w:tab/>
        <w:t>Svendsen, O.L., C. Hassager, and C. Christiansen, Effect of an energy-restrictive diet, with or without exercise, on lean tissue mass, resting metabolic rate, cardiovascular risk factors, and bone in overweight postmenopausal women. American Journal of Medicine, 1993. 95(2): p. 131-40.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75.</w:t>
      </w:r>
      <w:r w:rsidRPr="00C350AE">
        <w:rPr>
          <w:rFonts w:ascii="Times New Roman" w:hAnsi="Times New Roman" w:cs="Times New Roman"/>
          <w:szCs w:val="20"/>
        </w:rPr>
        <w:tab/>
        <w:t>Murtezani, A., et al., The effect of land versus aquatic exercise program on bone mineral density and physical function in postmenopausal women with osteoporosis: a randomized controlled trial. Ortopedia Traumatologia Rehabilitacja, 2014. 16(3): p. 319-25.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76.</w:t>
      </w:r>
      <w:r w:rsidRPr="00C350AE">
        <w:rPr>
          <w:rFonts w:ascii="Times New Roman" w:hAnsi="Times New Roman" w:cs="Times New Roman"/>
          <w:szCs w:val="20"/>
        </w:rPr>
        <w:tab/>
        <w:t>Metcalfe, L., et al., Postmenopausal Women and Exercise for Prevention of Osteoporosis: The Bone, Estrogen, Strength Training (BEST) Study. ACSM's Health &amp; Fitness Journal, 2001. 5(3): p. 6-14.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77.</w:t>
      </w:r>
      <w:r w:rsidRPr="00C350AE">
        <w:rPr>
          <w:rFonts w:ascii="Times New Roman" w:hAnsi="Times New Roman" w:cs="Times New Roman"/>
          <w:szCs w:val="20"/>
        </w:rPr>
        <w:tab/>
        <w:t xml:space="preserve">Marin-Cascales, E., J.A. Rubio-Arias, and P.E. Alcaraz, Effects of Two Different Neuromuscular Training Protocols on Regional Bone Mass in Postmenopausal Women: A Randomized Controlled </w:t>
      </w:r>
      <w:r w:rsidRPr="00C350AE">
        <w:rPr>
          <w:rFonts w:ascii="Times New Roman" w:hAnsi="Times New Roman" w:cs="Times New Roman"/>
          <w:szCs w:val="20"/>
        </w:rPr>
        <w:lastRenderedPageBreak/>
        <w:t>Trial. Frontiers in Physiology, 2019. 10: p. 846.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78.</w:t>
      </w:r>
      <w:r w:rsidRPr="00C350AE">
        <w:rPr>
          <w:rFonts w:ascii="Times New Roman" w:hAnsi="Times New Roman" w:cs="Times New Roman"/>
          <w:szCs w:val="20"/>
        </w:rPr>
        <w:tab/>
        <w:t>Hosny, I.A., et al., Beneficial impact of aerobic exercises on bone mineral density in obese premenopausal women under caloric restriction. Skeletal Radiology, 2012. 41(4): p. 423-7.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79.</w:t>
      </w:r>
      <w:r w:rsidRPr="00C350AE">
        <w:rPr>
          <w:rFonts w:ascii="Times New Roman" w:hAnsi="Times New Roman" w:cs="Times New Roman"/>
          <w:szCs w:val="20"/>
        </w:rPr>
        <w:tab/>
        <w:t>Chubak, J., et al., Effect of exercise on bone mineral density and lean mass in postmenopausal women. Medicine &amp; Science in Sports &amp; Exercise, 2006. 38(7): p. 1236-44.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80.</w:t>
      </w:r>
      <w:r w:rsidRPr="00C350AE">
        <w:rPr>
          <w:rFonts w:ascii="Times New Roman" w:hAnsi="Times New Roman" w:cs="Times New Roman"/>
          <w:szCs w:val="20"/>
        </w:rPr>
        <w:tab/>
        <w:t>Chao, D., et al., Effect of voluntary weight loss on bone mineral density in older overweight women. Journal of the American Geriatrics Society, 2000. 48(7): p. 753-9.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81.</w:t>
      </w:r>
      <w:r w:rsidRPr="00C350AE">
        <w:rPr>
          <w:rFonts w:ascii="Times New Roman" w:hAnsi="Times New Roman" w:cs="Times New Roman"/>
          <w:szCs w:val="20"/>
        </w:rPr>
        <w:tab/>
        <w:t>Bocalini, D.S., A.J. Serra, and L. Dos Santos, Moderate resistive training maintains bone mineral density and improves functional fitness in postmenopausal women. Journal of Aging Research, 2010. 2010: p. 760818.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82.</w:t>
      </w:r>
      <w:r w:rsidRPr="00C350AE">
        <w:rPr>
          <w:rFonts w:ascii="Times New Roman" w:hAnsi="Times New Roman" w:cs="Times New Roman"/>
          <w:szCs w:val="20"/>
        </w:rPr>
        <w:tab/>
        <w:t>Aboarrage Junior, A.M., et al., A High-Intensity Jump-Based Aquatic Exercise Program Improves Bone Mineral Density and Functional Fitness in Postmenopausal Women. Rejuvenation Research, 2018. 21(6): p. 535-540.</w:t>
      </w:r>
    </w:p>
    <w:p w:rsidR="00C350AE" w:rsidRPr="00C350AE" w:rsidRDefault="00C350AE" w:rsidP="00C350AE">
      <w:pPr>
        <w:pStyle w:val="EndNoteBibliography"/>
        <w:jc w:val="left"/>
        <w:rPr>
          <w:rFonts w:ascii="Times New Roman" w:hAnsi="Times New Roman" w:cs="Times New Roman"/>
          <w:b/>
          <w:szCs w:val="20"/>
        </w:rPr>
      </w:pPr>
      <w:r w:rsidRPr="00C350AE">
        <w:rPr>
          <w:rFonts w:ascii="Times New Roman" w:hAnsi="Times New Roman" w:cs="Times New Roman"/>
          <w:b/>
          <w:szCs w:val="20"/>
        </w:rPr>
        <w:t>No relevant intervention (n=21):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w:t>
      </w:r>
      <w:r w:rsidRPr="00C350AE">
        <w:rPr>
          <w:rFonts w:ascii="Times New Roman" w:hAnsi="Times New Roman" w:cs="Times New Roman"/>
          <w:szCs w:val="20"/>
        </w:rPr>
        <w:tab/>
        <w:t>Saggini, R., et al., Effect of combined treatment with focused mechano-acoustic vibration and pharmacological therapy on bone mineral density and muscle strength in post-menopausal women. Clinical Cases in Mineral and Bone Metabolism, 2017. 14(3): p. 305-311.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w:t>
      </w:r>
      <w:r w:rsidRPr="00C350AE">
        <w:rPr>
          <w:rFonts w:ascii="Times New Roman" w:hAnsi="Times New Roman" w:cs="Times New Roman"/>
          <w:szCs w:val="20"/>
        </w:rPr>
        <w:tab/>
        <w:t>Razzak, Z.A., A.A. Khan, and S.I. Farooqui, Effect of aerobic and anaerobic exercise on estrogen level, fat mass, and muscle mass among postmenopausal osteoporotic females. International Journal of Health Sciences, 2019. 13(4): p. 10-16.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w:t>
      </w:r>
      <w:r w:rsidRPr="00C350AE">
        <w:rPr>
          <w:rFonts w:ascii="Times New Roman" w:hAnsi="Times New Roman" w:cs="Times New Roman"/>
          <w:szCs w:val="20"/>
        </w:rPr>
        <w:tab/>
        <w:t>Watson, S.L., et al., High-Intensity Resistance and Impact Training Improves Bone Mineral Density and Physical Function in Postmenopausal Women With Osteopenia and Osteoporosis: The LIFTMOR Randomized Controlled Trial. Journal of Bone &amp; Mineral Research, 2018. 33(2): p. 211-220.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w:t>
      </w:r>
      <w:r w:rsidRPr="00C350AE">
        <w:rPr>
          <w:rFonts w:ascii="Times New Roman" w:hAnsi="Times New Roman" w:cs="Times New Roman"/>
          <w:szCs w:val="20"/>
        </w:rPr>
        <w:tab/>
        <w:t>Tankisheva, E., et al., Effects of a Six-Month Local Vibration Training on Bone Density, Muscle Strength, Muscle Mass, and Physical Performance in Postmenopausal Women. Journal of Strength &amp; Conditioning Research, 2015. 29(9): p. 2613-22.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w:t>
      </w:r>
      <w:r w:rsidRPr="00C350AE">
        <w:rPr>
          <w:rFonts w:ascii="Times New Roman" w:hAnsi="Times New Roman" w:cs="Times New Roman"/>
          <w:szCs w:val="20"/>
        </w:rPr>
        <w:tab/>
        <w:t>Stengel, S.V., et al., Power training is more effective than strength training for maintaining bone mineral density in postmenopausal women. Journal of Applied Physiology, 2005. 99(1): p. 181-8.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w:t>
      </w:r>
      <w:r w:rsidRPr="00C350AE">
        <w:rPr>
          <w:rFonts w:ascii="Times New Roman" w:hAnsi="Times New Roman" w:cs="Times New Roman"/>
          <w:szCs w:val="20"/>
        </w:rPr>
        <w:tab/>
        <w:t>Smidt, G.L., et al., The effect of high-intensity trunk exercise on bone mineral density of postmenopausal women. Spine, 1992. 17(3): p. 280-5.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w:t>
      </w:r>
      <w:r w:rsidRPr="00C350AE">
        <w:rPr>
          <w:rFonts w:ascii="Times New Roman" w:hAnsi="Times New Roman" w:cs="Times New Roman"/>
          <w:szCs w:val="20"/>
        </w:rPr>
        <w:tab/>
        <w:t>Pernambuco, C.S., et al., Functional autonomy, bone mineral density (BMD) and serum osteocalcin levels in older female participants of an aquatic exercise program (AAG). Archives of Gerontology &amp; Geriatrics, 2013. 56(3): p. 466-71.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8.</w:t>
      </w:r>
      <w:r w:rsidRPr="00C350AE">
        <w:rPr>
          <w:rFonts w:ascii="Times New Roman" w:hAnsi="Times New Roman" w:cs="Times New Roman"/>
          <w:szCs w:val="20"/>
        </w:rPr>
        <w:tab/>
        <w:t>Nawrat-Szoltysik, A.J., et al., Effect of physical activity on the sequelae of osteoporosis in female residents of residential care facilities. Advances in Clinical and Experimental Medicine, 2018. 27(5): p. 633-642.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9.</w:t>
      </w:r>
      <w:r w:rsidRPr="00C350AE">
        <w:rPr>
          <w:rFonts w:ascii="Times New Roman" w:hAnsi="Times New Roman" w:cs="Times New Roman"/>
          <w:szCs w:val="20"/>
        </w:rPr>
        <w:tab/>
        <w:t>Maddalozzo, G.F. and C.M. Snow, High intensity resistance training: effects on bone in older men and women. Calcified Tissue International, 2000. 66(6): p. 399-404.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10.</w:t>
      </w:r>
      <w:r w:rsidRPr="00C350AE">
        <w:rPr>
          <w:rFonts w:ascii="Times New Roman" w:hAnsi="Times New Roman" w:cs="Times New Roman"/>
          <w:szCs w:val="20"/>
        </w:rPr>
        <w:tab/>
        <w:t>Jepsen, D.B., et al., The combined effect of Parathyroid hormone (1-34) and whole-body Vibration exercise in the treatment of postmenopausal OSteoporosis (PaVOS study): a randomized controlled trial. Osteoporosis International, 2019. 30(9): p. 1827-1836.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11.</w:t>
      </w:r>
      <w:r w:rsidRPr="00C350AE">
        <w:rPr>
          <w:rFonts w:ascii="Times New Roman" w:hAnsi="Times New Roman" w:cs="Times New Roman"/>
          <w:szCs w:val="20"/>
        </w:rPr>
        <w:tab/>
        <w:t xml:space="preserve">Iwamoto, J., et al., Effect of whole-body vibration exercise on lumbar bone mineral density, bone turnover, and chronic back pain in post-menopausal osteoporotic women treated with alendronate. </w:t>
      </w:r>
      <w:r w:rsidRPr="00C350AE">
        <w:rPr>
          <w:rFonts w:ascii="Times New Roman" w:hAnsi="Times New Roman" w:cs="Times New Roman"/>
          <w:szCs w:val="20"/>
        </w:rPr>
        <w:lastRenderedPageBreak/>
        <w:t>Aging-Clinical &amp; Experimental Research, 2005. 17(2): p. 157-63.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12.</w:t>
      </w:r>
      <w:r w:rsidRPr="00C350AE">
        <w:rPr>
          <w:rFonts w:ascii="Times New Roman" w:hAnsi="Times New Roman" w:cs="Times New Roman"/>
          <w:szCs w:val="20"/>
        </w:rPr>
        <w:tab/>
        <w:t>Hakestad, K.A., et al., Effect of exercises with weight vests and a patient education programme for women with osteopenia and a healed wrist fracture: a randomized, controlled trial of the OsteoACTIVE programme. BMC Musculoskeletal Disorders, 2015. 16: p. 352.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13.</w:t>
      </w:r>
      <w:r w:rsidRPr="00C350AE">
        <w:rPr>
          <w:rFonts w:ascii="Times New Roman" w:hAnsi="Times New Roman" w:cs="Times New Roman"/>
          <w:szCs w:val="20"/>
        </w:rPr>
        <w:tab/>
        <w:t>Brentano, M.A., et al., Physiological adaptations to strength and circuit training in postmenopausal women with bone loss. Journal of Strength &amp; Conditioning Research, 2008. 22(6): p. 1816-25.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14.</w:t>
      </w:r>
      <w:r w:rsidRPr="00C350AE">
        <w:rPr>
          <w:rFonts w:ascii="Times New Roman" w:hAnsi="Times New Roman" w:cs="Times New Roman"/>
          <w:szCs w:val="20"/>
        </w:rPr>
        <w:tab/>
        <w:t>Bravo, G., et al., Impact of a 12-month exercise program on the physical and psychological health of osteopenic women. Journal of the American Geriatrics Society, 1996. 44(7): p. 756-62.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15.</w:t>
      </w:r>
      <w:r w:rsidRPr="00C350AE">
        <w:rPr>
          <w:rFonts w:ascii="Times New Roman" w:hAnsi="Times New Roman" w:cs="Times New Roman"/>
          <w:szCs w:val="20"/>
        </w:rPr>
        <w:tab/>
        <w:t>Borba-Pinheiro, C.J., et al., Resistance training programs on bone related variables and functional independence of postmenopausal women in pharmacological treatment: A randomized controlled trial. Archives of Gerontology &amp; Geriatrics, 2016. 65: p. 36-44.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16.</w:t>
      </w:r>
      <w:r w:rsidRPr="00C350AE">
        <w:rPr>
          <w:rFonts w:ascii="Times New Roman" w:hAnsi="Times New Roman" w:cs="Times New Roman"/>
          <w:szCs w:val="20"/>
        </w:rPr>
        <w:tab/>
        <w:t>Borba-Pinheiro, C.J., et al., Adapted combat sports on bone related variables and functional independence of postmenopausal women in pharmacological treatment: a clinical trial study. Archives of Budo, 2016. 12: p. 187-199.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17.</w:t>
      </w:r>
      <w:r w:rsidRPr="00C350AE">
        <w:rPr>
          <w:rFonts w:ascii="Times New Roman" w:hAnsi="Times New Roman" w:cs="Times New Roman"/>
          <w:szCs w:val="20"/>
        </w:rPr>
        <w:tab/>
        <w:t>Borba-Pinheiro, C.J., et al., Effects of Resistance Training on Low Bone Density-Related Variables in Menopausal Women Taking Alendronate. Revista Brasileira De Medicina Do Esporte, 2010. 16(2): p. 121-125.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18.</w:t>
      </w:r>
      <w:r w:rsidRPr="00C350AE">
        <w:rPr>
          <w:rFonts w:ascii="Times New Roman" w:hAnsi="Times New Roman" w:cs="Times New Roman"/>
          <w:szCs w:val="20"/>
        </w:rPr>
        <w:tab/>
        <w:t>Watson, S., et al., Supervised high intensity resistance and impact training does not cause vertebral crush fractures and improves thoracic kyphosis in postmenopausal women with low to very low bone mass: The LIFTMOR Trial. Journal of Bone and Mineral Research, 2018. 33 (Supplement 1): p. 402-403.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19.</w:t>
      </w:r>
      <w:r w:rsidRPr="00C350AE">
        <w:rPr>
          <w:rFonts w:ascii="Times New Roman" w:hAnsi="Times New Roman" w:cs="Times New Roman"/>
          <w:szCs w:val="20"/>
        </w:rPr>
        <w:tab/>
        <w:t>Gibson, A.A., et al., Fast versus slow weight loss: development process and rationale behind the dietary interventions for the TEMPO Diet Trial. Obesity Science &amp; Practice, 2016. 2(2): p. 162-173.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20.</w:t>
      </w:r>
      <w:r w:rsidRPr="00C350AE">
        <w:rPr>
          <w:rFonts w:ascii="Times New Roman" w:hAnsi="Times New Roman" w:cs="Times New Roman"/>
          <w:szCs w:val="20"/>
        </w:rPr>
        <w:tab/>
        <w:t>Elsisi, H., G.S.M. Mousa, and M.T.M. Eldesoky, Electromagnetic field versus circuit weight training on bone mineral density in elderly women. Clinical Interventions in Aging, 2015. 10: p. 539-548.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21.</w:t>
      </w:r>
      <w:r w:rsidRPr="00C350AE">
        <w:rPr>
          <w:rFonts w:ascii="Times New Roman" w:hAnsi="Times New Roman" w:cs="Times New Roman"/>
          <w:szCs w:val="20"/>
        </w:rPr>
        <w:tab/>
        <w:t>Chilibeck, P.D., et al., Effects of Creatine and Resistance Training on Bone Health in Postmenopausal Women. Medicine &amp; Science in Sports &amp; Exercise, 2015. 47(8): p. 1587-95.</w:t>
      </w:r>
    </w:p>
    <w:p w:rsidR="00C350AE" w:rsidRPr="00C350AE" w:rsidRDefault="00C350AE" w:rsidP="00C350AE">
      <w:pPr>
        <w:pStyle w:val="EndNoteBibliography"/>
        <w:jc w:val="left"/>
        <w:rPr>
          <w:rFonts w:ascii="Times New Roman" w:hAnsi="Times New Roman" w:cs="Times New Roman"/>
          <w:b/>
          <w:szCs w:val="20"/>
        </w:rPr>
      </w:pPr>
      <w:r>
        <w:rPr>
          <w:rFonts w:ascii="Times New Roman" w:hAnsi="Times New Roman" w:cs="Times New Roman"/>
          <w:b/>
          <w:szCs w:val="20"/>
        </w:rPr>
        <w:t>Intervention duration</w:t>
      </w:r>
      <w:r>
        <w:rPr>
          <w:rFonts w:ascii="Times New Roman" w:hAnsi="Times New Roman" w:cs="Times New Roman" w:hint="eastAsia"/>
          <w:b/>
          <w:szCs w:val="20"/>
        </w:rPr>
        <w:t>＜</w:t>
      </w:r>
      <w:r w:rsidRPr="00C350AE">
        <w:rPr>
          <w:rFonts w:ascii="Times New Roman" w:hAnsi="Times New Roman" w:cs="Times New Roman"/>
          <w:b/>
          <w:szCs w:val="20"/>
        </w:rPr>
        <w:t>6 months (n=6)</w:t>
      </w:r>
      <w:r w:rsidRPr="00C350AE">
        <w:rPr>
          <w:rFonts w:ascii="Times New Roman" w:hAnsi="Times New Roman" w:cs="Times New Roman"/>
          <w:b/>
          <w:szCs w:val="20"/>
        </w:rPr>
        <w:t>：</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w:t>
      </w:r>
      <w:r w:rsidRPr="00C350AE">
        <w:rPr>
          <w:rFonts w:ascii="Times New Roman" w:hAnsi="Times New Roman" w:cs="Times New Roman"/>
          <w:szCs w:val="20"/>
        </w:rPr>
        <w:tab/>
        <w:t>Pinho, J.P., et al., A High-Intensity Exercise Intervention Improves Older Women Lumbar Spine and Distal Tibia Bone Microstructure and Function: A 20-Week Randomized Controlled Trial. Ieee Journal of Translational Engineering in Health and Medicine-Jtehm, 2020. 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w:t>
      </w:r>
      <w:r w:rsidRPr="00C350AE">
        <w:rPr>
          <w:rFonts w:ascii="Times New Roman" w:hAnsi="Times New Roman" w:cs="Times New Roman"/>
          <w:szCs w:val="20"/>
        </w:rPr>
        <w:tab/>
        <w:t>Khan, A.A., et al., Effects of osteoanabolic exercises on bone mineral density of osteoporotic females: A randomized controlled trial. International Journal of Health Sciences, 2019. 13(1): p. 9-13.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w:t>
      </w:r>
      <w:r w:rsidRPr="00C350AE">
        <w:rPr>
          <w:rFonts w:ascii="Times New Roman" w:hAnsi="Times New Roman" w:cs="Times New Roman"/>
          <w:szCs w:val="20"/>
        </w:rPr>
        <w:tab/>
        <w:t>Bassey, E.J., et al., Pre- and postmenopausal women have different bone mineral density responses to the same high-impact exercise. J Bone Miner Res, 1998. 13(12): p. 1805-13.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w:t>
      </w:r>
      <w:r w:rsidRPr="00C350AE">
        <w:rPr>
          <w:rFonts w:ascii="Times New Roman" w:hAnsi="Times New Roman" w:cs="Times New Roman"/>
          <w:szCs w:val="20"/>
        </w:rPr>
        <w:tab/>
        <w:t>Wen, H.J., et al., Effects of short-term step aerobics exercise on bone metabolism and functional fitness in postmenopausal women with low bone mass. Osteoporosis International, 2017. 28(2): p. 539-547.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w:t>
      </w:r>
      <w:r w:rsidRPr="00C350AE">
        <w:rPr>
          <w:rFonts w:ascii="Times New Roman" w:hAnsi="Times New Roman" w:cs="Times New Roman"/>
          <w:szCs w:val="20"/>
        </w:rPr>
        <w:tab/>
        <w:t>Movassagbehestani, M., Effects of a 12-week aerobic exercise on back spine and thigh bone mineral density in heavy women after menopause. Biosciences Biotechnology Research Asia, 2012. 9(1): p. 149-156.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w:t>
      </w:r>
      <w:r w:rsidRPr="00C350AE">
        <w:rPr>
          <w:rFonts w:ascii="Times New Roman" w:hAnsi="Times New Roman" w:cs="Times New Roman"/>
          <w:szCs w:val="20"/>
        </w:rPr>
        <w:tab/>
        <w:t xml:space="preserve">Mosti, M.P., et al., Maximal strength training in postmenopausal women with osteoporosis or </w:t>
      </w:r>
      <w:r w:rsidRPr="00C350AE">
        <w:rPr>
          <w:rFonts w:ascii="Times New Roman" w:hAnsi="Times New Roman" w:cs="Times New Roman"/>
          <w:szCs w:val="20"/>
        </w:rPr>
        <w:lastRenderedPageBreak/>
        <w:t>osteopenia. Journal of Strength &amp; Conditioning Research, 2013. 27(10): p. 2879-86.</w:t>
      </w:r>
    </w:p>
    <w:p w:rsidR="00C350AE" w:rsidRPr="00C350AE" w:rsidRDefault="00C350AE" w:rsidP="00C350AE">
      <w:pPr>
        <w:pStyle w:val="EndNoteBibliography"/>
        <w:jc w:val="left"/>
        <w:rPr>
          <w:rFonts w:ascii="Times New Roman" w:hAnsi="Times New Roman" w:cs="Times New Roman"/>
          <w:b/>
          <w:szCs w:val="20"/>
        </w:rPr>
      </w:pPr>
      <w:r w:rsidRPr="00C350AE">
        <w:rPr>
          <w:rFonts w:ascii="Times New Roman" w:hAnsi="Times New Roman" w:cs="Times New Roman"/>
          <w:b/>
          <w:szCs w:val="20"/>
        </w:rPr>
        <w:t>No relevant outcome (n=20):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w:t>
      </w:r>
      <w:r w:rsidRPr="00C350AE">
        <w:rPr>
          <w:rFonts w:ascii="Times New Roman" w:hAnsi="Times New Roman" w:cs="Times New Roman"/>
          <w:szCs w:val="20"/>
        </w:rPr>
        <w:tab/>
        <w:t>Multanen, J., et al., Effects of high-impact training on bone and articular cartilage: 12-month randomized controlled quantitative MRI study. Journal of Bone &amp; Mineral Research, 2014. 29(1): p. 192-201.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w:t>
      </w:r>
      <w:r w:rsidRPr="00C350AE">
        <w:rPr>
          <w:rFonts w:ascii="Times New Roman" w:hAnsi="Times New Roman" w:cs="Times New Roman"/>
          <w:szCs w:val="20"/>
        </w:rPr>
        <w:tab/>
        <w:t>Karinkanta, S., et al., A multi-component exercise regimen to prevent functional decline and bone fragility in home-dwelling elderly women: randomized, controlled trial. Osteoporosis International, 2007. 18(4): p. 453-62.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w:t>
      </w:r>
      <w:r w:rsidRPr="00C350AE">
        <w:rPr>
          <w:rFonts w:ascii="Times New Roman" w:hAnsi="Times New Roman" w:cs="Times New Roman"/>
          <w:szCs w:val="20"/>
        </w:rPr>
        <w:tab/>
        <w:t>Karinkanta, S., et al., Maintenance of exercise-induced benefits in physical functioning and bone among elderly women. Osteoporosis International, 2009. 20(4): p. 665-674.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w:t>
      </w:r>
      <w:r w:rsidRPr="00C350AE">
        <w:rPr>
          <w:rFonts w:ascii="Times New Roman" w:hAnsi="Times New Roman" w:cs="Times New Roman"/>
          <w:szCs w:val="20"/>
        </w:rPr>
        <w:tab/>
        <w:t>Kang, J.-I., D.-K. Jeong, and H. Choi, The effects of trunk stabilization exercise on bone density after menopause. Journal of Physical Therapy Science, 2015. 27(12): p. 3869-72.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w:t>
      </w:r>
      <w:r w:rsidRPr="00C350AE">
        <w:rPr>
          <w:rFonts w:ascii="Times New Roman" w:hAnsi="Times New Roman" w:cs="Times New Roman"/>
          <w:szCs w:val="20"/>
        </w:rPr>
        <w:tab/>
        <w:t>Boggild, M., et al., Effect of 1 year of whole-body vibration therapy on muscle density and volume in postmenopausal women: The vibration study. Journal of Bone and Mineral Research. Conference, 2013. 28(SUPPL. 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w:t>
      </w:r>
      <w:r w:rsidRPr="00C350AE">
        <w:rPr>
          <w:rFonts w:ascii="Times New Roman" w:hAnsi="Times New Roman" w:cs="Times New Roman"/>
          <w:szCs w:val="20"/>
        </w:rPr>
        <w:tab/>
        <w:t>Ashe, M.C., et al., Does frequency of resistance training affect tibial cortical bone density in older women? A randomized controlled trial. Osteoporosis International, 2013. 24(2): p. 623-32.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w:t>
      </w:r>
      <w:r w:rsidRPr="00C350AE">
        <w:rPr>
          <w:rFonts w:ascii="Times New Roman" w:hAnsi="Times New Roman" w:cs="Times New Roman"/>
          <w:szCs w:val="20"/>
        </w:rPr>
        <w:tab/>
        <w:t>von Stengel, S., et al., Differential effects of strength versus power training on bone mineral density in postmenopausal women: a 2-year longitudinal study. British Journal of Sports Medicine, 2007. 41(10): p. 649-55; discussion 655.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8.</w:t>
      </w:r>
      <w:r w:rsidRPr="00C350AE">
        <w:rPr>
          <w:rFonts w:ascii="Times New Roman" w:hAnsi="Times New Roman" w:cs="Times New Roman"/>
          <w:szCs w:val="20"/>
        </w:rPr>
        <w:tab/>
        <w:t>Uusi-Rasi, K., et al., Effect of discontinuation of alendronate treatment and exercise on bone mass and physical fitness: 15-month follow-up of a randomized, controlled trial. Bone, 2004. 35(3): p. 799-805.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9.</w:t>
      </w:r>
      <w:r w:rsidRPr="00C350AE">
        <w:rPr>
          <w:rFonts w:ascii="Times New Roman" w:hAnsi="Times New Roman" w:cs="Times New Roman"/>
          <w:szCs w:val="20"/>
        </w:rPr>
        <w:tab/>
        <w:t>Uusi-Rasi, K., et al., Effect of alendronate and exercise on bone and physical performance of postmenopausal women: a randomized controlled trial. Bone, 2003. 33(1): p. 132-43.</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10.</w:t>
      </w:r>
      <w:r w:rsidRPr="00C350AE">
        <w:rPr>
          <w:rFonts w:ascii="Times New Roman" w:hAnsi="Times New Roman" w:cs="Times New Roman"/>
          <w:szCs w:val="20"/>
        </w:rPr>
        <w:tab/>
        <w:t>Russo, C.R., et al., High-Frequency Vibration Training Increases Muscle Power in Postmenopausal Women. Archives of Physical Medicine and Rehabilitation, 2003. 84(12): p. 1854-1857.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11.</w:t>
      </w:r>
      <w:r w:rsidRPr="00C350AE">
        <w:rPr>
          <w:rFonts w:ascii="Times New Roman" w:hAnsi="Times New Roman" w:cs="Times New Roman"/>
          <w:szCs w:val="20"/>
        </w:rPr>
        <w:tab/>
        <w:t>Rubin, C., et al., Prevention of postmenopausal bone loss by a low-magnitude, high-frequency mechanical stimuli: a clinical trial assessing compliance, efficacy, and safety. Journal of Bone &amp; Mineral Research, 2004. 19(3): p. 343-51.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12.</w:t>
      </w:r>
      <w:r w:rsidRPr="00C350AE">
        <w:rPr>
          <w:rFonts w:ascii="Times New Roman" w:hAnsi="Times New Roman" w:cs="Times New Roman"/>
          <w:szCs w:val="20"/>
        </w:rPr>
        <w:tab/>
        <w:t>Revel, M., et al., One-year psoas training can prevent lumbar bone loss in postmenopausal women: a randomized controlled trial. Calcified Tissue International, 1993. 53(5): p. 307-11.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13.</w:t>
      </w:r>
      <w:r w:rsidRPr="00C350AE">
        <w:rPr>
          <w:rFonts w:ascii="Times New Roman" w:hAnsi="Times New Roman" w:cs="Times New Roman"/>
          <w:szCs w:val="20"/>
        </w:rPr>
        <w:tab/>
        <w:t>McMurdo, M.E., P.A. Mole, and C.R. Paterson, Controlled trial of weight bearing exercise in older women in relation to bone density and falls. BMJ, 1997. 314(7080): p. 569.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14.</w:t>
      </w:r>
      <w:r w:rsidRPr="00C350AE">
        <w:rPr>
          <w:rFonts w:ascii="Times New Roman" w:hAnsi="Times New Roman" w:cs="Times New Roman"/>
          <w:szCs w:val="20"/>
        </w:rPr>
        <w:tab/>
        <w:t>Leung, K.S., et al., Effects of 18-month low-magnitude high-frequency vibration on fall rate and fracture risks in 710 community elderly--a cluster-randomized controlled trial. Osteoporosis International, 2014. 25(6): p. 1785-95.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15.</w:t>
      </w:r>
      <w:r w:rsidRPr="00C350AE">
        <w:rPr>
          <w:rFonts w:ascii="Times New Roman" w:hAnsi="Times New Roman" w:cs="Times New Roman"/>
          <w:szCs w:val="20"/>
        </w:rPr>
        <w:tab/>
        <w:t>Korpelainen, R., et al., Long-term outcomes of exercise: follow-up of a randomized trial in older women with osteopenia. Archives of Internal Medicine, 2010. 170(17): p. 1548-56.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16.</w:t>
      </w:r>
      <w:r w:rsidRPr="00C350AE">
        <w:rPr>
          <w:rFonts w:ascii="Times New Roman" w:hAnsi="Times New Roman" w:cs="Times New Roman"/>
          <w:szCs w:val="20"/>
        </w:rPr>
        <w:tab/>
        <w:t>Giangregorio, L.M., et al., Build better bones with exercise (B3E pilot trial): results of a feasibility study of a multicenter randomized controlled trial of 12 months of home exercise in older women with vertebral fracture. Osteoporosis International, 2018. 29(11): p. 2545-2556.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17.</w:t>
      </w:r>
      <w:r w:rsidRPr="00C350AE">
        <w:rPr>
          <w:rFonts w:ascii="Times New Roman" w:hAnsi="Times New Roman" w:cs="Times New Roman"/>
          <w:szCs w:val="20"/>
        </w:rPr>
        <w:tab/>
        <w:t xml:space="preserve">Garcia-Gomariz, C., et al., Effect of 2 years of endurance and high-impact training on preventing </w:t>
      </w:r>
      <w:r w:rsidRPr="00C350AE">
        <w:rPr>
          <w:rFonts w:ascii="Times New Roman" w:hAnsi="Times New Roman" w:cs="Times New Roman"/>
          <w:szCs w:val="20"/>
        </w:rPr>
        <w:lastRenderedPageBreak/>
        <w:t>osteoporosis in postmenopausal women: randomized clinical trial. Menopause, 2018. 25(3): p. 301-306.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18.</w:t>
      </w:r>
      <w:r w:rsidRPr="00C350AE">
        <w:rPr>
          <w:rFonts w:ascii="Times New Roman" w:hAnsi="Times New Roman" w:cs="Times New Roman"/>
          <w:szCs w:val="20"/>
        </w:rPr>
        <w:tab/>
        <w:t>Englund, U., et al., The beneficial effects of exercise on BMD are lost after cessation: a 5-year follow-up in older post-menopausal women. Scandinavian Journal of Medicine &amp; Science in Sports, 2009. 19(3): p. 381-8.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19.</w:t>
      </w:r>
      <w:r w:rsidRPr="00C350AE">
        <w:rPr>
          <w:rFonts w:ascii="Times New Roman" w:hAnsi="Times New Roman" w:cs="Times New Roman"/>
          <w:szCs w:val="20"/>
        </w:rPr>
        <w:tab/>
        <w:t>Durisova, E. and J. Zvarka, The place of kinesiotherapy in the management of osteoporosis. [Slovak]. Osteologicky Bulletin, 2004. 9(4): p. 121-126.</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20.</w:t>
      </w:r>
      <w:r w:rsidRPr="00C350AE">
        <w:rPr>
          <w:rFonts w:ascii="Times New Roman" w:hAnsi="Times New Roman" w:cs="Times New Roman"/>
          <w:szCs w:val="20"/>
        </w:rPr>
        <w:tab/>
        <w:t>Cheng, S., et al., Change in bone mass distribution induced by hormone replacement therapy and high-impact physical exercise in post-menopausal women. Bone, 2002. 31(1): p. 126-35.</w:t>
      </w:r>
    </w:p>
    <w:p w:rsidR="00C350AE" w:rsidRPr="00C350AE" w:rsidRDefault="00C350AE" w:rsidP="00C350AE">
      <w:pPr>
        <w:pStyle w:val="EndNoteBibliography"/>
        <w:jc w:val="left"/>
        <w:rPr>
          <w:rFonts w:ascii="Times New Roman" w:hAnsi="Times New Roman" w:cs="Times New Roman"/>
          <w:b/>
          <w:szCs w:val="20"/>
        </w:rPr>
      </w:pPr>
      <w:r w:rsidRPr="00C350AE">
        <w:rPr>
          <w:rFonts w:ascii="Times New Roman" w:hAnsi="Times New Roman" w:cs="Times New Roman"/>
          <w:b/>
          <w:szCs w:val="20"/>
        </w:rPr>
        <w:t>Second publication with same results (n=2):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w:t>
      </w:r>
      <w:r w:rsidRPr="00C350AE">
        <w:rPr>
          <w:rFonts w:ascii="Times New Roman" w:hAnsi="Times New Roman" w:cs="Times New Roman"/>
          <w:szCs w:val="20"/>
        </w:rPr>
        <w:tab/>
        <w:t>Watson, S.L., et al., Heavy resistance training is safe and improves bone, function, and stature in postmenopausal women with low to very low bone mass: novel early findings from the LIFTMOR trial. Osteoporosis International, 2015. 26(12): p. 2889-94.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w:t>
      </w:r>
      <w:r w:rsidRPr="00C350AE">
        <w:rPr>
          <w:rFonts w:ascii="Times New Roman" w:hAnsi="Times New Roman" w:cs="Times New Roman"/>
          <w:szCs w:val="20"/>
        </w:rPr>
        <w:tab/>
        <w:t>Bergstrom, I., et al., Physical training increases osteoprotegerin in postmenopausal women. Journal of Bone &amp; Mineral Metabolism, 2012. 30(2): p. 202-7.</w:t>
      </w:r>
    </w:p>
    <w:p w:rsidR="00C350AE" w:rsidRPr="00C350AE" w:rsidRDefault="00C350AE" w:rsidP="00C350AE">
      <w:pPr>
        <w:pStyle w:val="EndNoteBibliography"/>
        <w:jc w:val="left"/>
        <w:rPr>
          <w:rFonts w:ascii="Times New Roman" w:hAnsi="Times New Roman" w:cs="Times New Roman"/>
          <w:b/>
          <w:szCs w:val="20"/>
        </w:rPr>
      </w:pPr>
      <w:r w:rsidRPr="00C350AE">
        <w:rPr>
          <w:rFonts w:ascii="Times New Roman" w:hAnsi="Times New Roman" w:cs="Times New Roman"/>
          <w:b/>
          <w:szCs w:val="20"/>
        </w:rPr>
        <w:t>Full text not available (n=17):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w:t>
      </w:r>
      <w:r w:rsidRPr="00C350AE">
        <w:rPr>
          <w:rFonts w:ascii="Times New Roman" w:hAnsi="Times New Roman" w:cs="Times New Roman"/>
          <w:szCs w:val="20"/>
        </w:rPr>
        <w:tab/>
        <w:t>Effects of exercise on bone mineral density of the lumbar spine in postmenopausal women. Annales de readaptation ET de medecine physique.38(3):117-24.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2.</w:t>
      </w:r>
      <w:r w:rsidRPr="00C350AE">
        <w:rPr>
          <w:rFonts w:ascii="Times New Roman" w:hAnsi="Times New Roman" w:cs="Times New Roman"/>
          <w:szCs w:val="20"/>
        </w:rPr>
        <w:tab/>
        <w:t>Lumbar bone loss and compliance of postmenopausal, psoas-trained women: a 3-year follow-up study. Annales de readaptation ET de medecine physique.41(4):203-8.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3.</w:t>
      </w:r>
      <w:r w:rsidRPr="00C350AE">
        <w:rPr>
          <w:rFonts w:ascii="Times New Roman" w:hAnsi="Times New Roman" w:cs="Times New Roman"/>
          <w:szCs w:val="20"/>
        </w:rPr>
        <w:tab/>
        <w:t>Bone and muscle structure and function in relation to exercise and oestrogen replacement. http://www who int/trialsearch/Trial2 aspx?TrialID=ISRCTN49902272. 2009.</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4.</w:t>
      </w:r>
      <w:r w:rsidRPr="00C350AE">
        <w:rPr>
          <w:rFonts w:ascii="Times New Roman" w:hAnsi="Times New Roman" w:cs="Times New Roman"/>
          <w:szCs w:val="20"/>
        </w:rPr>
        <w:tab/>
        <w:t>The effect of NatraGuard(trademark), a novel cow's milk protein isolate, on muscle strength and body composition of postmenopausal women undertaking an exercise program. http://www who int/trialsearch/Trial2 aspx?TrialID=ACTRN12610000821099. 2010.</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5.</w:t>
      </w:r>
      <w:r w:rsidRPr="00C350AE">
        <w:rPr>
          <w:rFonts w:ascii="Times New Roman" w:hAnsi="Times New Roman" w:cs="Times New Roman"/>
          <w:szCs w:val="20"/>
        </w:rPr>
        <w:tab/>
        <w:t>The effects of exercise and vibration therapy on bone density and physical function in females aged 55-80 with osteoporosis. http://www who int/trialsearch/Trial2 aspx?TrialID=ISRCTN17157277. 2011.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6.</w:t>
      </w:r>
      <w:r w:rsidRPr="00C350AE">
        <w:rPr>
          <w:rFonts w:ascii="Times New Roman" w:hAnsi="Times New Roman" w:cs="Times New Roman"/>
          <w:szCs w:val="20"/>
        </w:rPr>
        <w:tab/>
        <w:t>Heartland Osteoporosis Prevention Study. https://clinicaltrials gov/show/NCT02186600. 2014.</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7.</w:t>
      </w:r>
      <w:r w:rsidRPr="00C350AE">
        <w:rPr>
          <w:rFonts w:ascii="Times New Roman" w:hAnsi="Times New Roman" w:cs="Times New Roman"/>
          <w:szCs w:val="20"/>
        </w:rPr>
        <w:tab/>
        <w:t>Effects of different physical activities programs on osteoporosis related-variables in older women. http://www who int/trialsearch/Trial2 aspx?TrialID=RBR 6bqsw8. 2015.</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8.</w:t>
      </w:r>
      <w:r w:rsidRPr="00C350AE">
        <w:rPr>
          <w:rFonts w:ascii="Times New Roman" w:hAnsi="Times New Roman" w:cs="Times New Roman"/>
          <w:szCs w:val="20"/>
        </w:rPr>
        <w:tab/>
        <w:t>Preisinger E, Alacamlioglu Y, Pils K, Metka M, Schneider B, Ernst E. Regular physical exercises delay forearm bone loss - Results of five controlled trials. European Journal of Physical Medicine and Rehabilitation. 1995;5(1):8-12.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9.</w:t>
      </w:r>
      <w:r w:rsidRPr="00C350AE">
        <w:rPr>
          <w:rFonts w:ascii="Times New Roman" w:hAnsi="Times New Roman" w:cs="Times New Roman"/>
          <w:szCs w:val="20"/>
        </w:rPr>
        <w:tab/>
        <w:t>Prince R, Devine A, Dick I, Kerr D, Criddle A, Price R. A Randomized Trial of the Effects of Calcium Supplementation, as a Tablet or Milk Powder, and Exercise on Bone-Density in Women 10 Years Past the Menopause. Journal of Bone and Mineral Research. 1993;8:S130-S.</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10.</w:t>
      </w:r>
      <w:r w:rsidRPr="00C350AE">
        <w:rPr>
          <w:rFonts w:ascii="Times New Roman" w:hAnsi="Times New Roman" w:cs="Times New Roman"/>
          <w:szCs w:val="20"/>
        </w:rPr>
        <w:tab/>
        <w:t>Sandler R, Cauley J, Laporte R, Kriska A, Hom D, Sashin D. Physical-Activity and Postmenopausal Bone Loss - Results of a 3-Year Clinical-Trial. Gerontologist. 1986;26:A17-A.</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11.</w:t>
      </w:r>
      <w:r w:rsidRPr="00C350AE">
        <w:rPr>
          <w:rFonts w:ascii="Times New Roman" w:hAnsi="Times New Roman" w:cs="Times New Roman"/>
          <w:szCs w:val="20"/>
        </w:rPr>
        <w:tab/>
        <w:t>Svendsen OL, Hassager C, Christiansen C. 6 Months Follow-up on Exercise Added to a Short-Term Diet in Overweight Postmenopausal Women - Effects on Body-Composition, Resting Metabolic-Rate, Cardiovascular Risk-Factors and Bone. International Journal of Obesity. 1994;18(10):692-8.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12.</w:t>
      </w:r>
      <w:r w:rsidRPr="00C350AE">
        <w:rPr>
          <w:rFonts w:ascii="Times New Roman" w:hAnsi="Times New Roman" w:cs="Times New Roman"/>
          <w:szCs w:val="20"/>
        </w:rPr>
        <w:tab/>
        <w:t xml:space="preserve">Boggild M, Erlandson M, Tomlinson G, Szabo E, Slatkovska L, Giangregorio L, et al. Effect of 1 year of whole-body vibration therapy on muscle density and volume in postmenopausal women: The </w:t>
      </w:r>
      <w:r w:rsidRPr="00C350AE">
        <w:rPr>
          <w:rFonts w:ascii="Times New Roman" w:hAnsi="Times New Roman" w:cs="Times New Roman"/>
          <w:szCs w:val="20"/>
        </w:rPr>
        <w:lastRenderedPageBreak/>
        <w:t>vibration study. Journal of Bone and Mineral Research Conference. 2013;28(SUPPL. 1).</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13.</w:t>
      </w:r>
      <w:r w:rsidRPr="00C350AE">
        <w:rPr>
          <w:rFonts w:ascii="Times New Roman" w:hAnsi="Times New Roman" w:cs="Times New Roman"/>
          <w:szCs w:val="20"/>
        </w:rPr>
        <w:tab/>
        <w:t>Brunetti O, Botti FM, Brunetti A, Biscarini A, Scarponi AM, Filippi GM, et al. Effects of focal vibration on bone mineral density and motor performance of postmenopausal osteoporotic women. Journal of Sports Medicine &amp; Physical Fitness. 2015;55(1-2):118-27.</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14.</w:t>
      </w:r>
      <w:r w:rsidRPr="00C350AE">
        <w:rPr>
          <w:rFonts w:ascii="Times New Roman" w:hAnsi="Times New Roman" w:cs="Times New Roman"/>
          <w:szCs w:val="20"/>
        </w:rPr>
        <w:tab/>
        <w:t>Shin S, Lee K, Song C. Effects of whole body vibration with load stimulation in postmenopausal women. Medical Science Technology. 2018;59:4-12.</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15.</w:t>
      </w:r>
      <w:r w:rsidRPr="00C350AE">
        <w:rPr>
          <w:rFonts w:ascii="Times New Roman" w:hAnsi="Times New Roman" w:cs="Times New Roman"/>
          <w:szCs w:val="20"/>
        </w:rPr>
        <w:tab/>
        <w:t>Suominen H, Cheng S, Puolakka J, Sipila S, Taaffe DR. Bone mineral density and moment of inertia in relation to muscle performance in postmenopausal women: An experimental trial on the effects of high-impact physical exercise and estrogen replacement therapy. Journal of Aging and Physical Activity. 1999;7(3):328-.</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16.</w:t>
      </w:r>
      <w:r w:rsidRPr="00C350AE">
        <w:rPr>
          <w:rFonts w:ascii="Times New Roman" w:hAnsi="Times New Roman" w:cs="Times New Roman"/>
          <w:szCs w:val="20"/>
        </w:rPr>
        <w:tab/>
        <w:t>Suominen H, Taaffe DR, Ollikainen S, Puolakka J, Sihvonen S, Sipila S, et al. Additive effects of high impact physical exercise and estrogen replacement therapy on calcaneal bone mineral density in postmenopausal women: A randomized placebo-controlled study. Journal of Bone and Mineral Research. 1999;14:S185-S.</w:t>
      </w:r>
    </w:p>
    <w:p w:rsidR="00C350AE" w:rsidRPr="00C350AE" w:rsidRDefault="00C350AE" w:rsidP="00C350AE">
      <w:pPr>
        <w:pStyle w:val="EndNoteBibliography"/>
        <w:jc w:val="left"/>
        <w:rPr>
          <w:rFonts w:ascii="Times New Roman" w:hAnsi="Times New Roman" w:cs="Times New Roman"/>
          <w:szCs w:val="20"/>
        </w:rPr>
      </w:pPr>
      <w:r w:rsidRPr="00C350AE">
        <w:rPr>
          <w:rFonts w:ascii="Times New Roman" w:hAnsi="Times New Roman" w:cs="Times New Roman"/>
          <w:szCs w:val="20"/>
        </w:rPr>
        <w:t>17. Tolomio S, Lalli A, Travain G, Zaccaria M. [Effects of a combined weight-bearing and non-weight-bearing ( warm water) exercise program on bone mass and quality in postmenopausal women with low bone-mineral density]. Clinica Terapeutica. 2009;160(2):105-9.</w:t>
      </w:r>
    </w:p>
    <w:p w:rsidR="00C27154" w:rsidRDefault="00C27154" w:rsidP="00F7218D">
      <w:pPr>
        <w:rPr>
          <w:rFonts w:ascii="Times New Roman" w:hAnsi="Times New Roman" w:cs="Times New Roman"/>
          <w:b/>
          <w:sz w:val="20"/>
          <w:szCs w:val="20"/>
        </w:rPr>
        <w:sectPr w:rsidR="00C27154">
          <w:pgSz w:w="11906" w:h="16838"/>
          <w:pgMar w:top="1440" w:right="1800" w:bottom="1440" w:left="1800" w:header="851" w:footer="992" w:gutter="0"/>
          <w:cols w:space="425"/>
          <w:docGrid w:type="lines" w:linePitch="312"/>
        </w:sectPr>
      </w:pPr>
    </w:p>
    <w:p w:rsidR="00C27154" w:rsidRDefault="00C27154" w:rsidP="002E5241">
      <w:pPr>
        <w:pStyle w:val="2"/>
        <w:rPr>
          <w:rFonts w:ascii="Times New Roman" w:hAnsi="Times New Roman" w:cs="Times New Roman"/>
          <w:b w:val="0"/>
          <w:sz w:val="20"/>
          <w:szCs w:val="20"/>
        </w:rPr>
      </w:pPr>
      <w:bookmarkStart w:id="51" w:name="_Toc74521927"/>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 xml:space="preserve">ppendix </w:t>
      </w:r>
      <w:r w:rsidR="004912EB" w:rsidRPr="00172ABA">
        <w:rPr>
          <w:rFonts w:ascii="Times New Roman" w:hAnsi="Times New Roman" w:cs="Times New Roman"/>
          <w:sz w:val="24"/>
          <w:szCs w:val="24"/>
        </w:rPr>
        <w:t>5</w:t>
      </w:r>
      <w:r w:rsidRPr="00172ABA">
        <w:rPr>
          <w:rFonts w:ascii="Times New Roman" w:hAnsi="Times New Roman" w:cs="Times New Roman"/>
          <w:sz w:val="24"/>
          <w:szCs w:val="24"/>
        </w:rPr>
        <w:t>: PEDro assessment quality results of included studies</w:t>
      </w:r>
      <w:bookmarkEnd w:id="51"/>
    </w:p>
    <w:tbl>
      <w:tblPr>
        <w:tblStyle w:val="a3"/>
        <w:tblW w:w="141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18"/>
        <w:gridCol w:w="851"/>
        <w:gridCol w:w="992"/>
        <w:gridCol w:w="992"/>
        <w:gridCol w:w="851"/>
        <w:gridCol w:w="850"/>
        <w:gridCol w:w="851"/>
        <w:gridCol w:w="1417"/>
        <w:gridCol w:w="1134"/>
        <w:gridCol w:w="1276"/>
        <w:gridCol w:w="1276"/>
        <w:gridCol w:w="709"/>
        <w:gridCol w:w="708"/>
      </w:tblGrid>
      <w:tr w:rsidR="00C27154" w:rsidRPr="008B60DF" w:rsidTr="00C27154">
        <w:tc>
          <w:tcPr>
            <w:tcW w:w="14170" w:type="dxa"/>
            <w:gridSpan w:val="14"/>
            <w:tcBorders>
              <w:top w:val="single" w:sz="4" w:space="0" w:color="auto"/>
              <w:bottom w:val="single" w:sz="4" w:space="0" w:color="auto"/>
            </w:tcBorders>
          </w:tcPr>
          <w:p w:rsidR="00C27154" w:rsidRPr="00D40039" w:rsidRDefault="00C27154" w:rsidP="00C27154">
            <w:pPr>
              <w:rPr>
                <w:rFonts w:ascii="Times New Roman" w:hAnsi="Times New Roman" w:cs="Times New Roman"/>
                <w:b/>
                <w:sz w:val="16"/>
                <w:szCs w:val="16"/>
              </w:rPr>
            </w:pPr>
            <w:r w:rsidRPr="00C27154">
              <w:rPr>
                <w:rFonts w:ascii="Times New Roman" w:hAnsi="Times New Roman" w:cs="Times New Roman"/>
                <w:b/>
                <w:sz w:val="16"/>
                <w:szCs w:val="16"/>
              </w:rPr>
              <w:t>Appendix 3</w:t>
            </w:r>
            <w:r>
              <w:rPr>
                <w:rFonts w:ascii="Times New Roman" w:hAnsi="Times New Roman" w:cs="Times New Roman"/>
                <w:b/>
                <w:sz w:val="16"/>
                <w:szCs w:val="16"/>
              </w:rPr>
              <w:t xml:space="preserve"> </w:t>
            </w:r>
            <w:r w:rsidRPr="00D40039">
              <w:rPr>
                <w:rFonts w:ascii="Times New Roman" w:hAnsi="Times New Roman" w:cs="Times New Roman"/>
                <w:b/>
                <w:sz w:val="16"/>
                <w:szCs w:val="16"/>
              </w:rPr>
              <w:t>PEDro assessment of the quality of the results in the included studies</w:t>
            </w:r>
          </w:p>
        </w:tc>
      </w:tr>
      <w:tr w:rsidR="00C27154" w:rsidRPr="008B60DF" w:rsidTr="00C27154">
        <w:trPr>
          <w:trHeight w:val="1040"/>
        </w:trPr>
        <w:tc>
          <w:tcPr>
            <w:tcW w:w="1345" w:type="dxa"/>
            <w:tcBorders>
              <w:top w:val="single" w:sz="4" w:space="0" w:color="auto"/>
              <w:bottom w:val="single" w:sz="4" w:space="0" w:color="auto"/>
            </w:tcBorders>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Study</w:t>
            </w:r>
          </w:p>
        </w:tc>
        <w:tc>
          <w:tcPr>
            <w:tcW w:w="918" w:type="dxa"/>
            <w:tcBorders>
              <w:top w:val="single" w:sz="4" w:space="0" w:color="auto"/>
              <w:bottom w:val="single" w:sz="4" w:space="0" w:color="auto"/>
            </w:tcBorders>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Eligibility</w:t>
            </w:r>
            <w:r>
              <w:rPr>
                <w:rFonts w:ascii="Times New Roman" w:eastAsia="宋体" w:hAnsi="Times New Roman" w:cs="Times New Roman"/>
                <w:color w:val="000000"/>
                <w:kern w:val="0"/>
                <w:sz w:val="16"/>
                <w:szCs w:val="16"/>
              </w:rPr>
              <w:t xml:space="preserve"> </w:t>
            </w:r>
            <w:r w:rsidRPr="008B60DF">
              <w:rPr>
                <w:rFonts w:ascii="Times New Roman" w:eastAsia="宋体" w:hAnsi="Times New Roman" w:cs="Times New Roman" w:hint="eastAsia"/>
                <w:color w:val="000000"/>
                <w:kern w:val="0"/>
                <w:sz w:val="16"/>
                <w:szCs w:val="16"/>
              </w:rPr>
              <w:t>c</w:t>
            </w:r>
            <w:r w:rsidRPr="008B60DF">
              <w:rPr>
                <w:rFonts w:ascii="Times New Roman" w:eastAsia="宋体" w:hAnsi="Times New Roman" w:cs="Times New Roman"/>
                <w:color w:val="000000"/>
                <w:kern w:val="0"/>
                <w:sz w:val="16"/>
                <w:szCs w:val="16"/>
              </w:rPr>
              <w:t>riteria</w:t>
            </w:r>
          </w:p>
        </w:tc>
        <w:tc>
          <w:tcPr>
            <w:tcW w:w="851" w:type="dxa"/>
            <w:tcBorders>
              <w:top w:val="single" w:sz="4" w:space="0" w:color="auto"/>
              <w:bottom w:val="single" w:sz="4" w:space="0" w:color="auto"/>
            </w:tcBorders>
            <w:hideMark/>
          </w:tcPr>
          <w:p w:rsidR="00C27154"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Random</w:t>
            </w:r>
          </w:p>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allocation</w:t>
            </w:r>
          </w:p>
        </w:tc>
        <w:tc>
          <w:tcPr>
            <w:tcW w:w="992" w:type="dxa"/>
            <w:tcBorders>
              <w:top w:val="single" w:sz="4" w:space="0" w:color="auto"/>
              <w:bottom w:val="single" w:sz="4" w:space="0" w:color="auto"/>
            </w:tcBorders>
            <w:hideMark/>
          </w:tcPr>
          <w:p w:rsidR="00C27154"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Concealed</w:t>
            </w:r>
          </w:p>
          <w:p w:rsidR="00C27154" w:rsidRPr="008B60DF" w:rsidRDefault="00C27154" w:rsidP="00C27154">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a</w:t>
            </w:r>
            <w:r w:rsidRPr="008B60DF">
              <w:rPr>
                <w:rFonts w:ascii="Times New Roman" w:eastAsia="宋体" w:hAnsi="Times New Roman" w:cs="Times New Roman"/>
                <w:color w:val="000000"/>
                <w:kern w:val="0"/>
                <w:sz w:val="16"/>
                <w:szCs w:val="16"/>
              </w:rPr>
              <w:t>llocation</w:t>
            </w:r>
          </w:p>
        </w:tc>
        <w:tc>
          <w:tcPr>
            <w:tcW w:w="992" w:type="dxa"/>
            <w:tcBorders>
              <w:top w:val="single" w:sz="4" w:space="0" w:color="auto"/>
              <w:bottom w:val="single" w:sz="4" w:space="0" w:color="auto"/>
            </w:tcBorders>
            <w:hideMark/>
          </w:tcPr>
          <w:p w:rsidR="00C27154"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Similar</w:t>
            </w:r>
          </w:p>
          <w:p w:rsidR="00C27154" w:rsidRDefault="00C27154" w:rsidP="00C27154">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g</w:t>
            </w:r>
            <w:r w:rsidRPr="008B60DF">
              <w:rPr>
                <w:rFonts w:ascii="Times New Roman" w:eastAsia="宋体" w:hAnsi="Times New Roman" w:cs="Times New Roman"/>
                <w:color w:val="000000"/>
                <w:kern w:val="0"/>
                <w:sz w:val="16"/>
                <w:szCs w:val="16"/>
              </w:rPr>
              <w:t>roups</w:t>
            </w:r>
          </w:p>
          <w:p w:rsidR="00C27154" w:rsidRPr="008B60DF" w:rsidRDefault="00C27154" w:rsidP="00C27154">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a</w:t>
            </w:r>
            <w:r w:rsidRPr="008B60DF">
              <w:rPr>
                <w:rFonts w:ascii="Times New Roman" w:eastAsia="宋体" w:hAnsi="Times New Roman" w:cs="Times New Roman"/>
                <w:color w:val="000000"/>
                <w:kern w:val="0"/>
                <w:sz w:val="16"/>
                <w:szCs w:val="16"/>
              </w:rPr>
              <w:t>t baseline</w:t>
            </w:r>
          </w:p>
        </w:tc>
        <w:tc>
          <w:tcPr>
            <w:tcW w:w="851" w:type="dxa"/>
            <w:tcBorders>
              <w:top w:val="single" w:sz="4" w:space="0" w:color="auto"/>
              <w:bottom w:val="single" w:sz="4" w:space="0" w:color="auto"/>
            </w:tcBorders>
            <w:hideMark/>
          </w:tcPr>
          <w:p w:rsidR="00C27154"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Blinding</w:t>
            </w:r>
          </w:p>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subjects</w:t>
            </w:r>
          </w:p>
        </w:tc>
        <w:tc>
          <w:tcPr>
            <w:tcW w:w="850" w:type="dxa"/>
            <w:tcBorders>
              <w:top w:val="single" w:sz="4" w:space="0" w:color="auto"/>
              <w:bottom w:val="single" w:sz="4" w:space="0" w:color="auto"/>
            </w:tcBorders>
            <w:hideMark/>
          </w:tcPr>
          <w:p w:rsidR="00C27154"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Blinding</w:t>
            </w:r>
          </w:p>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therapists</w:t>
            </w:r>
          </w:p>
        </w:tc>
        <w:tc>
          <w:tcPr>
            <w:tcW w:w="851" w:type="dxa"/>
            <w:tcBorders>
              <w:top w:val="single" w:sz="4" w:space="0" w:color="auto"/>
              <w:bottom w:val="single" w:sz="4" w:space="0" w:color="auto"/>
            </w:tcBorders>
            <w:hideMark/>
          </w:tcPr>
          <w:p w:rsidR="00C27154"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Blinding</w:t>
            </w:r>
          </w:p>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assessors</w:t>
            </w:r>
          </w:p>
        </w:tc>
        <w:tc>
          <w:tcPr>
            <w:tcW w:w="1417" w:type="dxa"/>
            <w:tcBorders>
              <w:top w:val="single" w:sz="4" w:space="0" w:color="auto"/>
              <w:bottom w:val="single" w:sz="4" w:space="0" w:color="auto"/>
            </w:tcBorders>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O</w:t>
            </w:r>
            <w:r w:rsidRPr="008B60DF">
              <w:rPr>
                <w:rFonts w:ascii="Times New Roman" w:eastAsia="宋体" w:hAnsi="Times New Roman" w:cs="Times New Roman"/>
                <w:color w:val="000000"/>
                <w:kern w:val="0"/>
                <w:sz w:val="16"/>
                <w:szCs w:val="16"/>
              </w:rPr>
              <w:t>utcome</w:t>
            </w:r>
            <w:r>
              <w:rPr>
                <w:rFonts w:ascii="Times New Roman" w:eastAsia="宋体" w:hAnsi="Times New Roman" w:cs="Times New Roman"/>
                <w:color w:val="000000"/>
                <w:kern w:val="0"/>
                <w:sz w:val="16"/>
                <w:szCs w:val="16"/>
              </w:rPr>
              <w:t xml:space="preserve"> </w:t>
            </w:r>
            <w:r w:rsidRPr="008B60DF">
              <w:rPr>
                <w:rFonts w:ascii="Times New Roman" w:eastAsia="宋体" w:hAnsi="Times New Roman" w:cs="Times New Roman"/>
                <w:color w:val="000000"/>
                <w:kern w:val="0"/>
                <w:sz w:val="16"/>
                <w:szCs w:val="16"/>
              </w:rPr>
              <w:t>obtained in more than 85% of the subjects</w:t>
            </w:r>
          </w:p>
        </w:tc>
        <w:tc>
          <w:tcPr>
            <w:tcW w:w="1134" w:type="dxa"/>
            <w:tcBorders>
              <w:top w:val="single" w:sz="4" w:space="0" w:color="auto"/>
              <w:bottom w:val="single" w:sz="4" w:space="0" w:color="auto"/>
            </w:tcBorders>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I</w:t>
            </w:r>
            <w:r w:rsidRPr="008B60DF">
              <w:rPr>
                <w:rFonts w:ascii="Times New Roman" w:eastAsia="宋体" w:hAnsi="Times New Roman" w:cs="Times New Roman"/>
                <w:color w:val="000000"/>
                <w:kern w:val="0"/>
                <w:sz w:val="16"/>
                <w:szCs w:val="16"/>
              </w:rPr>
              <w:t>ntention-to-treat analysis</w:t>
            </w:r>
          </w:p>
        </w:tc>
        <w:tc>
          <w:tcPr>
            <w:tcW w:w="1276" w:type="dxa"/>
            <w:tcBorders>
              <w:top w:val="single" w:sz="4" w:space="0" w:color="auto"/>
              <w:bottom w:val="single" w:sz="4" w:space="0" w:color="auto"/>
            </w:tcBorders>
            <w:hideMark/>
          </w:tcPr>
          <w:p w:rsidR="00C27154" w:rsidRDefault="00C27154" w:rsidP="00C27154">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B</w:t>
            </w:r>
            <w:r w:rsidRPr="008B60DF">
              <w:rPr>
                <w:rFonts w:ascii="Times New Roman" w:eastAsia="宋体" w:hAnsi="Times New Roman" w:cs="Times New Roman"/>
                <w:color w:val="000000"/>
                <w:kern w:val="0"/>
                <w:sz w:val="16"/>
                <w:szCs w:val="16"/>
              </w:rPr>
              <w:t>etween-group</w:t>
            </w:r>
          </w:p>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statistical comparison</w:t>
            </w:r>
          </w:p>
        </w:tc>
        <w:tc>
          <w:tcPr>
            <w:tcW w:w="1276" w:type="dxa"/>
            <w:tcBorders>
              <w:top w:val="single" w:sz="4" w:space="0" w:color="auto"/>
              <w:bottom w:val="single" w:sz="4" w:space="0" w:color="auto"/>
            </w:tcBorders>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Pr>
                <w:rFonts w:ascii="Times New Roman" w:eastAsia="宋体" w:hAnsi="Times New Roman" w:cs="Times New Roman"/>
                <w:color w:val="000000"/>
                <w:kern w:val="0"/>
                <w:sz w:val="16"/>
                <w:szCs w:val="16"/>
              </w:rPr>
              <w:t>P</w:t>
            </w:r>
            <w:r w:rsidRPr="008B60DF">
              <w:rPr>
                <w:rFonts w:ascii="Times New Roman" w:eastAsia="宋体" w:hAnsi="Times New Roman" w:cs="Times New Roman"/>
                <w:color w:val="000000"/>
                <w:kern w:val="0"/>
                <w:sz w:val="16"/>
                <w:szCs w:val="16"/>
              </w:rPr>
              <w:t>oint estimates and measures of variability</w:t>
            </w:r>
          </w:p>
        </w:tc>
        <w:tc>
          <w:tcPr>
            <w:tcW w:w="709" w:type="dxa"/>
            <w:tcBorders>
              <w:top w:val="single" w:sz="4" w:space="0" w:color="auto"/>
              <w:bottom w:val="single" w:sz="4" w:space="0" w:color="auto"/>
            </w:tcBorders>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Total</w:t>
            </w:r>
          </w:p>
        </w:tc>
        <w:tc>
          <w:tcPr>
            <w:tcW w:w="708" w:type="dxa"/>
            <w:tcBorders>
              <w:top w:val="single" w:sz="4" w:space="0" w:color="auto"/>
              <w:bottom w:val="single" w:sz="4" w:space="0" w:color="auto"/>
            </w:tcBorders>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Quality</w:t>
            </w:r>
          </w:p>
        </w:tc>
      </w:tr>
      <w:tr w:rsidR="00C27154" w:rsidRPr="008B60DF" w:rsidTr="00C27154">
        <w:trPr>
          <w:trHeight w:val="280"/>
        </w:trPr>
        <w:tc>
          <w:tcPr>
            <w:tcW w:w="1345" w:type="dxa"/>
            <w:tcBorders>
              <w:top w:val="single" w:sz="4" w:space="0" w:color="auto"/>
            </w:tcBorders>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Sen 2020</w:t>
            </w:r>
          </w:p>
        </w:tc>
        <w:tc>
          <w:tcPr>
            <w:tcW w:w="918" w:type="dxa"/>
            <w:tcBorders>
              <w:top w:val="single" w:sz="4" w:space="0" w:color="auto"/>
            </w:tcBorders>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tcBorders>
              <w:top w:val="single" w:sz="4" w:space="0" w:color="auto"/>
            </w:tcBorders>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Montgomery 2020</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ElDeeb 2020</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de Oliveira 2019</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7</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Duff2016</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8</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Wang2015</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Nicholson2015</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Liu2015</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Moreira2014</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Lai 2013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Kemmler2013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Chilibeck 2013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8</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Basat 2013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Orsatti 2013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Wayne2012</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7</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Karakiriou2012</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Bolton2012</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7</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lastRenderedPageBreak/>
              <w:t>von Stengel 2011</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7</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von Stengel 2011(1)</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8</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Tartibian2011</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No</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Slatkovska2011</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8</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Marques 2011</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7</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Marques 2011(1)</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Sakai2010</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No</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Kemmler2010</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7</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Beck2010</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Bebenek 2010</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Chuin2009</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Bocalini2009</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Park2008</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Bergstrom 2008</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Young2007</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Woo2007</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Maddalozzo 2007</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Evans2007</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 xml:space="preserve">Wu2006 </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Korpelainen2006</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7</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Gusi2006</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Englund2005</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Verschueren2004</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lastRenderedPageBreak/>
              <w:t>Liu-Ambrose2004</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Chan2004</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Milliken 2003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Jessup 2003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Going2003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Hans2002</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Chilibeck2002</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Kerry2001</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Iwamoto2001</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No</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Rhodes2000</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Bemben 2000</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Tsuritani1998</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No</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3</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Ebrahim 1997</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Brooke1997</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Lord1996</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Kerr1996</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Pruitt1995</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Prince 1995</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Nichols1995</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Bassey1995</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Nelson1994</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Hatori1993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6</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Martin1993</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Lau1992</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4</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L</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Grove1992</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r w:rsidR="00C27154" w:rsidRPr="008B60DF" w:rsidTr="00C27154">
        <w:trPr>
          <w:trHeight w:val="280"/>
        </w:trPr>
        <w:tc>
          <w:tcPr>
            <w:tcW w:w="1345" w:type="dxa"/>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lastRenderedPageBreak/>
              <w:t>Sinaki1989</w:t>
            </w:r>
          </w:p>
        </w:tc>
        <w:tc>
          <w:tcPr>
            <w:tcW w:w="91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YES</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992"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0"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851"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417"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134"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0</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1276"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1</w:t>
            </w:r>
          </w:p>
        </w:tc>
        <w:tc>
          <w:tcPr>
            <w:tcW w:w="709" w:type="dxa"/>
            <w:noWrap/>
            <w:hideMark/>
          </w:tcPr>
          <w:p w:rsidR="00C27154" w:rsidRPr="008B60DF" w:rsidRDefault="00C27154" w:rsidP="00C27154">
            <w:pPr>
              <w:widowControl/>
              <w:jc w:val="righ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5</w:t>
            </w:r>
          </w:p>
        </w:tc>
        <w:tc>
          <w:tcPr>
            <w:tcW w:w="708" w:type="dxa"/>
            <w:noWrap/>
            <w:hideMark/>
          </w:tcPr>
          <w:p w:rsidR="00C27154" w:rsidRPr="008B60DF" w:rsidRDefault="00C27154" w:rsidP="00C27154">
            <w:pPr>
              <w:widowControl/>
              <w:jc w:val="left"/>
              <w:rPr>
                <w:rFonts w:ascii="Times New Roman" w:eastAsia="宋体" w:hAnsi="Times New Roman" w:cs="Times New Roman"/>
                <w:color w:val="000000"/>
                <w:kern w:val="0"/>
                <w:sz w:val="16"/>
                <w:szCs w:val="16"/>
              </w:rPr>
            </w:pPr>
            <w:r w:rsidRPr="008B60DF">
              <w:rPr>
                <w:rFonts w:ascii="Times New Roman" w:eastAsia="宋体" w:hAnsi="Times New Roman" w:cs="Times New Roman"/>
                <w:color w:val="000000"/>
                <w:kern w:val="0"/>
                <w:sz w:val="16"/>
                <w:szCs w:val="16"/>
              </w:rPr>
              <w:t>M</w:t>
            </w:r>
          </w:p>
        </w:tc>
      </w:tr>
    </w:tbl>
    <w:p w:rsidR="00C27154" w:rsidRPr="00C27154" w:rsidRDefault="00684772" w:rsidP="00F7218D">
      <w:pPr>
        <w:rPr>
          <w:rFonts w:ascii="Times New Roman" w:hAnsi="Times New Roman" w:cs="Times New Roman"/>
          <w:b/>
          <w:sz w:val="20"/>
          <w:szCs w:val="20"/>
        </w:rPr>
        <w:sectPr w:rsidR="00C27154" w:rsidRPr="00C27154" w:rsidSect="00C27154">
          <w:pgSz w:w="16838" w:h="11906" w:orient="landscape"/>
          <w:pgMar w:top="1800" w:right="1440" w:bottom="1800" w:left="1440" w:header="851" w:footer="992" w:gutter="0"/>
          <w:cols w:space="425"/>
          <w:docGrid w:type="lines" w:linePitch="312"/>
        </w:sectPr>
      </w:pPr>
      <w:r w:rsidRPr="00684772">
        <w:rPr>
          <w:rFonts w:ascii="Times New Roman" w:hAnsi="Times New Roman" w:cs="Times New Roman"/>
          <w:b/>
          <w:noProof/>
          <w:sz w:val="20"/>
          <w:szCs w:val="20"/>
        </w:rPr>
        <mc:AlternateContent>
          <mc:Choice Requires="wps">
            <w:drawing>
              <wp:anchor distT="45720" distB="45720" distL="114300" distR="114300" simplePos="0" relativeHeight="251671552" behindDoc="0" locked="0" layoutInCell="1" allowOverlap="1">
                <wp:simplePos x="0" y="0"/>
                <wp:positionH relativeFrom="column">
                  <wp:posOffset>57150</wp:posOffset>
                </wp:positionH>
                <wp:positionV relativeFrom="paragraph">
                  <wp:posOffset>84424</wp:posOffset>
                </wp:positionV>
                <wp:extent cx="8836660" cy="1404620"/>
                <wp:effectExtent l="0" t="0" r="0" b="0"/>
                <wp:wrapSquare wrapText="bothSides"/>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6660" cy="1404620"/>
                        </a:xfrm>
                        <a:prstGeom prst="rect">
                          <a:avLst/>
                        </a:prstGeom>
                        <a:noFill/>
                        <a:ln w="9525">
                          <a:noFill/>
                          <a:miter lim="800000"/>
                          <a:headEnd/>
                          <a:tailEnd/>
                        </a:ln>
                      </wps:spPr>
                      <wps:txbx>
                        <w:txbxContent>
                          <w:p w:rsidR="00684772" w:rsidRPr="0051730B" w:rsidRDefault="0051730B">
                            <w:pPr>
                              <w:rPr>
                                <w:sz w:val="20"/>
                                <w:szCs w:val="20"/>
                              </w:rPr>
                            </w:pPr>
                            <w:r w:rsidRPr="0051730B">
                              <w:rPr>
                                <w:rFonts w:ascii="Times New Roman" w:hAnsi="Times New Roman" w:cs="Times New Roman"/>
                                <w:sz w:val="20"/>
                                <w:szCs w:val="20"/>
                              </w:rPr>
                              <w:t>The scale contains 11 items. Item one reflects external validity and is not included in the total PEDro score. The other ten items evaluate the internal validity of a clinical trial.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&lt;EndNote&gt;&lt;Cite&gt;&lt;Author&gt;Sherrington&lt;/Author&gt;&lt;Year&gt;2000&lt;/Year&gt;&lt;RecNum&gt;3356&lt;/RecNum&gt;&lt;DisplayText&gt;&lt;style face="superscript"&gt;1&lt;/style&gt;&lt;/DisplayText&gt;&lt;record&gt;&lt;rec-number&gt;3356&lt;/rec-number&gt;&lt;foreign-keys&gt;&lt;key app="EN" db-id="52p5r2s9pf5dtpex0dmv5a5ivx5ev2x5pavv" timestamp="1623830612"&gt;3356&lt;/key&gt;&lt;/foreign-keys&gt;&lt;ref-type name="Journal Article"&gt;17&lt;/ref-type&gt;&lt;contributors&gt;&lt;authors&gt;&lt;author&gt;Sherrington, C.&lt;/author&gt;&lt;author&gt;Herbert, R. D.&lt;/author&gt;&lt;author&gt;Maher, C. G.&lt;/author&gt;&lt;author&gt;Moseley, A. M.&lt;/author&gt;&lt;/authors&gt;&lt;/contributors&gt;&lt;auth-address&gt;Centre for Evidence-Based Physiotherapy, Lidcombe, NSW 1825, Australia.&lt;/auth-address&gt;&lt;titles&gt;&lt;title&gt;PEDro. A database of randomized trials and systematic reviews in physiotherapy&lt;/title&gt;&lt;secondary-title&gt;Man Ther&lt;/secondary-title&gt;&lt;/titles&gt;&lt;periodical&gt;&lt;full-title&gt;Man Ther&lt;/full-title&gt;&lt;/periodical&gt;&lt;pages&gt;223-6&lt;/pages&gt;&lt;volume&gt;5&lt;/volume&gt;&lt;number&gt;4&lt;/number&gt;&lt;edition&gt;2000/10/29&lt;/edition&gt;&lt;keywords&gt;&lt;keyword&gt;*Databases, Bibliographic&lt;/keyword&gt;&lt;keyword&gt;Humans&lt;/keyword&gt;&lt;keyword&gt;*Internet&lt;/keyword&gt;&lt;keyword&gt;*Physical Therapy Modalities&lt;/keyword&gt;&lt;keyword&gt;Randomized Controlled Trials as Topic&lt;/keyword&gt;&lt;keyword&gt;Review Literature as Topic&lt;/keyword&gt;&lt;/keywords&gt;&lt;dates&gt;&lt;year&gt;2000&lt;/year&gt;&lt;pub-dates&gt;&lt;date&gt;Nov&lt;/date&gt;&lt;/pub-dates&gt;&lt;/dates&gt;&lt;isbn&gt;1356-689X (Print)&amp;#xD;1356-689X (Linking)&lt;/isbn&gt;&lt;accession-num&gt;11052901&lt;/accession-num&gt;&lt;urls&gt;&lt;related-urls&gt;&lt;url&gt;https://www.ncbi.nlm.nih.gov/pubmed/11052901&lt;/url&gt;&lt;/related-urls&gt;&lt;/urls&gt;&lt;electronic-resource-num&gt;10.1054/math.2000.0372&lt;/electronic-resource-num&gt;&lt;/record&gt;&lt;/Cite&gt;&lt;/EndNote&gt;</w:instrText>
                            </w:r>
                            <w:r>
                              <w:rPr>
                                <w:rFonts w:ascii="Times New Roman" w:hAnsi="Times New Roman" w:cs="Times New Roman"/>
                                <w:sz w:val="20"/>
                                <w:szCs w:val="20"/>
                              </w:rPr>
                              <w:fldChar w:fldCharType="separate"/>
                            </w:r>
                            <w:r w:rsidRPr="0051730B">
                              <w:rPr>
                                <w:rFonts w:ascii="Times New Roman" w:hAnsi="Times New Roman" w:cs="Times New Roman"/>
                                <w:noProof/>
                                <w:sz w:val="20"/>
                                <w:szCs w:val="20"/>
                                <w:vertAlign w:val="superscript"/>
                              </w:rPr>
                              <w:t>1</w:t>
                            </w:r>
                            <w:r>
                              <w:rPr>
                                <w:rFonts w:ascii="Times New Roman" w:hAnsi="Times New Roman" w:cs="Times New Roman"/>
                                <w:sz w:val="20"/>
                                <w:szCs w:val="20"/>
                              </w:rPr>
                              <w:fldChar w:fldCharType="end"/>
                            </w:r>
                            <w:r w:rsidRPr="0051730B">
                              <w:t xml:space="preserve"> </w:t>
                            </w:r>
                            <w:r w:rsidRPr="0051730B">
                              <w:rPr>
                                <w:rFonts w:ascii="Times New Roman" w:hAnsi="Times New Roman" w:cs="Times New Roman"/>
                                <w:sz w:val="20"/>
                                <w:szCs w:val="20"/>
                              </w:rPr>
                              <w:t>One point was given for each criterion that was satisfied. Therefore, a score of 0-10 was allocated to each study (≥ 7 = high, 5–6 = moderate, and &lt; 5 = low).</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&lt;EndNote&gt;&lt;Cite&gt;&lt;Author&gt;Ribeiro de Avila&lt;/Author&gt;&lt;Year&gt;2018&lt;/Year&gt;&lt;RecNum&gt;3357&lt;/RecNum&gt;&lt;DisplayText&gt;&lt;style face="superscript"&gt;2&lt;/style&gt;&lt;/DisplayText&gt;&lt;record&gt;&lt;rec-number&gt;3357&lt;/rec-number&gt;&lt;foreign-keys&gt;&lt;key app="EN" db-id="52p5r2s9pf5dtpex0dmv5a5ivx5ev2x5pavv" timestamp="1623830715"&gt;3357&lt;/key&gt;&lt;/foreign-keys&gt;&lt;ref-type name="Journal Article"&gt;17&lt;/ref-type&gt;&lt;contributors&gt;&lt;authors&gt;&lt;author&gt;Ribeiro de Avila, V.&lt;/author&gt;&lt;author&gt;Bento, T.&lt;/author&gt;&lt;author&gt;Gomes, W.&lt;/author&gt;&lt;author&gt;Leitao, J.&lt;/author&gt;&lt;author&gt;Fortuna de Sousa, N.&lt;/author&gt;&lt;/authors&gt;&lt;/contributors&gt;&lt;titles&gt;&lt;title&gt;Functional Outcomes and Quality of Life After Ankle Fracture Surgically Treated: A Systematic Review&lt;/title&gt;&lt;secondary-title&gt;J Sport Rehabil&lt;/secondary-title&gt;&lt;/titles&gt;&lt;periodical&gt;&lt;full-title&gt;J Sport Rehabil&lt;/full-title&gt;&lt;/periodical&gt;&lt;pages&gt;274-283&lt;/pages&gt;&lt;volume&gt;27&lt;/volume&gt;&lt;number&gt;3&lt;/number&gt;&lt;edition&gt;2017/03/25&lt;/edition&gt;&lt;keywords&gt;&lt;keyword&gt;Activities of Daily Living&lt;/keyword&gt;&lt;keyword&gt;Ankle Fractures/*surgery&lt;/keyword&gt;&lt;keyword&gt;Health Status&lt;/keyword&gt;&lt;keyword&gt;Humans&lt;/keyword&gt;&lt;keyword&gt;Mental Health&lt;/keyword&gt;&lt;keyword&gt;Pain&lt;/keyword&gt;&lt;keyword&gt;*Quality of Life&lt;/keyword&gt;&lt;keyword&gt;Sf-36&lt;/keyword&gt;&lt;keyword&gt;functionality&lt;/keyword&gt;&lt;keyword&gt;lower limbs&lt;/keyword&gt;&lt;keyword&gt;physical capacity&lt;/keyword&gt;&lt;/keywords&gt;&lt;dates&gt;&lt;year&gt;2018&lt;/year&gt;&lt;pub-dates&gt;&lt;date&gt;May 1&lt;/date&gt;&lt;/pub-dates&gt;&lt;/dates&gt;&lt;isbn&gt;1543-3072 (Electronic)&amp;#xD;1056-6716 (Linking)&lt;/isbn&gt;&lt;accession-num&gt;28338395&lt;/accession-num&gt;&lt;urls&gt;&lt;related-urls&gt;&lt;url&gt;https://www.ncbi.nlm.nih.gov/pubmed/28338395&lt;/url&gt;&lt;/related-urls&gt;&lt;/urls&gt;&lt;electronic-resource-num&gt;10.1123/jsr.2016-0199&lt;/electronic-resource-num&gt;&lt;/record&gt;&lt;/Cite&gt;&lt;/EndNote&gt;</w:instrText>
                            </w:r>
                            <w:r>
                              <w:rPr>
                                <w:rFonts w:ascii="Times New Roman" w:hAnsi="Times New Roman" w:cs="Times New Roman"/>
                                <w:sz w:val="20"/>
                                <w:szCs w:val="20"/>
                              </w:rPr>
                              <w:fldChar w:fldCharType="separate"/>
                            </w:r>
                            <w:r w:rsidRPr="0051730B">
                              <w:rPr>
                                <w:rFonts w:ascii="Times New Roman" w:hAnsi="Times New Roman" w:cs="Times New Roman"/>
                                <w:noProof/>
                                <w:sz w:val="20"/>
                                <w:szCs w:val="20"/>
                                <w:vertAlign w:val="superscript"/>
                              </w:rPr>
                              <w:t>2</w:t>
                            </w:r>
                            <w:r>
                              <w:rPr>
                                <w:rFonts w:ascii="Times New Roman" w:hAnsi="Times New Roman" w:cs="Times New Roman"/>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4.5pt;margin-top:6.65pt;width:695.8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" filled="f" stroked="f">
                <v:textbox style="mso-fit-shape-to-text:t">
                  <w:txbxContent>
                    <w:p w:rsidR="00684772" w:rsidRPr="0051730B" w:rsidRDefault="0051730B">
                      <w:pPr>
                        <w:rPr>
                          <w:sz w:val="20"/>
                          <w:szCs w:val="20"/>
                        </w:rPr>
                      </w:pPr>
                      <w:r w:rsidRPr="0051730B">
                        <w:rPr>
                          <w:rFonts w:ascii="Times New Roman" w:hAnsi="Times New Roman" w:cs="Times New Roman"/>
                          <w:sz w:val="20"/>
                          <w:szCs w:val="20"/>
                        </w:rPr>
                        <w:t>The scale contains 11 items. Item one reflects external validity and is not included in the total PEDro score. The other ten items evaluate the internal validity of a clinical trial.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&lt;EndNote&gt;&lt;Cite&gt;&lt;Author&gt;Sherrington&lt;/Author&gt;&lt;Year&gt;2000&lt;/Year&gt;&lt;RecNum&gt;3356&lt;/RecNum&gt;&lt;DisplayText&gt;&lt;style face="superscript"&gt;1&lt;/style&gt;&lt;/DisplayText&gt;&lt;record&gt;&lt;rec-number&gt;3356&lt;/rec-number&gt;&lt;foreign-keys&gt;&lt;key app="EN" db-id="52p5r2s9pf5dtpex0dmv5a5ivx5ev2x5pavv" timestamp="1623830612"&gt;3356&lt;/key&gt;&lt;/foreign-keys&gt;&lt;ref-type name="Journal Article"&gt;17&lt;/ref-type&gt;&lt;contributors&gt;&lt;authors&gt;&lt;author&gt;Sherrington, C.&lt;/author&gt;&lt;author&gt;Herbert, R. D.&lt;/author&gt;&lt;author&gt;Maher, C. G.&lt;/author&gt;&lt;author&gt;Moseley, A. M.&lt;/author&gt;&lt;/authors&gt;&lt;/contributors&gt;&lt;auth-address&gt;Centre for Evidence-Based Physiotherapy, Lidcombe, NSW 1825, Australia.&lt;/auth-address&gt;&lt;titles&gt;&lt;title&gt;PEDro. A database of randomized trials and systematic reviews in physiotherapy&lt;/title&gt;&lt;secondary-title&gt;Man Ther&lt;/secondary-title&gt;&lt;/titles&gt;&lt;periodical&gt;&lt;full-title&gt;Man Ther&lt;/full-title&gt;&lt;/periodical&gt;&lt;pages&gt;223-6&lt;/pages&gt;&lt;volume&gt;5&lt;/volume&gt;&lt;number&gt;4&lt;/number&gt;&lt;edition&gt;2000/10/29&lt;/edition&gt;&lt;keywords&gt;&lt;keyword&gt;*Databases, Bibliographic&lt;/keyword&gt;&lt;keyword&gt;Humans&lt;/keyword&gt;&lt;keyword&gt;*Internet&lt;/keyword&gt;&lt;keyword&gt;*Physical Therapy Modalities&lt;/keyword&gt;&lt;keyword&gt;Randomized Controlled Trials as Topic&lt;/keyword&gt;&lt;keyword&gt;Review Literature as Topic&lt;/keyword&gt;&lt;/keywords&gt;&lt;dates&gt;&lt;year&gt;2000&lt;/year&gt;&lt;pub-dates&gt;&lt;date&gt;Nov&lt;/date&gt;&lt;/pub-dates&gt;&lt;/dates&gt;&lt;isbn&gt;1356-689X (Print)&amp;#xD;1356-689X (Linking)&lt;/isbn&gt;&lt;accession-num&gt;11052901&lt;/accession-num&gt;&lt;urls&gt;&lt;related-urls&gt;&lt;url&gt;https://www.ncbi.nlm.nih.gov/pubmed/11052901&lt;/url&gt;&lt;/related-urls&gt;&lt;/urls&gt;&lt;electronic-resource-num&gt;10.1054/math.2000.0372&lt;/electronic-resource-num&gt;&lt;/record&gt;&lt;/Cite&gt;&lt;/EndNote&gt;</w:instrText>
                      </w:r>
                      <w:r>
                        <w:rPr>
                          <w:rFonts w:ascii="Times New Roman" w:hAnsi="Times New Roman" w:cs="Times New Roman"/>
                          <w:sz w:val="20"/>
                          <w:szCs w:val="20"/>
                        </w:rPr>
                        <w:fldChar w:fldCharType="separate"/>
                      </w:r>
                      <w:r w:rsidRPr="0051730B">
                        <w:rPr>
                          <w:rFonts w:ascii="Times New Roman" w:hAnsi="Times New Roman" w:cs="Times New Roman"/>
                          <w:noProof/>
                          <w:sz w:val="20"/>
                          <w:szCs w:val="20"/>
                          <w:vertAlign w:val="superscript"/>
                        </w:rPr>
                        <w:t>1</w:t>
                      </w:r>
                      <w:r>
                        <w:rPr>
                          <w:rFonts w:ascii="Times New Roman" w:hAnsi="Times New Roman" w:cs="Times New Roman"/>
                          <w:sz w:val="20"/>
                          <w:szCs w:val="20"/>
                        </w:rPr>
                        <w:fldChar w:fldCharType="end"/>
                      </w:r>
                      <w:r w:rsidRPr="0051730B">
                        <w:t xml:space="preserve"> </w:t>
                      </w:r>
                      <w:r w:rsidRPr="0051730B">
                        <w:rPr>
                          <w:rFonts w:ascii="Times New Roman" w:hAnsi="Times New Roman" w:cs="Times New Roman"/>
                          <w:sz w:val="20"/>
                          <w:szCs w:val="20"/>
                        </w:rPr>
                        <w:t>One point was given for each criterion that was satisfied. Therefore, a score of 0-10 was allocated to each study (≥ 7 = high, 5–6 = moderate, and &lt; 5 = low).</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&lt;EndNote&gt;&lt;Cite&gt;&lt;Author&gt;Ribeiro de Avila&lt;/Author&gt;&lt;Year&gt;2018&lt;/Year&gt;&lt;RecNum&gt;3357&lt;/RecNum&gt;&lt;DisplayText&gt;&lt;style face="superscript"&gt;2&lt;/style&gt;&lt;/DisplayText&gt;&lt;record&gt;&lt;rec-number&gt;3357&lt;/rec-number&gt;&lt;foreign-keys&gt;&lt;key app="EN" db-id="52p5r2s9pf5dtpex0dmv5a5ivx5ev2x5pavv" timestamp="1623830715"&gt;3357&lt;/key&gt;&lt;/foreign-keys&gt;&lt;ref-type name="Journal Article"&gt;17&lt;/ref-type&gt;&lt;contributors&gt;&lt;authors&gt;&lt;author&gt;Ribeiro de Avila, V.&lt;/author&gt;&lt;author&gt;Bento, T.&lt;/author&gt;&lt;author&gt;Gomes, W.&lt;/author&gt;&lt;author&gt;Leitao, J.&lt;/author&gt;&lt;author&gt;Fortuna de Sousa, N.&lt;/author&gt;&lt;/authors&gt;&lt;/contributors&gt;&lt;titles&gt;&lt;title&gt;Functional Outcomes and Quality of Life After Ankle Fracture Surgically Treated: A Systematic Review&lt;/title&gt;&lt;secondary-title&gt;J Sport Rehabil&lt;/secondary-title&gt;&lt;/titles&gt;&lt;periodical&gt;&lt;full-title&gt;J Sport Rehabil&lt;/full-title&gt;&lt;/periodical&gt;&lt;pages&gt;274-283&lt;/pages&gt;&lt;volume&gt;27&lt;/volume&gt;&lt;number&gt;3&lt;/number&gt;&lt;edition&gt;2017/03/25&lt;/edition&gt;&lt;keywords&gt;&lt;keyword&gt;Activities of Daily Living&lt;/keyword&gt;&lt;keyword&gt;Ankle Fractures/*surgery&lt;/keyword&gt;&lt;keyword&gt;Health Status&lt;/keyword&gt;&lt;keyword&gt;Humans&lt;/keyword&gt;&lt;keyword&gt;Mental Health&lt;/keyword&gt;&lt;keyword&gt;Pain&lt;/keyword&gt;&lt;keyword&gt;*Quality of Life&lt;/keyword&gt;&lt;keyword&gt;Sf-36&lt;/keyword&gt;&lt;keyword&gt;functionality&lt;/keyword&gt;&lt;keyword&gt;lower limbs&lt;/keyword&gt;&lt;keyword&gt;physical capacity&lt;/keyword&gt;&lt;/keywords&gt;&lt;dates&gt;&lt;year&gt;2018&lt;/year&gt;&lt;pub-dates&gt;&lt;date&gt;May 1&lt;/date&gt;&lt;/pub-dates&gt;&lt;/dates&gt;&lt;isbn&gt;1543-3072 (Electronic)&amp;#xD;1056-6716 (Linking)&lt;/isbn&gt;&lt;accession-num&gt;28338395&lt;/accession-num&gt;&lt;urls&gt;&lt;related-urls&gt;&lt;url&gt;https://www.ncbi.nlm.nih.gov/pubmed/28338395&lt;/url&gt;&lt;/related-urls&gt;&lt;/urls&gt;&lt;electronic-resource-num&gt;10.1123/jsr.2016-0199&lt;/electronic-resource-num&gt;&lt;/record&gt;&lt;/Cite&gt;&lt;/EndNote&gt;</w:instrText>
                      </w:r>
                      <w:r>
                        <w:rPr>
                          <w:rFonts w:ascii="Times New Roman" w:hAnsi="Times New Roman" w:cs="Times New Roman"/>
                          <w:sz w:val="20"/>
                          <w:szCs w:val="20"/>
                        </w:rPr>
                        <w:fldChar w:fldCharType="separate"/>
                      </w:r>
                      <w:r w:rsidRPr="0051730B">
                        <w:rPr>
                          <w:rFonts w:ascii="Times New Roman" w:hAnsi="Times New Roman" w:cs="Times New Roman"/>
                          <w:noProof/>
                          <w:sz w:val="20"/>
                          <w:szCs w:val="20"/>
                          <w:vertAlign w:val="superscript"/>
                        </w:rPr>
                        <w:t>2</w:t>
                      </w:r>
                      <w:r>
                        <w:rPr>
                          <w:rFonts w:ascii="Times New Roman" w:hAnsi="Times New Roman" w:cs="Times New Roman"/>
                          <w:sz w:val="20"/>
                          <w:szCs w:val="20"/>
                        </w:rPr>
                        <w:fldChar w:fldCharType="end"/>
                      </w:r>
                    </w:p>
                  </w:txbxContent>
                </v:textbox>
                <w10:wrap type="square"/>
              </v:shape>
            </w:pict>
          </mc:Fallback>
        </mc:AlternateContent>
      </w:r>
    </w:p>
    <w:p w:rsidR="00DC5883" w:rsidRPr="00172ABA" w:rsidRDefault="00C27154" w:rsidP="00172ABA">
      <w:pPr>
        <w:pStyle w:val="2"/>
        <w:rPr>
          <w:rFonts w:ascii="Times New Roman" w:hAnsi="Times New Roman" w:cs="Times New Roman"/>
          <w:sz w:val="24"/>
          <w:szCs w:val="24"/>
        </w:rPr>
      </w:pPr>
      <w:bookmarkStart w:id="52" w:name="_Toc74521928"/>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 xml:space="preserve">ppendix </w:t>
      </w:r>
      <w:r w:rsidR="004912EB" w:rsidRPr="00172ABA">
        <w:rPr>
          <w:rFonts w:ascii="Times New Roman" w:hAnsi="Times New Roman" w:cs="Times New Roman"/>
          <w:sz w:val="24"/>
          <w:szCs w:val="24"/>
        </w:rPr>
        <w:t>6</w:t>
      </w:r>
      <w:r w:rsidRPr="00172ABA">
        <w:rPr>
          <w:rFonts w:ascii="Times New Roman" w:hAnsi="Times New Roman" w:cs="Times New Roman"/>
          <w:sz w:val="24"/>
          <w:szCs w:val="24"/>
        </w:rPr>
        <w:t>: Side-split analyses from network meta-analysis of studies</w:t>
      </w:r>
      <w:r w:rsidRPr="00C27154">
        <w:t xml:space="preserve"> </w:t>
      </w:r>
      <w:r w:rsidRPr="00172ABA">
        <w:rPr>
          <w:rFonts w:ascii="Times New Roman" w:hAnsi="Times New Roman" w:cs="Times New Roman"/>
          <w:sz w:val="24"/>
          <w:szCs w:val="24"/>
        </w:rPr>
        <w:t>examining the efficacy of exercise intervention in postmenopausal women.</w:t>
      </w:r>
      <w:bookmarkEnd w:id="52"/>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1129"/>
        <w:gridCol w:w="1552"/>
        <w:gridCol w:w="1552"/>
        <w:gridCol w:w="1552"/>
        <w:gridCol w:w="1111"/>
      </w:tblGrid>
      <w:tr w:rsidR="00C27154" w:rsidRPr="008F7E56" w:rsidTr="00444961">
        <w:tc>
          <w:tcPr>
            <w:tcW w:w="1410" w:type="dxa"/>
            <w:tcBorders>
              <w:top w:val="single" w:sz="4" w:space="0" w:color="auto"/>
              <w:bottom w:val="single" w:sz="4" w:space="0" w:color="auto"/>
            </w:tcBorders>
          </w:tcPr>
          <w:p w:rsidR="00C27154" w:rsidRPr="00C27154" w:rsidRDefault="00C27154" w:rsidP="00C27154">
            <w:pPr>
              <w:autoSpaceDE w:val="0"/>
              <w:autoSpaceDN w:val="0"/>
              <w:adjustRightInd w:val="0"/>
              <w:jc w:val="left"/>
              <w:rPr>
                <w:rFonts w:ascii="Times New Roman" w:hAnsi="Times New Roman" w:cs="Times New Roman"/>
                <w:sz w:val="16"/>
                <w:szCs w:val="16"/>
              </w:rPr>
            </w:pPr>
          </w:p>
        </w:tc>
        <w:tc>
          <w:tcPr>
            <w:tcW w:w="1129" w:type="dxa"/>
            <w:tcBorders>
              <w:top w:val="single" w:sz="4" w:space="0" w:color="auto"/>
              <w:bottom w:val="single" w:sz="4" w:space="0" w:color="auto"/>
            </w:tcBorders>
          </w:tcPr>
          <w:p w:rsidR="00C27154" w:rsidRPr="00C27154" w:rsidRDefault="00C27154" w:rsidP="00C27154">
            <w:pPr>
              <w:autoSpaceDE w:val="0"/>
              <w:autoSpaceDN w:val="0"/>
              <w:adjustRightInd w:val="0"/>
              <w:jc w:val="left"/>
              <w:rPr>
                <w:rFonts w:ascii="Times New Roman" w:hAnsi="Times New Roman" w:cs="Times New Roman"/>
                <w:sz w:val="16"/>
                <w:szCs w:val="16"/>
              </w:rPr>
            </w:pPr>
          </w:p>
        </w:tc>
        <w:tc>
          <w:tcPr>
            <w:tcW w:w="4656" w:type="dxa"/>
            <w:gridSpan w:val="3"/>
            <w:tcBorders>
              <w:top w:val="single" w:sz="4" w:space="0" w:color="auto"/>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Beta coefficients ( standard error)</w:t>
            </w:r>
          </w:p>
        </w:tc>
        <w:tc>
          <w:tcPr>
            <w:tcW w:w="1111" w:type="dxa"/>
            <w:tcBorders>
              <w:top w:val="single" w:sz="4" w:space="0" w:color="auto"/>
              <w:bottom w:val="single" w:sz="4" w:space="0" w:color="auto"/>
            </w:tcBorders>
          </w:tcPr>
          <w:p w:rsidR="00C27154" w:rsidRPr="00C27154" w:rsidRDefault="00C27154" w:rsidP="00C27154">
            <w:pPr>
              <w:autoSpaceDE w:val="0"/>
              <w:autoSpaceDN w:val="0"/>
              <w:adjustRightInd w:val="0"/>
              <w:jc w:val="left"/>
              <w:rPr>
                <w:rFonts w:ascii="Times New Roman" w:hAnsi="Times New Roman" w:cs="Times New Roman"/>
                <w:sz w:val="16"/>
                <w:szCs w:val="16"/>
              </w:rPr>
            </w:pPr>
          </w:p>
        </w:tc>
      </w:tr>
      <w:tr w:rsidR="00C27154" w:rsidRPr="008F7E56" w:rsidTr="00444961">
        <w:tc>
          <w:tcPr>
            <w:tcW w:w="1410" w:type="dxa"/>
            <w:tcBorders>
              <w:top w:val="single" w:sz="4" w:space="0" w:color="auto"/>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Comparison</w:t>
            </w:r>
          </w:p>
        </w:tc>
        <w:tc>
          <w:tcPr>
            <w:tcW w:w="1129" w:type="dxa"/>
            <w:tcBorders>
              <w:top w:val="single" w:sz="4" w:space="0" w:color="auto"/>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Borders>
              <w:top w:val="single" w:sz="4" w:space="0" w:color="auto"/>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Direct comparison</w:t>
            </w:r>
          </w:p>
        </w:tc>
        <w:tc>
          <w:tcPr>
            <w:tcW w:w="1552" w:type="dxa"/>
            <w:tcBorders>
              <w:top w:val="single" w:sz="4" w:space="0" w:color="auto"/>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Indirect comparison</w:t>
            </w:r>
          </w:p>
        </w:tc>
        <w:tc>
          <w:tcPr>
            <w:tcW w:w="1552" w:type="dxa"/>
            <w:tcBorders>
              <w:top w:val="single" w:sz="4" w:space="0" w:color="auto"/>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Overall</w:t>
            </w:r>
          </w:p>
        </w:tc>
        <w:tc>
          <w:tcPr>
            <w:tcW w:w="1111" w:type="dxa"/>
            <w:tcBorders>
              <w:top w:val="single" w:sz="4" w:space="0" w:color="auto"/>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P-value</w:t>
            </w:r>
          </w:p>
        </w:tc>
      </w:tr>
      <w:tr w:rsidR="00C27154" w:rsidRPr="008F7E56" w:rsidTr="00444961">
        <w:tc>
          <w:tcPr>
            <w:tcW w:w="1410" w:type="dxa"/>
            <w:tcBorders>
              <w:top w:val="single" w:sz="4" w:space="0" w:color="auto"/>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BMD at LS</w:t>
            </w:r>
          </w:p>
        </w:tc>
        <w:tc>
          <w:tcPr>
            <w:tcW w:w="1129" w:type="dxa"/>
            <w:tcBorders>
              <w:top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Borders>
              <w:top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Borders>
              <w:top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Borders>
              <w:top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111" w:type="dxa"/>
            <w:tcBorders>
              <w:top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p>
        </w:tc>
      </w:tr>
      <w:tr w:rsidR="00C27154" w:rsidRPr="008F7E56" w:rsidTr="00444961">
        <w:tc>
          <w:tcPr>
            <w:tcW w:w="1410" w:type="dxa"/>
            <w:tcBorders>
              <w:top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-0.01(-0.04,0.02)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0.2</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0.02(0.01,0.03)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0.25</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0.85</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-0.01(-0.04,0.02)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0.31</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LIE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0.81</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FE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0.26</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-0.01(-0.06,0.03)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0.66</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0.5</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LIE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0.02(-0.05,0.1)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0.6</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MBE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0.07</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-0.02(-0.03,-0.01)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-0.02(-0.02,-0.01)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0.5</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FE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0.25</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-0.00(-0.04,0.03)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-0.00(-0.01,0.00)</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0.93</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0.01(-0.05,0.08)</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0.66</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0.92</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-0.02(-0.05,0.02)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0.18</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LIE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0.00(-0.03,0.03)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0.97</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MBE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0.62</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HIE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LIE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-0.01(-0.05,0.03)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-0.05(-0.09,0.00)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-0.02(-0.06,0.01)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0.19</w:t>
            </w:r>
          </w:p>
        </w:tc>
      </w:tr>
      <w:tr w:rsidR="00C27154" w:rsidRPr="008F7E56" w:rsidTr="00444961">
        <w:tc>
          <w:tcPr>
            <w:tcW w:w="1410" w:type="dxa"/>
            <w:tcBorders>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BMD at FN</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r>
      <w:tr w:rsidR="00C27154" w:rsidRPr="008F7E56" w:rsidTr="00444961">
        <w:tc>
          <w:tcPr>
            <w:tcW w:w="1410" w:type="dxa"/>
            <w:tcBorders>
              <w:top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0.02(-0.02,0.05)</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0.56</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0.03(0.02,0.04)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0.03(0.01,0.04)</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0.13</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FE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0.01(-0.01,0.03)</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0.8</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0.02(-0.00,0.05)</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0.02(0.00,0.03)</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0.43</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0.02(-0.02,0.07)</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0.17</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LIE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-0.00(-0.04,0.03)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0.39</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FE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0.03(-0.01,0.07)</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0.16</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-0.02(-0.04,0.01)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0.26</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-0.01(-0.04,0.01)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-0.02(-0.05,0.00)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-0.02(-0.04,0.00)</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0.53</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FE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0.00(-0.03,0.04)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-0.03(-0.06,-0.00)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-0.02(-0.04,0.01)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0.14</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0.01(-0.01,0.03)</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0.64</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-0.02(-0.05,0.00)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0.19</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LIE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-0.04(-0.08,0.00)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0.08</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MBE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-0.00(-0.05,0.04)</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0.86</w:t>
            </w:r>
          </w:p>
        </w:tc>
      </w:tr>
      <w:tr w:rsidR="00C27154" w:rsidRPr="008F7E56" w:rsidTr="00444961">
        <w:tc>
          <w:tcPr>
            <w:tcW w:w="1410" w:type="dxa"/>
            <w:tcBorders>
              <w:bottom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BMD at TH</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p>
        </w:tc>
      </w:tr>
      <w:tr w:rsidR="00C27154" w:rsidRPr="008F7E56" w:rsidTr="00444961">
        <w:tc>
          <w:tcPr>
            <w:tcW w:w="1410" w:type="dxa"/>
            <w:tcBorders>
              <w:top w:val="single" w:sz="4" w:space="0" w:color="auto"/>
            </w:tcBorders>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FE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0.02(0.00,0.03)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0.27</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lastRenderedPageBreak/>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0.6</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Control</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0.58</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FE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0.25</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FE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-0.01(-0.02,0.01)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0.65</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WBV</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MBE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0.01(-0.01,0.03)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0.01(-0.00,0.03)</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0.01(-0.00,0.02)</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0.75</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MBE</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0.00(-0.02,0.02)</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0.96</w:t>
            </w:r>
          </w:p>
        </w:tc>
      </w:tr>
      <w:tr w:rsidR="00C27154" w:rsidRPr="008F7E56" w:rsidTr="00444961">
        <w:tc>
          <w:tcPr>
            <w:tcW w:w="1410"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RT</w:t>
            </w:r>
          </w:p>
        </w:tc>
        <w:tc>
          <w:tcPr>
            <w:tcW w:w="1129"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ME</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-0.01(-0.03,0.00)</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552"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-0.00(-0.01,0.01)</w:t>
            </w:r>
          </w:p>
        </w:tc>
        <w:tc>
          <w:tcPr>
            <w:tcW w:w="1111" w:type="dxa"/>
          </w:tcPr>
          <w:p w:rsidR="00C27154" w:rsidRPr="00C27154" w:rsidRDefault="00C27154" w:rsidP="00C27154">
            <w:pPr>
              <w:autoSpaceDE w:val="0"/>
              <w:autoSpaceDN w:val="0"/>
              <w:adjustRightInd w:val="0"/>
              <w:jc w:val="center"/>
              <w:rPr>
                <w:rFonts w:ascii="Times New Roman" w:hAnsi="Times New Roman" w:cs="Times New Roman"/>
                <w:sz w:val="16"/>
                <w:szCs w:val="16"/>
              </w:rPr>
            </w:pPr>
            <w:r w:rsidRPr="00C27154">
              <w:rPr>
                <w:rFonts w:ascii="Times New Roman" w:hAnsi="Times New Roman" w:cs="Times New Roman"/>
                <w:sz w:val="16"/>
                <w:szCs w:val="16"/>
              </w:rPr>
              <w:t>0.16</w:t>
            </w:r>
          </w:p>
        </w:tc>
      </w:tr>
    </w:tbl>
    <w:p w:rsidR="00C27154" w:rsidRPr="00C27154" w:rsidRDefault="00C27154" w:rsidP="00C27154">
      <w:pPr>
        <w:autoSpaceDE w:val="0"/>
        <w:autoSpaceDN w:val="0"/>
        <w:adjustRightInd w:val="0"/>
        <w:jc w:val="left"/>
        <w:rPr>
          <w:rFonts w:ascii="Times New Roman" w:hAnsi="Times New Roman" w:cs="Times New Roman"/>
          <w:b/>
          <w:sz w:val="20"/>
          <w:szCs w:val="20"/>
        </w:rPr>
        <w:sectPr w:rsidR="00C27154" w:rsidRPr="00C27154">
          <w:pgSz w:w="11906" w:h="16838"/>
          <w:pgMar w:top="1440" w:right="1800" w:bottom="1440" w:left="1800" w:header="851" w:footer="992" w:gutter="0"/>
          <w:cols w:space="425"/>
          <w:docGrid w:type="lines" w:linePitch="312"/>
        </w:sectPr>
      </w:pPr>
    </w:p>
    <w:p w:rsidR="007602BC" w:rsidRPr="00172ABA" w:rsidRDefault="007602BC" w:rsidP="00172ABA">
      <w:pPr>
        <w:pStyle w:val="2"/>
        <w:rPr>
          <w:rFonts w:ascii="Times New Roman" w:hAnsi="Times New Roman" w:cs="Times New Roman"/>
          <w:sz w:val="24"/>
          <w:szCs w:val="24"/>
        </w:rPr>
      </w:pPr>
      <w:bookmarkStart w:id="53" w:name="_Toc74521929"/>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ppendix 7: Network graph of included studies for bone mineral density</w:t>
      </w:r>
      <w:bookmarkEnd w:id="53"/>
    </w:p>
    <w:p w:rsidR="007602BC" w:rsidRPr="007602BC" w:rsidRDefault="007602BC" w:rsidP="00DC4C68">
      <w:pPr>
        <w:autoSpaceDE w:val="0"/>
        <w:autoSpaceDN w:val="0"/>
        <w:adjustRightInd w:val="0"/>
        <w:jc w:val="left"/>
        <w:rPr>
          <w:rFonts w:ascii="Times New Roman" w:hAnsi="Times New Roman" w:cs="Times New Roman"/>
          <w:color w:val="000000"/>
          <w:sz w:val="24"/>
          <w:szCs w:val="24"/>
        </w:rPr>
      </w:pPr>
      <w:r w:rsidRPr="00444961">
        <w:rPr>
          <w:rFonts w:ascii="Times New Roman" w:hAnsi="Times New Roman" w:cs="Times New Roman"/>
          <w:b/>
          <w:noProof/>
          <w:color w:val="000000"/>
          <w:sz w:val="20"/>
          <w:szCs w:val="20"/>
        </w:rPr>
        <w:drawing>
          <wp:anchor distT="0" distB="0" distL="114300" distR="114300" simplePos="0" relativeHeight="251658240" behindDoc="0" locked="0" layoutInCell="1" allowOverlap="1">
            <wp:simplePos x="0" y="0"/>
            <wp:positionH relativeFrom="margin">
              <wp:posOffset>405130</wp:posOffset>
            </wp:positionH>
            <wp:positionV relativeFrom="paragraph">
              <wp:posOffset>207645</wp:posOffset>
            </wp:positionV>
            <wp:extent cx="4384675" cy="3187065"/>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lumbar spin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4675" cy="3187065"/>
                    </a:xfrm>
                    <a:prstGeom prst="rect">
                      <a:avLst/>
                    </a:prstGeom>
                  </pic:spPr>
                </pic:pic>
              </a:graphicData>
            </a:graphic>
            <wp14:sizeRelH relativeFrom="margin">
              <wp14:pctWidth>0</wp14:pctWidth>
            </wp14:sizeRelH>
            <wp14:sizeRelV relativeFrom="margin">
              <wp14:pctHeight>0</wp14:pctHeight>
            </wp14:sizeRelV>
          </wp:anchor>
        </w:drawing>
      </w:r>
      <w:r w:rsidRPr="00444961">
        <w:rPr>
          <w:rFonts w:ascii="Times New Roman" w:hAnsi="Times New Roman" w:cs="Times New Roman"/>
          <w:b/>
          <w:noProof/>
          <w:color w:val="000000"/>
          <w:sz w:val="20"/>
          <w:szCs w:val="20"/>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3696998</wp:posOffset>
                </wp:positionV>
                <wp:extent cx="407035" cy="30670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06705"/>
                        </a:xfrm>
                        <a:prstGeom prst="rect">
                          <a:avLst/>
                        </a:prstGeom>
                        <a:solidFill>
                          <a:srgbClr val="FFFFFF"/>
                        </a:solidFill>
                        <a:ln w="9525">
                          <a:noFill/>
                          <a:miter lim="800000"/>
                          <a:headEnd/>
                          <a:tailEnd/>
                        </a:ln>
                      </wps:spPr>
                      <wps:txbx>
                        <w:txbxContent>
                          <w:p w:rsidR="007C290F" w:rsidRPr="00444961" w:rsidRDefault="007C290F" w:rsidP="007A3B9F">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hint="eastAsia"/>
                                <w:color w:val="000000"/>
                                <w:sz w:val="20"/>
                                <w:szCs w:val="20"/>
                              </w:rPr>
                              <w:t>B</w:t>
                            </w:r>
                            <w:r w:rsidRPr="00444961">
                              <w:rPr>
                                <w:rFonts w:ascii="Times New Roman" w:hAnsi="Times New Roman" w:cs="Times New Roman"/>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91.1pt;width:32.05pt;height:24.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" stroked="f">
                <v:textbox>
                  <w:txbxContent>
                    <w:p w:rsidR="007C290F" w:rsidRPr="00444961" w:rsidRDefault="007C290F" w:rsidP="007A3B9F">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hint="eastAsia"/>
                          <w:color w:val="000000"/>
                          <w:sz w:val="20"/>
                          <w:szCs w:val="20"/>
                        </w:rPr>
                        <w:t>B</w:t>
                      </w:r>
                      <w:r w:rsidRPr="00444961">
                        <w:rPr>
                          <w:rFonts w:ascii="Times New Roman" w:hAnsi="Times New Roman" w:cs="Times New Roman"/>
                          <w:color w:val="000000"/>
                          <w:sz w:val="20"/>
                          <w:szCs w:val="20"/>
                        </w:rPr>
                        <w:t>.</w:t>
                      </w:r>
                    </w:p>
                  </w:txbxContent>
                </v:textbox>
                <w10:wrap type="square" anchorx="margin"/>
              </v:shape>
            </w:pict>
          </mc:Fallback>
        </mc:AlternateContent>
      </w:r>
      <w:r w:rsidRPr="00444961">
        <w:rPr>
          <w:rFonts w:ascii="Times New Roman" w:hAnsi="Times New Roman" w:cs="Times New Roman"/>
          <w:color w:val="000000"/>
          <w:sz w:val="20"/>
          <w:szCs w:val="20"/>
        </w:rPr>
        <w:t>A</w:t>
      </w:r>
      <w:r w:rsidRPr="007602BC">
        <w:rPr>
          <w:rFonts w:ascii="Times New Roman" w:hAnsi="Times New Roman" w:cs="Times New Roman"/>
          <w:color w:val="000000"/>
          <w:sz w:val="24"/>
          <w:szCs w:val="24"/>
        </w:rPr>
        <w:t>.</w:t>
      </w:r>
    </w:p>
    <w:p w:rsidR="007602BC" w:rsidRDefault="007602BC" w:rsidP="00DC4C68">
      <w:pPr>
        <w:autoSpaceDE w:val="0"/>
        <w:autoSpaceDN w:val="0"/>
        <w:adjustRightInd w:val="0"/>
        <w:jc w:val="left"/>
        <w:rPr>
          <w:rFonts w:ascii="Times New Roman" w:hAnsi="Times New Roman" w:cs="Times New Roman"/>
          <w:b/>
          <w:noProof/>
          <w:color w:val="000000"/>
          <w:sz w:val="24"/>
          <w:szCs w:val="24"/>
        </w:rPr>
      </w:pPr>
    </w:p>
    <w:p w:rsidR="007602BC" w:rsidRDefault="007602BC" w:rsidP="00DC4C68">
      <w:pPr>
        <w:autoSpaceDE w:val="0"/>
        <w:autoSpaceDN w:val="0"/>
        <w:adjustRightInd w:val="0"/>
        <w:jc w:val="left"/>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drawing>
          <wp:anchor distT="0" distB="0" distL="114300" distR="114300" simplePos="0" relativeHeight="251659264" behindDoc="0" locked="0" layoutInCell="1" allowOverlap="1">
            <wp:simplePos x="0" y="0"/>
            <wp:positionH relativeFrom="margin">
              <wp:posOffset>671830</wp:posOffset>
            </wp:positionH>
            <wp:positionV relativeFrom="paragraph">
              <wp:posOffset>534035</wp:posOffset>
            </wp:positionV>
            <wp:extent cx="4086225" cy="2970530"/>
            <wp:effectExtent l="0" t="0" r="9525" b="127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femoral neck.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6225" cy="2970530"/>
                    </a:xfrm>
                    <a:prstGeom prst="rect">
                      <a:avLst/>
                    </a:prstGeom>
                  </pic:spPr>
                </pic:pic>
              </a:graphicData>
            </a:graphic>
            <wp14:sizeRelH relativeFrom="margin">
              <wp14:pctWidth>0</wp14:pctWidth>
            </wp14:sizeRelH>
            <wp14:sizeRelV relativeFrom="margin">
              <wp14:pctHeight>0</wp14:pctHeight>
            </wp14:sizeRelV>
          </wp:anchor>
        </w:drawing>
      </w:r>
    </w:p>
    <w:p w:rsidR="007602BC" w:rsidRDefault="007602BC" w:rsidP="00DC4C68">
      <w:pPr>
        <w:autoSpaceDE w:val="0"/>
        <w:autoSpaceDN w:val="0"/>
        <w:adjustRightInd w:val="0"/>
        <w:jc w:val="left"/>
        <w:rPr>
          <w:rFonts w:ascii="Times New Roman" w:hAnsi="Times New Roman" w:cs="Times New Roman"/>
          <w:b/>
          <w:color w:val="000000"/>
          <w:sz w:val="24"/>
          <w:szCs w:val="24"/>
        </w:rPr>
      </w:pPr>
      <w:r w:rsidRPr="007602BC">
        <w:rPr>
          <w:rFonts w:ascii="Times New Roman" w:hAnsi="Times New Roman" w:cs="Times New Roman"/>
          <w:b/>
          <w:noProof/>
          <w:color w:val="000000"/>
          <w:sz w:val="24"/>
          <w:szCs w:val="24"/>
        </w:rPr>
        <w:lastRenderedPageBreak/>
        <mc:AlternateContent>
          <mc:Choice Requires="wps">
            <w:drawing>
              <wp:anchor distT="45720" distB="45720" distL="114300" distR="114300" simplePos="0" relativeHeight="251663360" behindDoc="0" locked="0" layoutInCell="1" allowOverlap="1">
                <wp:simplePos x="0" y="0"/>
                <wp:positionH relativeFrom="column">
                  <wp:posOffset>171450</wp:posOffset>
                </wp:positionH>
                <wp:positionV relativeFrom="paragraph">
                  <wp:posOffset>120015</wp:posOffset>
                </wp:positionV>
                <wp:extent cx="3276600" cy="1404620"/>
                <wp:effectExtent l="0" t="0" r="0" b="6350"/>
                <wp:wrapSquare wrapText="bothSides"/>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solidFill>
                          <a:srgbClr val="FFFFFF"/>
                        </a:solidFill>
                        <a:ln w="9525">
                          <a:noFill/>
                          <a:miter lim="800000"/>
                          <a:headEnd/>
                          <a:tailEnd/>
                        </a:ln>
                      </wps:spPr>
                      <wps:txbx>
                        <w:txbxContent>
                          <w:p w:rsidR="007C290F" w:rsidRPr="007A3B9F" w:rsidRDefault="007C290F" w:rsidP="007A3B9F">
                            <w:pPr>
                              <w:autoSpaceDE w:val="0"/>
                              <w:autoSpaceDN w:val="0"/>
                              <w:adjustRightInd w:val="0"/>
                              <w:jc w:val="left"/>
                              <w:rPr>
                                <w:rFonts w:ascii="Times New Roman" w:hAnsi="Times New Roman" w:cs="Times New Roman"/>
                                <w:color w:val="000000"/>
                                <w:sz w:val="24"/>
                                <w:szCs w:val="24"/>
                              </w:rPr>
                            </w:pPr>
                            <w:r w:rsidRPr="00444961">
                              <w:rPr>
                                <w:rFonts w:ascii="Times New Roman" w:hAnsi="Times New Roman" w:cs="Times New Roman"/>
                                <w:color w:val="000000"/>
                                <w:sz w:val="20"/>
                                <w:szCs w:val="20"/>
                              </w:rPr>
                              <w:t>C</w:t>
                            </w:r>
                            <w:r w:rsidRPr="007A3B9F">
                              <w:rPr>
                                <w:rFonts w:ascii="Times New Roman" w:hAnsi="Times New Roman" w:cs="Times New Roman"/>
                                <w:color w:val="00000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5pt;margin-top:9.45pt;width:25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" stroked="f">
                <v:textbox style="mso-fit-shape-to-text:t">
                  <w:txbxContent>
                    <w:p w:rsidR="007C290F" w:rsidRPr="007A3B9F" w:rsidRDefault="007C290F" w:rsidP="007A3B9F">
                      <w:pPr>
                        <w:autoSpaceDE w:val="0"/>
                        <w:autoSpaceDN w:val="0"/>
                        <w:adjustRightInd w:val="0"/>
                        <w:jc w:val="left"/>
                        <w:rPr>
                          <w:rFonts w:ascii="Times New Roman" w:hAnsi="Times New Roman" w:cs="Times New Roman"/>
                          <w:color w:val="000000"/>
                          <w:sz w:val="24"/>
                          <w:szCs w:val="24"/>
                        </w:rPr>
                      </w:pPr>
                      <w:r w:rsidRPr="00444961">
                        <w:rPr>
                          <w:rFonts w:ascii="Times New Roman" w:hAnsi="Times New Roman" w:cs="Times New Roman"/>
                          <w:color w:val="000000"/>
                          <w:sz w:val="20"/>
                          <w:szCs w:val="20"/>
                        </w:rPr>
                        <w:t>C</w:t>
                      </w:r>
                      <w:r w:rsidRPr="007A3B9F">
                        <w:rPr>
                          <w:rFonts w:ascii="Times New Roman" w:hAnsi="Times New Roman" w:cs="Times New Roman"/>
                          <w:color w:val="000000"/>
                          <w:sz w:val="24"/>
                          <w:szCs w:val="24"/>
                        </w:rPr>
                        <w:t>.</w:t>
                      </w:r>
                    </w:p>
                  </w:txbxContent>
                </v:textbox>
                <w10:wrap type="square"/>
              </v:shape>
            </w:pict>
          </mc:Fallback>
        </mc:AlternateContent>
      </w:r>
      <w:r>
        <w:rPr>
          <w:rFonts w:ascii="Times New Roman" w:hAnsi="Times New Roman" w:cs="Times New Roman"/>
          <w:b/>
          <w:noProof/>
          <w:color w:val="000000"/>
          <w:sz w:val="24"/>
          <w:szCs w:val="24"/>
        </w:rPr>
        <w:drawing>
          <wp:inline distT="0" distB="0" distL="0" distR="0">
            <wp:extent cx="4076594" cy="2963457"/>
            <wp:effectExtent l="0" t="0" r="63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total hip.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1224" cy="2966823"/>
                    </a:xfrm>
                    <a:prstGeom prst="rect">
                      <a:avLst/>
                    </a:prstGeom>
                  </pic:spPr>
                </pic:pic>
              </a:graphicData>
            </a:graphic>
          </wp:inline>
        </w:drawing>
      </w:r>
    </w:p>
    <w:p w:rsidR="007602BC" w:rsidRPr="0051730B" w:rsidRDefault="007602BC" w:rsidP="007602BC">
      <w:pPr>
        <w:pStyle w:val="Default"/>
        <w:rPr>
          <w:rFonts w:ascii="Times New Roman" w:hAnsi="Times New Roman" w:cs="Times New Roman"/>
          <w:sz w:val="21"/>
          <w:szCs w:val="21"/>
        </w:rPr>
      </w:pPr>
      <w:r w:rsidRPr="0051730B">
        <w:rPr>
          <w:rFonts w:ascii="Times New Roman" w:hAnsi="Times New Roman" w:cs="Times New Roman"/>
          <w:sz w:val="21"/>
          <w:szCs w:val="21"/>
        </w:rPr>
        <w:t>Network graph of included studies for bone mineral density. (A) lumbar spine evidence; (B) femoral neck evidence; (C) total hip evidence.</w:t>
      </w:r>
    </w:p>
    <w:p w:rsidR="007C290F" w:rsidRPr="0051730B" w:rsidRDefault="007C290F" w:rsidP="007602BC">
      <w:pPr>
        <w:pStyle w:val="Default"/>
        <w:rPr>
          <w:rFonts w:ascii="Times New Roman" w:hAnsi="Times New Roman" w:cs="Times New Roman"/>
          <w:sz w:val="21"/>
          <w:szCs w:val="21"/>
        </w:rPr>
      </w:pPr>
      <w:r w:rsidRPr="0051730B">
        <w:rPr>
          <w:rFonts w:ascii="Times New Roman" w:hAnsi="Times New Roman" w:cs="Times New Roman"/>
          <w:sz w:val="21"/>
          <w:szCs w:val="21"/>
        </w:rPr>
        <w:t>For each outcome, a network diagram was developed in which nodes represented different types of exercise intervention while lines connecting the nodes represented the direct head-to-head comparisons between interventions. In network plots, the size of nodes and the thickness of the edge lines are proportionate to the number of participants and the number of trials, respectively.</w:t>
      </w:r>
    </w:p>
    <w:p w:rsidR="007A3B9F" w:rsidRPr="0051730B" w:rsidRDefault="007602BC" w:rsidP="007602BC">
      <w:pPr>
        <w:autoSpaceDE w:val="0"/>
        <w:autoSpaceDN w:val="0"/>
        <w:adjustRightInd w:val="0"/>
        <w:jc w:val="left"/>
        <w:rPr>
          <w:rFonts w:ascii="Times New Roman" w:hAnsi="Times New Roman" w:cs="Times New Roman"/>
          <w:szCs w:val="21"/>
        </w:rPr>
        <w:sectPr w:rsidR="007A3B9F" w:rsidRPr="0051730B">
          <w:pgSz w:w="11906" w:h="16838"/>
          <w:pgMar w:top="1440" w:right="1800" w:bottom="1440" w:left="1800" w:header="851" w:footer="992" w:gutter="0"/>
          <w:cols w:space="425"/>
          <w:docGrid w:type="lines" w:linePitch="312"/>
        </w:sectPr>
      </w:pPr>
      <w:r w:rsidRPr="0051730B">
        <w:rPr>
          <w:rFonts w:ascii="Times New Roman" w:hAnsi="Times New Roman" w:cs="Times New Roman"/>
          <w:szCs w:val="21"/>
        </w:rPr>
        <w:t>RT: resistance training; WBV: whole body vibration; LIE: lower impact exercise; MIE: moderate impact exercise; HIE: higher impact exercise; CMJ: countermovement jump; MBE: mind based exercise; FE: flexibility exercise; WBE: water based exercise; WE: wellness exercise</w:t>
      </w:r>
    </w:p>
    <w:p w:rsidR="007602BC" w:rsidRPr="00172ABA" w:rsidRDefault="007A3B9F" w:rsidP="00172ABA">
      <w:pPr>
        <w:pStyle w:val="2"/>
        <w:rPr>
          <w:rFonts w:ascii="Times New Roman" w:hAnsi="Times New Roman" w:cs="Times New Roman"/>
          <w:sz w:val="24"/>
          <w:szCs w:val="24"/>
        </w:rPr>
      </w:pPr>
      <w:bookmarkStart w:id="54" w:name="_Toc74521930"/>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ppendix 8: Cumulative ranking plots for BMD at LS</w:t>
      </w:r>
      <w:bookmarkEnd w:id="54"/>
    </w:p>
    <w:p w:rsidR="007A3B9F" w:rsidRPr="00444961" w:rsidRDefault="007A3B9F" w:rsidP="007A3B9F">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A.</w:t>
      </w:r>
    </w:p>
    <w:p w:rsidR="007A3B9F" w:rsidRPr="007602BC" w:rsidRDefault="007A3B9F" w:rsidP="007A3B9F">
      <w:pPr>
        <w:autoSpaceDE w:val="0"/>
        <w:autoSpaceDN w:val="0"/>
        <w:adjustRightInd w:val="0"/>
        <w:jc w:val="left"/>
        <w:rPr>
          <w:rFonts w:ascii="Times New Roman" w:hAnsi="Times New Roman" w:cs="Times New Roman"/>
          <w:b/>
          <w:color w:val="000000"/>
          <w:sz w:val="24"/>
          <w:szCs w:val="24"/>
        </w:rPr>
        <w:sectPr w:rsidR="007A3B9F" w:rsidRPr="007602BC">
          <w:pgSz w:w="11906" w:h="16838"/>
          <w:pgMar w:top="1440" w:right="1800" w:bottom="1440" w:left="1800" w:header="851" w:footer="992" w:gutter="0"/>
          <w:cols w:space="425"/>
          <w:docGrid w:type="lines" w:linePitch="312"/>
        </w:sectPr>
      </w:pPr>
      <w:r w:rsidRPr="007A3B9F">
        <w:rPr>
          <w:rFonts w:ascii="Times New Roman" w:hAnsi="Times New Roman" w:cs="Times New Roman"/>
          <w:b/>
          <w:noProof/>
          <w:color w:val="000000"/>
          <w:sz w:val="24"/>
          <w:szCs w:val="24"/>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7339330</wp:posOffset>
                </wp:positionV>
                <wp:extent cx="5546090" cy="1404620"/>
                <wp:effectExtent l="0" t="0" r="0" b="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1404620"/>
                        </a:xfrm>
                        <a:prstGeom prst="rect">
                          <a:avLst/>
                        </a:prstGeom>
                        <a:solidFill>
                          <a:srgbClr val="FFFFFF"/>
                        </a:solidFill>
                        <a:ln w="9525">
                          <a:noFill/>
                          <a:miter lim="800000"/>
                          <a:headEnd/>
                          <a:tailEnd/>
                        </a:ln>
                      </wps:spPr>
                      <wps:txbx>
                        <w:txbxContent>
                          <w:p w:rsidR="007C290F" w:rsidRDefault="007C290F" w:rsidP="007A3B9F">
                            <w:r w:rsidRPr="007A3B9F">
                              <w:rPr>
                                <w:rFonts w:ascii="Times New Roman" w:hAnsi="Times New Roman" w:cs="Times New Roman"/>
                                <w:color w:val="000000"/>
                                <w:kern w:val="0"/>
                                <w:sz w:val="20"/>
                                <w:szCs w:val="20"/>
                              </w:rPr>
                              <w:t>Cumulative ranking plots to show comparative effectiveness of treatments from a BMD outcome at LS network meta-analysis, for each of (A) all trials included, (B) low quality studies excluded.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577.9pt;width:436.7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" stroked="f">
                <v:textbox style="mso-fit-shape-to-text:t">
                  <w:txbxContent>
                    <w:p w:rsidR="007C290F" w:rsidRDefault="007C290F" w:rsidP="007A3B9F">
                      <w:r w:rsidRPr="007A3B9F">
                        <w:rPr>
                          <w:rFonts w:ascii="Times New Roman" w:hAnsi="Times New Roman" w:cs="Times New Roman"/>
                          <w:color w:val="000000"/>
                          <w:kern w:val="0"/>
                          <w:sz w:val="20"/>
                          <w:szCs w:val="20"/>
                        </w:rPr>
                        <w:t>Cumulative ranking plots to show comparative effectiveness of treatments from a BMD outcome at LS network meta-analysis, for each of (A) all trials included, (B) low quality studies excluded.</w:t>
                      </w:r>
                    </w:p>
                  </w:txbxContent>
                </v:textbox>
                <w10:wrap type="square" anchorx="margin"/>
              </v:shape>
            </w:pict>
          </mc:Fallback>
        </mc:AlternateContent>
      </w:r>
      <w:r>
        <w:rPr>
          <w:rFonts w:ascii="Times New Roman" w:hAnsi="Times New Roman" w:cs="Times New Roman" w:hint="eastAsia"/>
          <w:b/>
          <w:noProof/>
          <w:color w:val="000000"/>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3768090</wp:posOffset>
            </wp:positionV>
            <wp:extent cx="4595495" cy="332359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S-sensitivity-ranking.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5495" cy="3323590"/>
                    </a:xfrm>
                    <a:prstGeom prst="rect">
                      <a:avLst/>
                    </a:prstGeom>
                  </pic:spPr>
                </pic:pic>
              </a:graphicData>
            </a:graphic>
            <wp14:sizeRelH relativeFrom="margin">
              <wp14:pctWidth>0</wp14:pctWidth>
            </wp14:sizeRelH>
            <wp14:sizeRelV relativeFrom="margin">
              <wp14:pctHeight>0</wp14:pctHeight>
            </wp14:sizeRelV>
          </wp:anchor>
        </w:drawing>
      </w:r>
      <w:r w:rsidRPr="007602BC">
        <w:rPr>
          <w:rFonts w:ascii="Times New Roman" w:hAnsi="Times New Roman" w:cs="Times New Roman"/>
          <w:b/>
          <w:noProof/>
          <w:color w:val="000000"/>
          <w:sz w:val="24"/>
          <w:szCs w:val="24"/>
        </w:rPr>
        <mc:AlternateContent>
          <mc:Choice Requires="wps">
            <w:drawing>
              <wp:anchor distT="45720" distB="45720" distL="114300" distR="114300" simplePos="0" relativeHeight="251667456" behindDoc="0" locked="0" layoutInCell="1" allowOverlap="1" wp14:anchorId="037F78B0" wp14:editId="4C45BD05">
                <wp:simplePos x="0" y="0"/>
                <wp:positionH relativeFrom="margin">
                  <wp:align>left</wp:align>
                </wp:positionH>
                <wp:positionV relativeFrom="paragraph">
                  <wp:posOffset>3448550</wp:posOffset>
                </wp:positionV>
                <wp:extent cx="407035" cy="306705"/>
                <wp:effectExtent l="0" t="0" r="0" b="0"/>
                <wp:wrapSquare wrapText="bothSides"/>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06705"/>
                        </a:xfrm>
                        <a:prstGeom prst="rect">
                          <a:avLst/>
                        </a:prstGeom>
                        <a:solidFill>
                          <a:srgbClr val="FFFFFF"/>
                        </a:solidFill>
                        <a:ln w="9525">
                          <a:noFill/>
                          <a:miter lim="800000"/>
                          <a:headEnd/>
                          <a:tailEnd/>
                        </a:ln>
                      </wps:spPr>
                      <wps:txbx>
                        <w:txbxContent>
                          <w:p w:rsidR="007C290F" w:rsidRPr="00444961" w:rsidRDefault="007C290F" w:rsidP="007A3B9F">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hint="eastAsia"/>
                                <w:color w:val="000000"/>
                                <w:sz w:val="20"/>
                                <w:szCs w:val="20"/>
                              </w:rPr>
                              <w:t>B</w:t>
                            </w:r>
                            <w:r w:rsidRPr="00444961">
                              <w:rPr>
                                <w:rFonts w:ascii="Times New Roman" w:hAnsi="Times New Roman" w:cs="Times New Roman"/>
                                <w:color w:val="0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F78B0" id="_x0000_s1030" type="#_x0000_t202" style="position:absolute;margin-left:0;margin-top:271.55pt;width:32.05pt;height:24.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" stroked="f">
                <v:textbox>
                  <w:txbxContent>
                    <w:p w:rsidR="007C290F" w:rsidRPr="00444961" w:rsidRDefault="007C290F" w:rsidP="007A3B9F">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hint="eastAsia"/>
                          <w:color w:val="000000"/>
                          <w:sz w:val="20"/>
                          <w:szCs w:val="20"/>
                        </w:rPr>
                        <w:t>B</w:t>
                      </w:r>
                      <w:r w:rsidRPr="00444961">
                        <w:rPr>
                          <w:rFonts w:ascii="Times New Roman" w:hAnsi="Times New Roman" w:cs="Times New Roman"/>
                          <w:color w:val="000000"/>
                          <w:sz w:val="20"/>
                          <w:szCs w:val="20"/>
                        </w:rPr>
                        <w:t>.</w:t>
                      </w:r>
                    </w:p>
                  </w:txbxContent>
                </v:textbox>
                <w10:wrap type="square" anchorx="margin"/>
              </v:shape>
            </w:pict>
          </mc:Fallback>
        </mc:AlternateContent>
      </w:r>
      <w:r>
        <w:rPr>
          <w:rFonts w:ascii="Times New Roman" w:hAnsi="Times New Roman" w:cs="Times New Roman" w:hint="eastAsia"/>
          <w:b/>
          <w:noProof/>
          <w:color w:val="000000"/>
          <w:sz w:val="24"/>
          <w:szCs w:val="24"/>
        </w:rPr>
        <w:drawing>
          <wp:anchor distT="0" distB="0" distL="114300" distR="114300" simplePos="0" relativeHeight="251664384" behindDoc="0" locked="0" layoutInCell="1" allowOverlap="1">
            <wp:simplePos x="0" y="0"/>
            <wp:positionH relativeFrom="margin">
              <wp:align>left</wp:align>
            </wp:positionH>
            <wp:positionV relativeFrom="paragraph">
              <wp:posOffset>57581</wp:posOffset>
            </wp:positionV>
            <wp:extent cx="4595495" cy="3343910"/>
            <wp:effectExtent l="0" t="0" r="0" b="889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S rangking.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5495" cy="3343910"/>
                    </a:xfrm>
                    <a:prstGeom prst="rect">
                      <a:avLst/>
                    </a:prstGeom>
                  </pic:spPr>
                </pic:pic>
              </a:graphicData>
            </a:graphic>
            <wp14:sizeRelH relativeFrom="margin">
              <wp14:pctWidth>0</wp14:pctWidth>
            </wp14:sizeRelH>
            <wp14:sizeRelV relativeFrom="margin">
              <wp14:pctHeight>0</wp14:pctHeight>
            </wp14:sizeRelV>
          </wp:anchor>
        </w:drawing>
      </w:r>
    </w:p>
    <w:p w:rsidR="007A3B9F" w:rsidRPr="00172ABA" w:rsidRDefault="007A3B9F" w:rsidP="00172ABA">
      <w:pPr>
        <w:pStyle w:val="2"/>
        <w:rPr>
          <w:rFonts w:ascii="Times New Roman" w:hAnsi="Times New Roman" w:cs="Times New Roman"/>
          <w:sz w:val="24"/>
          <w:szCs w:val="24"/>
        </w:rPr>
      </w:pPr>
      <w:bookmarkStart w:id="55" w:name="_Toc74521931"/>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 xml:space="preserve">ppendix </w:t>
      </w:r>
      <w:r w:rsidR="002E1C7F" w:rsidRPr="00172ABA">
        <w:rPr>
          <w:rFonts w:ascii="Times New Roman" w:hAnsi="Times New Roman" w:cs="Times New Roman"/>
          <w:sz w:val="24"/>
          <w:szCs w:val="24"/>
        </w:rPr>
        <w:t>9:</w:t>
      </w:r>
      <w:r w:rsidRPr="00172ABA">
        <w:rPr>
          <w:rFonts w:ascii="Times New Roman" w:hAnsi="Times New Roman" w:cs="Times New Roman"/>
          <w:sz w:val="24"/>
          <w:szCs w:val="24"/>
        </w:rPr>
        <w:t xml:space="preserve"> Cumulative ranking plots for BMD at FN</w:t>
      </w:r>
      <w:bookmarkEnd w:id="55"/>
    </w:p>
    <w:p w:rsidR="007A3B9F" w:rsidRPr="00444961" w:rsidRDefault="007A3B9F" w:rsidP="00DC4C68">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A.</w:t>
      </w:r>
    </w:p>
    <w:p w:rsidR="007A3B9F" w:rsidRDefault="007A3B9F" w:rsidP="00DC4C68">
      <w:pPr>
        <w:autoSpaceDE w:val="0"/>
        <w:autoSpaceDN w:val="0"/>
        <w:adjustRightInd w:val="0"/>
        <w:jc w:val="left"/>
        <w:rPr>
          <w:rFonts w:ascii="Times New Roman" w:hAnsi="Times New Roman" w:cs="Times New Roman"/>
          <w:color w:val="000000"/>
          <w:sz w:val="24"/>
          <w:szCs w:val="24"/>
        </w:rPr>
      </w:pPr>
      <w:r>
        <w:rPr>
          <w:rFonts w:ascii="Times New Roman" w:hAnsi="Times New Roman" w:cs="Times New Roman" w:hint="eastAsia"/>
          <w:noProof/>
          <w:color w:val="000000"/>
          <w:sz w:val="24"/>
          <w:szCs w:val="24"/>
        </w:rPr>
        <w:drawing>
          <wp:inline distT="0" distB="0" distL="0" distR="0">
            <wp:extent cx="4485233" cy="3503797"/>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N ranking.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0662" cy="3523662"/>
                    </a:xfrm>
                    <a:prstGeom prst="rect">
                      <a:avLst/>
                    </a:prstGeom>
                  </pic:spPr>
                </pic:pic>
              </a:graphicData>
            </a:graphic>
          </wp:inline>
        </w:drawing>
      </w:r>
    </w:p>
    <w:p w:rsidR="007A3B9F" w:rsidRPr="00444961" w:rsidRDefault="007A3B9F" w:rsidP="00DC4C68">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hint="eastAsia"/>
          <w:color w:val="000000"/>
          <w:sz w:val="20"/>
          <w:szCs w:val="20"/>
        </w:rPr>
        <w:t>B</w:t>
      </w:r>
      <w:r w:rsidRPr="00444961">
        <w:rPr>
          <w:rFonts w:ascii="Times New Roman" w:hAnsi="Times New Roman" w:cs="Times New Roman"/>
          <w:color w:val="000000"/>
          <w:sz w:val="20"/>
          <w:szCs w:val="20"/>
        </w:rPr>
        <w:t>.</w:t>
      </w:r>
    </w:p>
    <w:p w:rsidR="007A3B9F" w:rsidRDefault="007A3B9F" w:rsidP="00DC4C68">
      <w:pPr>
        <w:autoSpaceDE w:val="0"/>
        <w:autoSpaceDN w:val="0"/>
        <w:adjustRightInd w:val="0"/>
        <w:jc w:val="left"/>
        <w:rPr>
          <w:rFonts w:ascii="Times New Roman" w:hAnsi="Times New Roman" w:cs="Times New Roman"/>
          <w:color w:val="000000"/>
          <w:sz w:val="24"/>
          <w:szCs w:val="24"/>
        </w:rPr>
      </w:pPr>
      <w:r>
        <w:rPr>
          <w:rFonts w:ascii="Times New Roman" w:hAnsi="Times New Roman" w:cs="Times New Roman" w:hint="eastAsia"/>
          <w:noProof/>
          <w:color w:val="000000"/>
          <w:sz w:val="24"/>
          <w:szCs w:val="24"/>
        </w:rPr>
        <w:drawing>
          <wp:inline distT="0" distB="0" distL="0" distR="0">
            <wp:extent cx="4518605" cy="328348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N-sen-ranking.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4009" cy="3301949"/>
                    </a:xfrm>
                    <a:prstGeom prst="rect">
                      <a:avLst/>
                    </a:prstGeom>
                  </pic:spPr>
                </pic:pic>
              </a:graphicData>
            </a:graphic>
          </wp:inline>
        </w:drawing>
      </w:r>
    </w:p>
    <w:p w:rsidR="007A3B9F" w:rsidRDefault="007A3B9F" w:rsidP="00DC4C68">
      <w:pPr>
        <w:autoSpaceDE w:val="0"/>
        <w:autoSpaceDN w:val="0"/>
        <w:adjustRightInd w:val="0"/>
        <w:jc w:val="left"/>
        <w:rPr>
          <w:rFonts w:ascii="Times New Roman" w:hAnsi="Times New Roman" w:cs="Times New Roman"/>
          <w:color w:val="000000"/>
          <w:sz w:val="24"/>
          <w:szCs w:val="24"/>
        </w:rPr>
      </w:pPr>
    </w:p>
    <w:p w:rsidR="007A3B9F" w:rsidRDefault="007A3B9F" w:rsidP="007A3B9F">
      <w:r w:rsidRPr="007A3B9F">
        <w:rPr>
          <w:rFonts w:ascii="Times New Roman" w:hAnsi="Times New Roman" w:cs="Times New Roman"/>
          <w:color w:val="000000"/>
          <w:kern w:val="0"/>
          <w:sz w:val="20"/>
          <w:szCs w:val="20"/>
        </w:rPr>
        <w:t xml:space="preserve">Cumulative ranking plots to show comparative effectiveness of treatments from a BMD outcome at </w:t>
      </w:r>
      <w:r>
        <w:rPr>
          <w:rFonts w:ascii="Times New Roman" w:hAnsi="Times New Roman" w:cs="Times New Roman"/>
          <w:color w:val="000000"/>
          <w:kern w:val="0"/>
          <w:sz w:val="20"/>
          <w:szCs w:val="20"/>
        </w:rPr>
        <w:t>FN</w:t>
      </w:r>
      <w:r w:rsidRPr="007A3B9F">
        <w:rPr>
          <w:rFonts w:ascii="Times New Roman" w:hAnsi="Times New Roman" w:cs="Times New Roman"/>
          <w:color w:val="000000"/>
          <w:kern w:val="0"/>
          <w:sz w:val="20"/>
          <w:szCs w:val="20"/>
        </w:rPr>
        <w:t xml:space="preserve"> network meta-analysis, for each of (A) all trials included, (B) low quality studies excluded.</w:t>
      </w:r>
    </w:p>
    <w:p w:rsidR="007A3B9F" w:rsidRPr="007A3B9F" w:rsidRDefault="007A3B9F" w:rsidP="00DC4C68">
      <w:pPr>
        <w:autoSpaceDE w:val="0"/>
        <w:autoSpaceDN w:val="0"/>
        <w:adjustRightInd w:val="0"/>
        <w:jc w:val="left"/>
        <w:rPr>
          <w:rFonts w:ascii="Times New Roman" w:hAnsi="Times New Roman" w:cs="Times New Roman"/>
          <w:color w:val="000000"/>
          <w:sz w:val="24"/>
          <w:szCs w:val="24"/>
        </w:rPr>
        <w:sectPr w:rsidR="007A3B9F" w:rsidRPr="007A3B9F">
          <w:pgSz w:w="11906" w:h="16838"/>
          <w:pgMar w:top="1440" w:right="1800" w:bottom="1440" w:left="1800" w:header="851" w:footer="992" w:gutter="0"/>
          <w:cols w:space="425"/>
          <w:docGrid w:type="lines" w:linePitch="312"/>
        </w:sectPr>
      </w:pPr>
    </w:p>
    <w:p w:rsidR="002E1C7F" w:rsidRPr="00172ABA" w:rsidRDefault="002E1C7F" w:rsidP="00172ABA">
      <w:pPr>
        <w:pStyle w:val="2"/>
        <w:rPr>
          <w:rFonts w:ascii="Times New Roman" w:hAnsi="Times New Roman" w:cs="Times New Roman"/>
          <w:sz w:val="24"/>
          <w:szCs w:val="24"/>
        </w:rPr>
      </w:pPr>
      <w:bookmarkStart w:id="56" w:name="_Toc74521932"/>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ppendix 10: Cumulative ranking plots for BMD at TH</w:t>
      </w:r>
      <w:bookmarkEnd w:id="56"/>
    </w:p>
    <w:p w:rsidR="002E1C7F" w:rsidRPr="00444961" w:rsidRDefault="002E1C7F" w:rsidP="002E1C7F">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A.</w:t>
      </w:r>
    </w:p>
    <w:p w:rsidR="007A3B9F" w:rsidRDefault="002E1C7F" w:rsidP="00DC4C68">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hint="eastAsia"/>
          <w:b/>
          <w:noProof/>
          <w:color w:val="000000"/>
          <w:sz w:val="24"/>
          <w:szCs w:val="24"/>
        </w:rPr>
        <w:drawing>
          <wp:inline distT="0" distB="0" distL="0" distR="0" wp14:anchorId="031B19F6" wp14:editId="41BFA060">
            <wp:extent cx="4751483" cy="345749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 ranking.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7696" cy="3462017"/>
                    </a:xfrm>
                    <a:prstGeom prst="rect">
                      <a:avLst/>
                    </a:prstGeom>
                  </pic:spPr>
                </pic:pic>
              </a:graphicData>
            </a:graphic>
          </wp:inline>
        </w:drawing>
      </w:r>
    </w:p>
    <w:p w:rsidR="002E1C7F" w:rsidRPr="00444961" w:rsidRDefault="002E1C7F" w:rsidP="00DC4C68">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B.</w:t>
      </w:r>
    </w:p>
    <w:p w:rsidR="002E1C7F" w:rsidRDefault="002E1C7F" w:rsidP="00DC4C68">
      <w:pPr>
        <w:autoSpaceDE w:val="0"/>
        <w:autoSpaceDN w:val="0"/>
        <w:adjustRightInd w:val="0"/>
        <w:jc w:val="left"/>
        <w:rPr>
          <w:rFonts w:ascii="Times New Roman" w:hAnsi="Times New Roman" w:cs="Times New Roman"/>
          <w:color w:val="000000"/>
          <w:sz w:val="24"/>
          <w:szCs w:val="24"/>
        </w:rPr>
      </w:pPr>
      <w:r>
        <w:rPr>
          <w:rFonts w:ascii="Times New Roman" w:hAnsi="Times New Roman" w:cs="Times New Roman" w:hint="eastAsia"/>
          <w:noProof/>
          <w:color w:val="000000"/>
          <w:sz w:val="24"/>
          <w:szCs w:val="24"/>
        </w:rPr>
        <w:drawing>
          <wp:inline distT="0" distB="0" distL="0" distR="0">
            <wp:extent cx="4787994" cy="3484064"/>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sen-ranking.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6401" cy="3490182"/>
                    </a:xfrm>
                    <a:prstGeom prst="rect">
                      <a:avLst/>
                    </a:prstGeom>
                  </pic:spPr>
                </pic:pic>
              </a:graphicData>
            </a:graphic>
          </wp:inline>
        </w:drawing>
      </w:r>
    </w:p>
    <w:p w:rsidR="002E1C7F" w:rsidRDefault="002E1C7F" w:rsidP="002E1C7F">
      <w:pPr>
        <w:rPr>
          <w:rFonts w:ascii="Times New Roman" w:hAnsi="Times New Roman" w:cs="Times New Roman"/>
          <w:color w:val="000000"/>
          <w:kern w:val="0"/>
          <w:sz w:val="20"/>
          <w:szCs w:val="20"/>
        </w:rPr>
      </w:pPr>
    </w:p>
    <w:p w:rsidR="002E1C7F" w:rsidRDefault="002E1C7F" w:rsidP="002E1C7F">
      <w:r w:rsidRPr="007A3B9F">
        <w:rPr>
          <w:rFonts w:ascii="Times New Roman" w:hAnsi="Times New Roman" w:cs="Times New Roman"/>
          <w:color w:val="000000"/>
          <w:kern w:val="0"/>
          <w:sz w:val="20"/>
          <w:szCs w:val="20"/>
        </w:rPr>
        <w:t xml:space="preserve">Cumulative ranking plots to show comparative effectiveness of treatments from a BMD outcome at </w:t>
      </w:r>
      <w:r>
        <w:rPr>
          <w:rFonts w:ascii="Times New Roman" w:hAnsi="Times New Roman" w:cs="Times New Roman"/>
          <w:color w:val="000000"/>
          <w:kern w:val="0"/>
          <w:sz w:val="20"/>
          <w:szCs w:val="20"/>
        </w:rPr>
        <w:t>TH</w:t>
      </w:r>
      <w:r w:rsidRPr="007A3B9F">
        <w:rPr>
          <w:rFonts w:ascii="Times New Roman" w:hAnsi="Times New Roman" w:cs="Times New Roman"/>
          <w:color w:val="000000"/>
          <w:kern w:val="0"/>
          <w:sz w:val="20"/>
          <w:szCs w:val="20"/>
        </w:rPr>
        <w:t xml:space="preserve"> network meta-analysis, for each of (A) all trials included, (B) low quality studies excluded.</w:t>
      </w:r>
    </w:p>
    <w:p w:rsidR="002E1C7F" w:rsidRDefault="002E1C7F" w:rsidP="00DC4C68">
      <w:pPr>
        <w:autoSpaceDE w:val="0"/>
        <w:autoSpaceDN w:val="0"/>
        <w:adjustRightInd w:val="0"/>
        <w:jc w:val="left"/>
        <w:rPr>
          <w:rFonts w:ascii="Times New Roman" w:hAnsi="Times New Roman" w:cs="Times New Roman"/>
          <w:color w:val="000000"/>
          <w:sz w:val="24"/>
          <w:szCs w:val="24"/>
        </w:rPr>
        <w:sectPr w:rsidR="002E1C7F">
          <w:pgSz w:w="11906" w:h="16838"/>
          <w:pgMar w:top="1440" w:right="1800" w:bottom="1440" w:left="1800" w:header="851" w:footer="992" w:gutter="0"/>
          <w:cols w:space="425"/>
          <w:docGrid w:type="lines" w:linePitch="312"/>
        </w:sectPr>
      </w:pPr>
    </w:p>
    <w:p w:rsidR="002E1C7F" w:rsidRPr="00172ABA" w:rsidRDefault="002E1C7F" w:rsidP="00172ABA">
      <w:pPr>
        <w:pStyle w:val="2"/>
        <w:rPr>
          <w:rFonts w:ascii="Times New Roman" w:hAnsi="Times New Roman" w:cs="Times New Roman"/>
          <w:sz w:val="24"/>
          <w:szCs w:val="24"/>
        </w:rPr>
      </w:pPr>
      <w:bookmarkStart w:id="57" w:name="_Toc74521933"/>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ppendix 11: Relative effect estimates for the contrasts between the different interventions and control arms on BMD at TH</w:t>
      </w:r>
      <w:bookmarkEnd w:id="57"/>
    </w:p>
    <w:tbl>
      <w:tblPr>
        <w:tblStyle w:val="a3"/>
        <w:tblpPr w:leftFromText="180" w:rightFromText="180" w:vertAnchor="page" w:horzAnchor="margin" w:tblpY="3194"/>
        <w:tblW w:w="13128" w:type="dxa"/>
        <w:tblLook w:val="04A0" w:firstRow="1" w:lastRow="0" w:firstColumn="1" w:lastColumn="0" w:noHBand="0" w:noVBand="1"/>
      </w:tblPr>
      <w:tblGrid>
        <w:gridCol w:w="1475"/>
        <w:gridCol w:w="1473"/>
        <w:gridCol w:w="1340"/>
        <w:gridCol w:w="1480"/>
        <w:gridCol w:w="1475"/>
        <w:gridCol w:w="1435"/>
        <w:gridCol w:w="1459"/>
        <w:gridCol w:w="1510"/>
        <w:gridCol w:w="1481"/>
      </w:tblGrid>
      <w:tr w:rsidR="00172ABA" w:rsidRPr="006F02F3" w:rsidTr="00172ABA">
        <w:trPr>
          <w:trHeight w:val="636"/>
        </w:trPr>
        <w:tc>
          <w:tcPr>
            <w:tcW w:w="1475" w:type="dxa"/>
            <w:shd w:val="clear" w:color="auto" w:fill="BDD6EE" w:themeFill="accent1"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Control</w:t>
            </w:r>
          </w:p>
        </w:tc>
        <w:tc>
          <w:tcPr>
            <w:tcW w:w="1473"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0.00)</w:t>
            </w:r>
          </w:p>
        </w:tc>
        <w:tc>
          <w:tcPr>
            <w:tcW w:w="1340" w:type="dxa"/>
            <w:shd w:val="clear" w:color="auto" w:fill="FBE4D5" w:themeFill="accent2" w:themeFillTint="33"/>
            <w:vAlign w:val="center"/>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 xml:space="preserve">-0.01 </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(-0.02, -0.00)</w:t>
            </w:r>
          </w:p>
        </w:tc>
        <w:tc>
          <w:tcPr>
            <w:tcW w:w="1480"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0.01)</w:t>
            </w:r>
          </w:p>
        </w:tc>
        <w:tc>
          <w:tcPr>
            <w:tcW w:w="1475"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c>
          <w:tcPr>
            <w:tcW w:w="1435"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0.00)</w:t>
            </w:r>
          </w:p>
        </w:tc>
        <w:tc>
          <w:tcPr>
            <w:tcW w:w="1459"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0.00)</w:t>
            </w:r>
          </w:p>
        </w:tc>
        <w:tc>
          <w:tcPr>
            <w:tcW w:w="1510" w:type="dxa"/>
            <w:shd w:val="clear" w:color="auto" w:fill="FBE4D5" w:themeFill="accent2" w:themeFillTint="33"/>
            <w:vAlign w:val="center"/>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 xml:space="preserve">-0.01 </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(-0.02, -0.01)</w:t>
            </w:r>
          </w:p>
        </w:tc>
        <w:tc>
          <w:tcPr>
            <w:tcW w:w="1481" w:type="dxa"/>
            <w:shd w:val="clear" w:color="auto" w:fill="FBE4D5" w:themeFill="accent2" w:themeFillTint="33"/>
            <w:vAlign w:val="center"/>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 xml:space="preserve">-0.01 </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(-0.02, -0.00)</w:t>
            </w:r>
          </w:p>
        </w:tc>
      </w:tr>
      <w:tr w:rsidR="00172ABA" w:rsidRPr="006F02F3" w:rsidTr="00172ABA">
        <w:trPr>
          <w:trHeight w:val="650"/>
        </w:trPr>
        <w:tc>
          <w:tcPr>
            <w:tcW w:w="1475"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473" w:type="dxa"/>
            <w:shd w:val="clear" w:color="auto" w:fill="BDD6EE" w:themeFill="accent1"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WE</w:t>
            </w:r>
          </w:p>
        </w:tc>
        <w:tc>
          <w:tcPr>
            <w:tcW w:w="1340"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c>
          <w:tcPr>
            <w:tcW w:w="1480"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0.02)</w:t>
            </w:r>
          </w:p>
        </w:tc>
        <w:tc>
          <w:tcPr>
            <w:tcW w:w="1475"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0.02)</w:t>
            </w:r>
          </w:p>
        </w:tc>
        <w:tc>
          <w:tcPr>
            <w:tcW w:w="1435"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0.02)</w:t>
            </w:r>
          </w:p>
        </w:tc>
        <w:tc>
          <w:tcPr>
            <w:tcW w:w="1459"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c>
          <w:tcPr>
            <w:tcW w:w="1510"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c>
          <w:tcPr>
            <w:tcW w:w="1481"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0.01)</w:t>
            </w:r>
          </w:p>
        </w:tc>
      </w:tr>
      <w:tr w:rsidR="00172ABA" w:rsidRPr="006F02F3" w:rsidTr="00172ABA">
        <w:trPr>
          <w:trHeight w:val="636"/>
        </w:trPr>
        <w:tc>
          <w:tcPr>
            <w:tcW w:w="1475" w:type="dxa"/>
            <w:shd w:val="clear" w:color="auto" w:fill="FFE599" w:themeFill="accent4" w:themeFillTint="66"/>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-0.01</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(-0.02,-0.00)</w:t>
            </w:r>
          </w:p>
        </w:tc>
        <w:tc>
          <w:tcPr>
            <w:tcW w:w="1473"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340" w:type="dxa"/>
            <w:shd w:val="clear" w:color="auto" w:fill="BDD6EE" w:themeFill="accent1"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FE</w:t>
            </w:r>
          </w:p>
        </w:tc>
        <w:tc>
          <w:tcPr>
            <w:tcW w:w="1480" w:type="dxa"/>
            <w:shd w:val="clear" w:color="auto" w:fill="FBE4D5" w:themeFill="accent2" w:themeFillTint="33"/>
            <w:vAlign w:val="center"/>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 xml:space="preserve">0.02 </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(0.00, 0.03)</w:t>
            </w:r>
          </w:p>
        </w:tc>
        <w:tc>
          <w:tcPr>
            <w:tcW w:w="1475"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0.03)</w:t>
            </w:r>
          </w:p>
        </w:tc>
        <w:tc>
          <w:tcPr>
            <w:tcW w:w="1435"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 0.02)</w:t>
            </w:r>
          </w:p>
        </w:tc>
        <w:tc>
          <w:tcPr>
            <w:tcW w:w="1459"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0.02)</w:t>
            </w:r>
          </w:p>
        </w:tc>
        <w:tc>
          <w:tcPr>
            <w:tcW w:w="1510"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0.01)</w:t>
            </w:r>
          </w:p>
        </w:tc>
        <w:tc>
          <w:tcPr>
            <w:tcW w:w="1481"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0.01)</w:t>
            </w:r>
          </w:p>
        </w:tc>
      </w:tr>
      <w:tr w:rsidR="00172ABA" w:rsidRPr="006F02F3" w:rsidTr="00172ABA">
        <w:trPr>
          <w:trHeight w:val="650"/>
        </w:trPr>
        <w:tc>
          <w:tcPr>
            <w:tcW w:w="1475"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(-0.01,0.01)</w:t>
            </w:r>
          </w:p>
        </w:tc>
        <w:tc>
          <w:tcPr>
            <w:tcW w:w="1473"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(-0.01,0.02)</w:t>
            </w:r>
          </w:p>
        </w:tc>
        <w:tc>
          <w:tcPr>
            <w:tcW w:w="1340" w:type="dxa"/>
            <w:shd w:val="clear" w:color="auto" w:fill="FFE599" w:themeFill="accent4" w:themeFillTint="66"/>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0.01</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(0.00,0.03)</w:t>
            </w:r>
          </w:p>
        </w:tc>
        <w:tc>
          <w:tcPr>
            <w:tcW w:w="1480" w:type="dxa"/>
            <w:shd w:val="clear" w:color="auto" w:fill="BDD6EE" w:themeFill="accent1"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WBV</w:t>
            </w:r>
          </w:p>
        </w:tc>
        <w:tc>
          <w:tcPr>
            <w:tcW w:w="1475"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c>
          <w:tcPr>
            <w:tcW w:w="1435"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c>
          <w:tcPr>
            <w:tcW w:w="1459"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0.00)</w:t>
            </w:r>
          </w:p>
        </w:tc>
        <w:tc>
          <w:tcPr>
            <w:tcW w:w="1510" w:type="dxa"/>
            <w:shd w:val="clear" w:color="auto" w:fill="FBE4D5" w:themeFill="accent2" w:themeFillTint="33"/>
            <w:vAlign w:val="center"/>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 xml:space="preserve">-0.01 </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(-0.02, -0.00)</w:t>
            </w:r>
          </w:p>
        </w:tc>
        <w:tc>
          <w:tcPr>
            <w:tcW w:w="1481" w:type="dxa"/>
            <w:shd w:val="clear" w:color="auto" w:fill="FBE4D5" w:themeFill="accent2" w:themeFillTint="33"/>
            <w:vAlign w:val="center"/>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 xml:space="preserve">-0.01 </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(-0.02, -0.00)</w:t>
            </w:r>
          </w:p>
        </w:tc>
      </w:tr>
      <w:tr w:rsidR="00172ABA" w:rsidRPr="006F02F3" w:rsidTr="00172ABA">
        <w:trPr>
          <w:trHeight w:val="636"/>
        </w:trPr>
        <w:tc>
          <w:tcPr>
            <w:tcW w:w="1475"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473"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(-0.02,0.02)</w:t>
            </w:r>
          </w:p>
        </w:tc>
        <w:tc>
          <w:tcPr>
            <w:tcW w:w="1340"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(-0.01,0.03)</w:t>
            </w:r>
          </w:p>
        </w:tc>
        <w:tc>
          <w:tcPr>
            <w:tcW w:w="1480"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475" w:type="dxa"/>
            <w:shd w:val="clear" w:color="auto" w:fill="BDD6EE" w:themeFill="accent1"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MIE</w:t>
            </w:r>
          </w:p>
        </w:tc>
        <w:tc>
          <w:tcPr>
            <w:tcW w:w="1435"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0.02)</w:t>
            </w:r>
          </w:p>
        </w:tc>
        <w:tc>
          <w:tcPr>
            <w:tcW w:w="1459"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c>
          <w:tcPr>
            <w:tcW w:w="1510"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c>
          <w:tcPr>
            <w:tcW w:w="1481"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r>
      <w:tr w:rsidR="00172ABA" w:rsidRPr="006F02F3" w:rsidTr="00172ABA">
        <w:trPr>
          <w:trHeight w:val="650"/>
        </w:trPr>
        <w:tc>
          <w:tcPr>
            <w:tcW w:w="1475"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(-0.01,0.00)</w:t>
            </w:r>
          </w:p>
        </w:tc>
        <w:tc>
          <w:tcPr>
            <w:tcW w:w="1473"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(-0.02,0.02)</w:t>
            </w:r>
          </w:p>
        </w:tc>
        <w:tc>
          <w:tcPr>
            <w:tcW w:w="1340"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(-0.01,0.02)</w:t>
            </w:r>
          </w:p>
        </w:tc>
        <w:tc>
          <w:tcPr>
            <w:tcW w:w="1480"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475"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(-0.02,0.02)</w:t>
            </w:r>
          </w:p>
        </w:tc>
        <w:tc>
          <w:tcPr>
            <w:tcW w:w="1435" w:type="dxa"/>
            <w:shd w:val="clear" w:color="auto" w:fill="BDD6EE" w:themeFill="accent1"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LIE</w:t>
            </w:r>
          </w:p>
        </w:tc>
        <w:tc>
          <w:tcPr>
            <w:tcW w:w="1459"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c>
          <w:tcPr>
            <w:tcW w:w="1510"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0.00)</w:t>
            </w:r>
          </w:p>
        </w:tc>
        <w:tc>
          <w:tcPr>
            <w:tcW w:w="1481"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-0.01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 0.01)</w:t>
            </w:r>
          </w:p>
        </w:tc>
      </w:tr>
      <w:tr w:rsidR="00172ABA" w:rsidRPr="006F02F3" w:rsidTr="00172ABA">
        <w:trPr>
          <w:trHeight w:val="636"/>
        </w:trPr>
        <w:tc>
          <w:tcPr>
            <w:tcW w:w="1475"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(-0.02,0.00)</w:t>
            </w:r>
          </w:p>
        </w:tc>
        <w:tc>
          <w:tcPr>
            <w:tcW w:w="1473"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340"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(-0.01,0.02)</w:t>
            </w:r>
          </w:p>
        </w:tc>
        <w:tc>
          <w:tcPr>
            <w:tcW w:w="1480"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(-0.02,0.00)</w:t>
            </w:r>
          </w:p>
        </w:tc>
        <w:tc>
          <w:tcPr>
            <w:tcW w:w="1475"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435" w:type="dxa"/>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459" w:type="dxa"/>
            <w:shd w:val="clear" w:color="auto" w:fill="BDD6EE" w:themeFill="accent1"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MBE</w:t>
            </w:r>
          </w:p>
        </w:tc>
        <w:tc>
          <w:tcPr>
            <w:tcW w:w="1510"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0.01)</w:t>
            </w:r>
          </w:p>
        </w:tc>
        <w:tc>
          <w:tcPr>
            <w:tcW w:w="1481" w:type="dxa"/>
            <w:shd w:val="clear" w:color="auto" w:fill="FBE4D5" w:themeFill="accent2" w:themeFillTint="33"/>
            <w:vAlign w:val="center"/>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0.01)</w:t>
            </w:r>
          </w:p>
        </w:tc>
      </w:tr>
      <w:tr w:rsidR="00172ABA" w:rsidRPr="006F02F3" w:rsidTr="00172ABA">
        <w:trPr>
          <w:trHeight w:val="650"/>
        </w:trPr>
        <w:tc>
          <w:tcPr>
            <w:tcW w:w="1475"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-0.01</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(-0.02,-0.00)</w:t>
            </w:r>
          </w:p>
        </w:tc>
        <w:tc>
          <w:tcPr>
            <w:tcW w:w="1473"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340"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(-0.01,0.01)</w:t>
            </w:r>
          </w:p>
        </w:tc>
        <w:tc>
          <w:tcPr>
            <w:tcW w:w="1480"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-0.01</w:t>
            </w:r>
          </w:p>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(-0.02,-0.00)</w:t>
            </w:r>
          </w:p>
        </w:tc>
        <w:tc>
          <w:tcPr>
            <w:tcW w:w="1475"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435"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459"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(-0.01,0.01)</w:t>
            </w:r>
          </w:p>
        </w:tc>
        <w:tc>
          <w:tcPr>
            <w:tcW w:w="1510" w:type="dxa"/>
            <w:tcBorders>
              <w:bottom w:val="single" w:sz="4" w:space="0" w:color="auto"/>
            </w:tcBorders>
            <w:shd w:val="clear" w:color="auto" w:fill="BDD6EE" w:themeFill="accent1"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RT</w:t>
            </w:r>
          </w:p>
        </w:tc>
        <w:tc>
          <w:tcPr>
            <w:tcW w:w="1481" w:type="dxa"/>
            <w:tcBorders>
              <w:bottom w:val="single" w:sz="4" w:space="0" w:color="auto"/>
            </w:tcBorders>
            <w:shd w:val="clear" w:color="auto" w:fill="FBE4D5" w:themeFill="accent2" w:themeFillTint="33"/>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 xml:space="preserve">0.00 </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 0.01)</w:t>
            </w:r>
          </w:p>
        </w:tc>
      </w:tr>
      <w:tr w:rsidR="00172ABA" w:rsidRPr="006F02F3" w:rsidTr="00172ABA">
        <w:trPr>
          <w:trHeight w:val="636"/>
        </w:trPr>
        <w:tc>
          <w:tcPr>
            <w:tcW w:w="1475"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b/>
                <w:sz w:val="16"/>
                <w:szCs w:val="16"/>
              </w:rPr>
            </w:pPr>
            <w:r w:rsidRPr="006F02F3">
              <w:rPr>
                <w:rFonts w:ascii="Times New Roman" w:hAnsi="Times New Roman" w:cs="Times New Roman"/>
                <w:b/>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b/>
                <w:sz w:val="16"/>
                <w:szCs w:val="16"/>
              </w:rPr>
              <w:t>(-0.01,-0.00)</w:t>
            </w:r>
          </w:p>
        </w:tc>
        <w:tc>
          <w:tcPr>
            <w:tcW w:w="1473"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(-0.01,0.01)</w:t>
            </w:r>
          </w:p>
        </w:tc>
        <w:tc>
          <w:tcPr>
            <w:tcW w:w="1340"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(-0.01,0.02)</w:t>
            </w:r>
          </w:p>
        </w:tc>
        <w:tc>
          <w:tcPr>
            <w:tcW w:w="1480"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(-0.02,0.00)</w:t>
            </w:r>
          </w:p>
        </w:tc>
        <w:tc>
          <w:tcPr>
            <w:tcW w:w="1475"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(-0.02,0.01)</w:t>
            </w:r>
          </w:p>
        </w:tc>
        <w:tc>
          <w:tcPr>
            <w:tcW w:w="1435"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(-0.01,0.01)</w:t>
            </w:r>
          </w:p>
        </w:tc>
        <w:tc>
          <w:tcPr>
            <w:tcW w:w="1459"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-0.00</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(-0.01,0.01)</w:t>
            </w:r>
          </w:p>
        </w:tc>
        <w:tc>
          <w:tcPr>
            <w:tcW w:w="1510" w:type="dxa"/>
            <w:tcBorders>
              <w:bottom w:val="single" w:sz="4" w:space="0" w:color="auto"/>
            </w:tcBorders>
            <w:shd w:val="clear" w:color="auto" w:fill="FFE599" w:themeFill="accent4"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w:t>
            </w:r>
          </w:p>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(-0.01,0.01)</w:t>
            </w:r>
          </w:p>
        </w:tc>
        <w:tc>
          <w:tcPr>
            <w:tcW w:w="1481" w:type="dxa"/>
            <w:tcBorders>
              <w:bottom w:val="single" w:sz="4" w:space="0" w:color="auto"/>
            </w:tcBorders>
            <w:shd w:val="clear" w:color="auto" w:fill="BDD6EE" w:themeFill="accent1" w:themeFillTint="66"/>
          </w:tcPr>
          <w:p w:rsidR="002E1C7F" w:rsidRPr="006F02F3" w:rsidRDefault="002E1C7F" w:rsidP="00172ABA">
            <w:pPr>
              <w:rPr>
                <w:rFonts w:ascii="Times New Roman" w:hAnsi="Times New Roman" w:cs="Times New Roman"/>
                <w:sz w:val="16"/>
                <w:szCs w:val="16"/>
              </w:rPr>
            </w:pPr>
            <w:r w:rsidRPr="006F02F3">
              <w:rPr>
                <w:rFonts w:ascii="Times New Roman" w:hAnsi="Times New Roman" w:cs="Times New Roman"/>
                <w:sz w:val="16"/>
                <w:szCs w:val="16"/>
              </w:rPr>
              <w:t>ME</w:t>
            </w:r>
          </w:p>
        </w:tc>
      </w:tr>
      <w:tr w:rsidR="002E1C7F" w:rsidRPr="006F02F3" w:rsidTr="00172ABA">
        <w:trPr>
          <w:trHeight w:val="976"/>
        </w:trPr>
        <w:tc>
          <w:tcPr>
            <w:tcW w:w="13128" w:type="dxa"/>
            <w:gridSpan w:val="9"/>
            <w:tcBorders>
              <w:top w:val="single" w:sz="4" w:space="0" w:color="auto"/>
              <w:left w:val="nil"/>
              <w:bottom w:val="nil"/>
              <w:right w:val="nil"/>
            </w:tcBorders>
            <w:shd w:val="clear" w:color="auto" w:fill="auto"/>
          </w:tcPr>
          <w:p w:rsidR="002E1C7F" w:rsidRPr="00BF24B6" w:rsidRDefault="002E1C7F" w:rsidP="00172ABA">
            <w:pPr>
              <w:rPr>
                <w:rFonts w:ascii="Times New Roman" w:hAnsi="Times New Roman" w:cs="Times New Roman"/>
                <w:sz w:val="20"/>
                <w:szCs w:val="20"/>
              </w:rPr>
            </w:pPr>
            <w:r w:rsidRPr="00BF24B6">
              <w:rPr>
                <w:rFonts w:ascii="Times New Roman" w:hAnsi="Times New Roman" w:cs="Times New Roman"/>
                <w:sz w:val="20"/>
                <w:szCs w:val="20"/>
              </w:rPr>
              <w:t>Summary estimates from the network meta-analysis are shown in lower left triangle, and summary estimates after excluding low quality studies in upper right triangle. Each cell shows a mean difference (MD), with a 95 % CI in parentheses . For any cell, a negative MD favours the lower-right intervention, and a positive SMD favours the upper-left intervention. Significant results in bold text.</w:t>
            </w:r>
          </w:p>
        </w:tc>
      </w:tr>
    </w:tbl>
    <w:p w:rsidR="002E1C7F" w:rsidRPr="002E1C7F" w:rsidRDefault="002E1C7F" w:rsidP="00DC4C68">
      <w:pPr>
        <w:autoSpaceDE w:val="0"/>
        <w:autoSpaceDN w:val="0"/>
        <w:adjustRightInd w:val="0"/>
        <w:jc w:val="left"/>
        <w:rPr>
          <w:rFonts w:ascii="Times New Roman" w:hAnsi="Times New Roman" w:cs="Times New Roman"/>
          <w:color w:val="000000"/>
          <w:sz w:val="24"/>
          <w:szCs w:val="24"/>
        </w:rPr>
        <w:sectPr w:rsidR="002E1C7F" w:rsidRPr="002E1C7F" w:rsidSect="002E1C7F">
          <w:pgSz w:w="16838" w:h="11906" w:orient="landscape"/>
          <w:pgMar w:top="1800" w:right="1440" w:bottom="1800" w:left="1440" w:header="851" w:footer="992" w:gutter="0"/>
          <w:cols w:space="425"/>
          <w:docGrid w:type="lines" w:linePitch="312"/>
        </w:sectPr>
      </w:pPr>
    </w:p>
    <w:p w:rsidR="00891993" w:rsidRPr="00172ABA" w:rsidRDefault="00284105" w:rsidP="00172ABA">
      <w:pPr>
        <w:pStyle w:val="2"/>
        <w:rPr>
          <w:rFonts w:ascii="Times New Roman" w:hAnsi="Times New Roman" w:cs="Times New Roman"/>
          <w:sz w:val="24"/>
          <w:szCs w:val="24"/>
        </w:rPr>
      </w:pPr>
      <w:bookmarkStart w:id="58" w:name="_Toc74521934"/>
      <w:r w:rsidRPr="00172ABA">
        <w:rPr>
          <w:rFonts w:ascii="Times New Roman" w:hAnsi="Times New Roman" w:cs="Times New Roman" w:hint="eastAsia"/>
          <w:sz w:val="24"/>
          <w:szCs w:val="24"/>
        </w:rPr>
        <w:lastRenderedPageBreak/>
        <w:t>A</w:t>
      </w:r>
      <w:r w:rsidRPr="00172ABA">
        <w:rPr>
          <w:rFonts w:ascii="Times New Roman" w:hAnsi="Times New Roman" w:cs="Times New Roman"/>
          <w:sz w:val="24"/>
          <w:szCs w:val="24"/>
        </w:rPr>
        <w:t xml:space="preserve">ppendix 12.1: </w:t>
      </w:r>
      <w:r w:rsidR="00DB398B" w:rsidRPr="00172ABA">
        <w:rPr>
          <w:rFonts w:ascii="Times New Roman" w:hAnsi="Times New Roman" w:cs="Times New Roman"/>
          <w:sz w:val="24"/>
          <w:szCs w:val="24"/>
        </w:rPr>
        <w:t xml:space="preserve">Relative effect estimates for the contrasts between the different interventions and control arms on BMD at LS </w:t>
      </w:r>
      <w:r w:rsidR="00833882" w:rsidRPr="00172ABA">
        <w:rPr>
          <w:rFonts w:ascii="Times New Roman" w:hAnsi="Times New Roman" w:cs="Times New Roman"/>
          <w:sz w:val="24"/>
          <w:szCs w:val="24"/>
        </w:rPr>
        <w:t>in participants with age no less than 60</w:t>
      </w:r>
      <w:bookmarkEnd w:id="58"/>
    </w:p>
    <w:tbl>
      <w:tblPr>
        <w:tblStyle w:val="a3"/>
        <w:tblpPr w:leftFromText="180" w:rightFromText="180" w:vertAnchor="page" w:horzAnchor="margin" w:tblpXSpec="center" w:tblpY="4235"/>
        <w:tblW w:w="10097" w:type="dxa"/>
        <w:tblLayout w:type="fixed"/>
        <w:tblLook w:val="04A0" w:firstRow="1" w:lastRow="0" w:firstColumn="1" w:lastColumn="0" w:noHBand="0" w:noVBand="1"/>
      </w:tblPr>
      <w:tblGrid>
        <w:gridCol w:w="1139"/>
        <w:gridCol w:w="1250"/>
        <w:gridCol w:w="1141"/>
        <w:gridCol w:w="1137"/>
        <w:gridCol w:w="1136"/>
        <w:gridCol w:w="1132"/>
        <w:gridCol w:w="1137"/>
        <w:gridCol w:w="1015"/>
        <w:gridCol w:w="1010"/>
      </w:tblGrid>
      <w:tr w:rsidR="00833882" w:rsidRPr="00DB2124" w:rsidTr="002E5241">
        <w:trPr>
          <w:trHeight w:val="512"/>
        </w:trPr>
        <w:tc>
          <w:tcPr>
            <w:tcW w:w="1139" w:type="dxa"/>
            <w:tcBorders>
              <w:right w:val="single" w:sz="4" w:space="0" w:color="auto"/>
            </w:tcBorders>
            <w:shd w:val="clear" w:color="auto" w:fill="BDD6EE" w:themeFill="accent1" w:themeFillTint="66"/>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Control</w:t>
            </w:r>
          </w:p>
        </w:tc>
        <w:tc>
          <w:tcPr>
            <w:tcW w:w="1250" w:type="dxa"/>
            <w:tcBorders>
              <w:top w:val="nil"/>
              <w:left w:val="single" w:sz="4" w:space="0" w:color="auto"/>
              <w:bottom w:val="single" w:sz="4" w:space="0" w:color="auto"/>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41"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7"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6"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2"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7"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5"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0"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r>
      <w:tr w:rsidR="00833882" w:rsidRPr="00DB2124" w:rsidTr="002E5241">
        <w:trPr>
          <w:trHeight w:val="571"/>
        </w:trPr>
        <w:tc>
          <w:tcPr>
            <w:tcW w:w="1139" w:type="dxa"/>
            <w:shd w:val="clear" w:color="auto" w:fill="FFE599" w:themeFill="accent4" w:themeFillTint="66"/>
            <w:vAlign w:val="center"/>
          </w:tcPr>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 xml:space="preserve">-0.00 </w:t>
            </w:r>
          </w:p>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(-0.01, 0.01)</w:t>
            </w:r>
          </w:p>
        </w:tc>
        <w:tc>
          <w:tcPr>
            <w:tcW w:w="1250" w:type="dxa"/>
            <w:tcBorders>
              <w:top w:val="single" w:sz="4" w:space="0" w:color="auto"/>
              <w:right w:val="single" w:sz="4" w:space="0" w:color="auto"/>
            </w:tcBorders>
            <w:shd w:val="clear" w:color="auto" w:fill="BDD6EE" w:themeFill="accent1" w:themeFillTint="66"/>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WE</w:t>
            </w:r>
          </w:p>
        </w:tc>
        <w:tc>
          <w:tcPr>
            <w:tcW w:w="1141" w:type="dxa"/>
            <w:tcBorders>
              <w:top w:val="nil"/>
              <w:left w:val="single" w:sz="4" w:space="0" w:color="auto"/>
              <w:bottom w:val="single" w:sz="4" w:space="0" w:color="auto"/>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7"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6"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2"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7"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5"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0"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r>
      <w:tr w:rsidR="00833882" w:rsidRPr="00DB2124" w:rsidTr="002E5241">
        <w:trPr>
          <w:trHeight w:val="571"/>
        </w:trPr>
        <w:tc>
          <w:tcPr>
            <w:tcW w:w="1139"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-0.02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(-0.04, 0.00)</w:t>
            </w:r>
          </w:p>
        </w:tc>
        <w:tc>
          <w:tcPr>
            <w:tcW w:w="1250" w:type="dxa"/>
            <w:shd w:val="clear" w:color="auto" w:fill="FFE599" w:themeFill="accent4" w:themeFillTint="66"/>
            <w:vAlign w:val="center"/>
          </w:tcPr>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-0.02</w:t>
            </w:r>
          </w:p>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 xml:space="preserve"> (-0.04, 0.01)</w:t>
            </w:r>
          </w:p>
        </w:tc>
        <w:tc>
          <w:tcPr>
            <w:tcW w:w="1141" w:type="dxa"/>
            <w:tcBorders>
              <w:top w:val="single" w:sz="4" w:space="0" w:color="auto"/>
              <w:right w:val="single" w:sz="4" w:space="0" w:color="auto"/>
            </w:tcBorders>
            <w:shd w:val="clear" w:color="auto" w:fill="BDD6EE" w:themeFill="accent1" w:themeFillTint="66"/>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FE</w:t>
            </w:r>
          </w:p>
        </w:tc>
        <w:tc>
          <w:tcPr>
            <w:tcW w:w="1137" w:type="dxa"/>
            <w:tcBorders>
              <w:top w:val="nil"/>
              <w:left w:val="single" w:sz="4" w:space="0" w:color="auto"/>
              <w:bottom w:val="single" w:sz="4" w:space="0" w:color="auto"/>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6"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2"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7"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5"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0"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r>
      <w:tr w:rsidR="00833882" w:rsidRPr="00DB2124" w:rsidTr="002E5241">
        <w:trPr>
          <w:trHeight w:val="571"/>
        </w:trPr>
        <w:tc>
          <w:tcPr>
            <w:tcW w:w="1139" w:type="dxa"/>
            <w:shd w:val="clear" w:color="auto" w:fill="FFE599" w:themeFill="accent4" w:themeFillTint="66"/>
            <w:vAlign w:val="center"/>
          </w:tcPr>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 xml:space="preserve">-0.01 </w:t>
            </w:r>
          </w:p>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(-0.02, -0.00)</w:t>
            </w:r>
          </w:p>
        </w:tc>
        <w:tc>
          <w:tcPr>
            <w:tcW w:w="1250" w:type="dxa"/>
            <w:shd w:val="clear" w:color="auto" w:fill="FFE599" w:themeFill="accent4" w:themeFillTint="66"/>
            <w:vAlign w:val="center"/>
          </w:tcPr>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 xml:space="preserve">-0.01 </w:t>
            </w:r>
          </w:p>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(-0.02, -0.00)</w:t>
            </w:r>
          </w:p>
        </w:tc>
        <w:tc>
          <w:tcPr>
            <w:tcW w:w="1141" w:type="dxa"/>
            <w:shd w:val="clear" w:color="auto" w:fill="FFE599" w:themeFill="accent4" w:themeFillTint="66"/>
            <w:vAlign w:val="center"/>
          </w:tcPr>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0.01</w:t>
            </w:r>
          </w:p>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 xml:space="preserve"> (-0.02, 0.03)</w:t>
            </w:r>
          </w:p>
        </w:tc>
        <w:tc>
          <w:tcPr>
            <w:tcW w:w="1137" w:type="dxa"/>
            <w:tcBorders>
              <w:top w:val="single" w:sz="4" w:space="0" w:color="auto"/>
              <w:right w:val="single" w:sz="4" w:space="0" w:color="auto"/>
            </w:tcBorders>
            <w:shd w:val="clear" w:color="auto" w:fill="BDD6EE" w:themeFill="accent1" w:themeFillTint="66"/>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WBV</w:t>
            </w:r>
          </w:p>
        </w:tc>
        <w:tc>
          <w:tcPr>
            <w:tcW w:w="1136" w:type="dxa"/>
            <w:tcBorders>
              <w:top w:val="nil"/>
              <w:left w:val="single" w:sz="4" w:space="0" w:color="auto"/>
              <w:bottom w:val="single" w:sz="4" w:space="0" w:color="auto"/>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2"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7"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5"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0"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r>
      <w:tr w:rsidR="00833882" w:rsidRPr="00DB2124" w:rsidTr="002E5241">
        <w:trPr>
          <w:trHeight w:val="571"/>
        </w:trPr>
        <w:tc>
          <w:tcPr>
            <w:tcW w:w="1139"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(-0.02, 0.01)</w:t>
            </w:r>
          </w:p>
        </w:tc>
        <w:tc>
          <w:tcPr>
            <w:tcW w:w="1250"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-0.00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(-0.02, 0.01)</w:t>
            </w:r>
          </w:p>
        </w:tc>
        <w:tc>
          <w:tcPr>
            <w:tcW w:w="1141"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0.02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(-0.01, 0.04)</w:t>
            </w:r>
          </w:p>
        </w:tc>
        <w:tc>
          <w:tcPr>
            <w:tcW w:w="1137" w:type="dxa"/>
            <w:shd w:val="clear" w:color="auto" w:fill="FFE599" w:themeFill="accent4" w:themeFillTint="66"/>
            <w:vAlign w:val="center"/>
          </w:tcPr>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(-0.01, 0.03)</w:t>
            </w:r>
          </w:p>
        </w:tc>
        <w:tc>
          <w:tcPr>
            <w:tcW w:w="1136" w:type="dxa"/>
            <w:tcBorders>
              <w:top w:val="single" w:sz="4" w:space="0" w:color="auto"/>
              <w:right w:val="single" w:sz="4" w:space="0" w:color="auto"/>
            </w:tcBorders>
            <w:shd w:val="clear" w:color="auto" w:fill="BDD6EE" w:themeFill="accent1" w:themeFillTint="66"/>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MIE</w:t>
            </w:r>
          </w:p>
        </w:tc>
        <w:tc>
          <w:tcPr>
            <w:tcW w:w="1132" w:type="dxa"/>
            <w:tcBorders>
              <w:top w:val="nil"/>
              <w:left w:val="single" w:sz="4" w:space="0" w:color="auto"/>
              <w:bottom w:val="single" w:sz="4" w:space="0" w:color="auto"/>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137"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5"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0"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r>
      <w:tr w:rsidR="00833882" w:rsidRPr="00DB2124" w:rsidTr="002E5241">
        <w:trPr>
          <w:trHeight w:val="571"/>
        </w:trPr>
        <w:tc>
          <w:tcPr>
            <w:tcW w:w="1139" w:type="dxa"/>
            <w:shd w:val="clear" w:color="auto" w:fill="FFE599" w:themeFill="accent4" w:themeFillTint="66"/>
            <w:vAlign w:val="center"/>
          </w:tcPr>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 xml:space="preserve">-0.01 </w:t>
            </w:r>
          </w:p>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(-0.02, -0.00)</w:t>
            </w:r>
          </w:p>
        </w:tc>
        <w:tc>
          <w:tcPr>
            <w:tcW w:w="1250"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(-0.02, 0.01)</w:t>
            </w:r>
          </w:p>
        </w:tc>
        <w:tc>
          <w:tcPr>
            <w:tcW w:w="1141"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(-0.01, 0.04)</w:t>
            </w:r>
          </w:p>
        </w:tc>
        <w:tc>
          <w:tcPr>
            <w:tcW w:w="1137"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0.00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(-0.01, 0.02)</w:t>
            </w:r>
          </w:p>
        </w:tc>
        <w:tc>
          <w:tcPr>
            <w:tcW w:w="1136" w:type="dxa"/>
            <w:shd w:val="clear" w:color="auto" w:fill="FFE599" w:themeFill="accent4" w:themeFillTint="66"/>
            <w:vAlign w:val="center"/>
          </w:tcPr>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 xml:space="preserve">-0.00 </w:t>
            </w:r>
          </w:p>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(-0.02, 0.02)</w:t>
            </w:r>
          </w:p>
        </w:tc>
        <w:tc>
          <w:tcPr>
            <w:tcW w:w="1132" w:type="dxa"/>
            <w:tcBorders>
              <w:top w:val="single" w:sz="4" w:space="0" w:color="auto"/>
              <w:right w:val="single" w:sz="4" w:space="0" w:color="auto"/>
            </w:tcBorders>
            <w:shd w:val="clear" w:color="auto" w:fill="BDD6EE" w:themeFill="accent1" w:themeFillTint="66"/>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LIE</w:t>
            </w:r>
          </w:p>
        </w:tc>
        <w:tc>
          <w:tcPr>
            <w:tcW w:w="1137" w:type="dxa"/>
            <w:tcBorders>
              <w:top w:val="nil"/>
              <w:left w:val="single" w:sz="4" w:space="0" w:color="auto"/>
              <w:bottom w:val="single" w:sz="4" w:space="0" w:color="auto"/>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5"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0"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r>
      <w:tr w:rsidR="00833882" w:rsidRPr="00DB2124" w:rsidTr="002E5241">
        <w:trPr>
          <w:trHeight w:val="571"/>
        </w:trPr>
        <w:tc>
          <w:tcPr>
            <w:tcW w:w="1139"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0.00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(-0.01, 0.02)</w:t>
            </w:r>
          </w:p>
        </w:tc>
        <w:tc>
          <w:tcPr>
            <w:tcW w:w="1250"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0.00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(-0.02, 0.03)</w:t>
            </w:r>
          </w:p>
        </w:tc>
        <w:tc>
          <w:tcPr>
            <w:tcW w:w="1141"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0.02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(-0.00, 0.05)</w:t>
            </w:r>
          </w:p>
        </w:tc>
        <w:tc>
          <w:tcPr>
            <w:tcW w:w="1137"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0.02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(-0.00, 0.04)</w:t>
            </w:r>
          </w:p>
        </w:tc>
        <w:tc>
          <w:tcPr>
            <w:tcW w:w="1136"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(-0.01, 0.03)</w:t>
            </w:r>
          </w:p>
        </w:tc>
        <w:tc>
          <w:tcPr>
            <w:tcW w:w="1132" w:type="dxa"/>
            <w:shd w:val="clear" w:color="auto" w:fill="FFE599" w:themeFill="accent4" w:themeFillTint="66"/>
            <w:vAlign w:val="center"/>
          </w:tcPr>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(-0.01, 0.03)</w:t>
            </w:r>
          </w:p>
        </w:tc>
        <w:tc>
          <w:tcPr>
            <w:tcW w:w="1137" w:type="dxa"/>
            <w:tcBorders>
              <w:top w:val="single" w:sz="4" w:space="0" w:color="auto"/>
              <w:right w:val="single" w:sz="4" w:space="0" w:color="auto"/>
            </w:tcBorders>
            <w:shd w:val="clear" w:color="auto" w:fill="BDD6EE" w:themeFill="accent1" w:themeFillTint="66"/>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MBE</w:t>
            </w:r>
          </w:p>
        </w:tc>
        <w:tc>
          <w:tcPr>
            <w:tcW w:w="1015" w:type="dxa"/>
            <w:tcBorders>
              <w:top w:val="nil"/>
              <w:left w:val="single" w:sz="4" w:space="0" w:color="auto"/>
              <w:bottom w:val="single" w:sz="4" w:space="0" w:color="auto"/>
              <w:right w:val="nil"/>
            </w:tcBorders>
            <w:shd w:val="clear" w:color="auto" w:fill="auto"/>
          </w:tcPr>
          <w:p w:rsidR="00833882" w:rsidRPr="00833882" w:rsidRDefault="00833882" w:rsidP="002E5241">
            <w:pPr>
              <w:rPr>
                <w:rFonts w:ascii="Times New Roman" w:hAnsi="Times New Roman" w:cs="Times New Roman"/>
                <w:sz w:val="16"/>
                <w:szCs w:val="16"/>
              </w:rPr>
            </w:pPr>
          </w:p>
        </w:tc>
        <w:tc>
          <w:tcPr>
            <w:tcW w:w="1010" w:type="dxa"/>
            <w:tcBorders>
              <w:top w:val="nil"/>
              <w:left w:val="nil"/>
              <w:bottom w:val="nil"/>
              <w:right w:val="nil"/>
            </w:tcBorders>
            <w:shd w:val="clear" w:color="auto" w:fill="auto"/>
          </w:tcPr>
          <w:p w:rsidR="00833882" w:rsidRPr="00833882" w:rsidRDefault="00833882" w:rsidP="002E5241">
            <w:pPr>
              <w:rPr>
                <w:rFonts w:ascii="Times New Roman" w:hAnsi="Times New Roman" w:cs="Times New Roman"/>
                <w:sz w:val="16"/>
                <w:szCs w:val="16"/>
              </w:rPr>
            </w:pPr>
          </w:p>
        </w:tc>
      </w:tr>
      <w:tr w:rsidR="00833882" w:rsidRPr="00DB2124" w:rsidTr="002E5241">
        <w:trPr>
          <w:trHeight w:val="571"/>
        </w:trPr>
        <w:tc>
          <w:tcPr>
            <w:tcW w:w="1139" w:type="dxa"/>
            <w:shd w:val="clear" w:color="auto" w:fill="FFE599" w:themeFill="accent4" w:themeFillTint="66"/>
            <w:vAlign w:val="center"/>
          </w:tcPr>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 xml:space="preserve">-0.01 </w:t>
            </w:r>
          </w:p>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(-0.01, -0.00)</w:t>
            </w:r>
          </w:p>
        </w:tc>
        <w:tc>
          <w:tcPr>
            <w:tcW w:w="1250"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(-0.02, 0.01)</w:t>
            </w:r>
          </w:p>
        </w:tc>
        <w:tc>
          <w:tcPr>
            <w:tcW w:w="1141"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(-0.01, 0.03)</w:t>
            </w:r>
          </w:p>
        </w:tc>
        <w:tc>
          <w:tcPr>
            <w:tcW w:w="1137"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(-0.01, 0.02)</w:t>
            </w:r>
          </w:p>
        </w:tc>
        <w:tc>
          <w:tcPr>
            <w:tcW w:w="1136"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-0.00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(-0.02, 0.02)</w:t>
            </w:r>
          </w:p>
        </w:tc>
        <w:tc>
          <w:tcPr>
            <w:tcW w:w="1132"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0.00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(-0.01, 0.01)</w:t>
            </w:r>
          </w:p>
        </w:tc>
        <w:tc>
          <w:tcPr>
            <w:tcW w:w="1137" w:type="dxa"/>
            <w:shd w:val="clear" w:color="auto" w:fill="FFE599" w:themeFill="accent4" w:themeFillTint="66"/>
            <w:vAlign w:val="center"/>
          </w:tcPr>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widowControl/>
              <w:jc w:val="left"/>
              <w:rPr>
                <w:rFonts w:ascii="Times New Roman" w:hAnsi="Times New Roman" w:cs="Times New Roman"/>
                <w:sz w:val="16"/>
                <w:szCs w:val="16"/>
              </w:rPr>
            </w:pPr>
            <w:r w:rsidRPr="00833882">
              <w:rPr>
                <w:rFonts w:ascii="Times New Roman" w:hAnsi="Times New Roman" w:cs="Times New Roman"/>
                <w:sz w:val="16"/>
                <w:szCs w:val="16"/>
              </w:rPr>
              <w:t>(-0.03, 0.01)</w:t>
            </w:r>
          </w:p>
        </w:tc>
        <w:tc>
          <w:tcPr>
            <w:tcW w:w="1015" w:type="dxa"/>
            <w:tcBorders>
              <w:top w:val="single" w:sz="4" w:space="0" w:color="auto"/>
              <w:right w:val="single" w:sz="4" w:space="0" w:color="auto"/>
            </w:tcBorders>
            <w:shd w:val="clear" w:color="auto" w:fill="BDD6EE" w:themeFill="accent1" w:themeFillTint="66"/>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RT</w:t>
            </w:r>
          </w:p>
        </w:tc>
        <w:tc>
          <w:tcPr>
            <w:tcW w:w="1010" w:type="dxa"/>
            <w:tcBorders>
              <w:top w:val="nil"/>
              <w:left w:val="single" w:sz="4" w:space="0" w:color="auto"/>
              <w:bottom w:val="single" w:sz="4" w:space="0" w:color="auto"/>
              <w:right w:val="nil"/>
            </w:tcBorders>
            <w:shd w:val="clear" w:color="auto" w:fill="auto"/>
          </w:tcPr>
          <w:p w:rsidR="00833882" w:rsidRPr="00833882" w:rsidRDefault="00833882" w:rsidP="002E5241">
            <w:pPr>
              <w:rPr>
                <w:rFonts w:ascii="Times New Roman" w:hAnsi="Times New Roman" w:cs="Times New Roman"/>
                <w:sz w:val="16"/>
                <w:szCs w:val="16"/>
              </w:rPr>
            </w:pPr>
          </w:p>
        </w:tc>
      </w:tr>
      <w:tr w:rsidR="00833882" w:rsidRPr="00DB2124" w:rsidTr="002E5241">
        <w:trPr>
          <w:trHeight w:val="571"/>
        </w:trPr>
        <w:tc>
          <w:tcPr>
            <w:tcW w:w="1139" w:type="dxa"/>
            <w:shd w:val="clear" w:color="auto" w:fill="FFE599" w:themeFill="accent4" w:themeFillTint="66"/>
            <w:vAlign w:val="center"/>
          </w:tcPr>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 xml:space="preserve">-0.02 </w:t>
            </w:r>
          </w:p>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(-0.03, -0.01)</w:t>
            </w:r>
          </w:p>
        </w:tc>
        <w:tc>
          <w:tcPr>
            <w:tcW w:w="1250" w:type="dxa"/>
            <w:shd w:val="clear" w:color="auto" w:fill="FFE599" w:themeFill="accent4" w:themeFillTint="66"/>
            <w:vAlign w:val="center"/>
          </w:tcPr>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 xml:space="preserve">-0.01 </w:t>
            </w:r>
          </w:p>
          <w:p w:rsidR="00833882" w:rsidRPr="00833882" w:rsidRDefault="00833882" w:rsidP="002E5241">
            <w:pPr>
              <w:rPr>
                <w:rFonts w:ascii="Times New Roman" w:hAnsi="Times New Roman" w:cs="Times New Roman"/>
                <w:b/>
                <w:sz w:val="16"/>
                <w:szCs w:val="16"/>
              </w:rPr>
            </w:pPr>
            <w:r w:rsidRPr="00833882">
              <w:rPr>
                <w:rFonts w:ascii="Times New Roman" w:hAnsi="Times New Roman" w:cs="Times New Roman"/>
                <w:b/>
                <w:sz w:val="16"/>
                <w:szCs w:val="16"/>
              </w:rPr>
              <w:t>(-0.02, -0.00)</w:t>
            </w:r>
          </w:p>
        </w:tc>
        <w:tc>
          <w:tcPr>
            <w:tcW w:w="1141"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(-0.02, 0.03)</w:t>
            </w:r>
          </w:p>
        </w:tc>
        <w:tc>
          <w:tcPr>
            <w:tcW w:w="1137"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-0.00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(-0.01, 0.01)</w:t>
            </w:r>
          </w:p>
        </w:tc>
        <w:tc>
          <w:tcPr>
            <w:tcW w:w="1136"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(-0.03, 0.01)</w:t>
            </w:r>
          </w:p>
        </w:tc>
        <w:tc>
          <w:tcPr>
            <w:tcW w:w="1132"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(-0.02, 0.00)</w:t>
            </w:r>
          </w:p>
        </w:tc>
        <w:tc>
          <w:tcPr>
            <w:tcW w:w="1137" w:type="dxa"/>
            <w:shd w:val="clear" w:color="auto" w:fill="FFE599" w:themeFill="accent4" w:themeFillTint="66"/>
            <w:vAlign w:val="center"/>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 xml:space="preserve">-0.02 </w:t>
            </w:r>
          </w:p>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(-0.04, 0.00)</w:t>
            </w:r>
          </w:p>
        </w:tc>
        <w:tc>
          <w:tcPr>
            <w:tcW w:w="1015" w:type="dxa"/>
            <w:shd w:val="clear" w:color="auto" w:fill="FFE599" w:themeFill="accent4" w:themeFillTint="66"/>
          </w:tcPr>
          <w:p w:rsidR="00833882" w:rsidRPr="00833882" w:rsidRDefault="00833882" w:rsidP="002E5241">
            <w:pPr>
              <w:widowControl/>
              <w:rPr>
                <w:rFonts w:ascii="Times New Roman" w:hAnsi="Times New Roman" w:cs="Times New Roman"/>
                <w:sz w:val="16"/>
                <w:szCs w:val="16"/>
              </w:rPr>
            </w:pPr>
            <w:r w:rsidRPr="00833882">
              <w:rPr>
                <w:rFonts w:ascii="Times New Roman" w:hAnsi="Times New Roman" w:cs="Times New Roman"/>
                <w:sz w:val="16"/>
                <w:szCs w:val="16"/>
              </w:rPr>
              <w:t xml:space="preserve">-0.01 </w:t>
            </w:r>
          </w:p>
          <w:p w:rsidR="00833882" w:rsidRPr="00833882" w:rsidRDefault="00833882" w:rsidP="002E5241">
            <w:pPr>
              <w:widowControl/>
              <w:rPr>
                <w:rFonts w:ascii="Times New Roman" w:hAnsi="Times New Roman" w:cs="Times New Roman"/>
                <w:sz w:val="16"/>
                <w:szCs w:val="16"/>
              </w:rPr>
            </w:pPr>
            <w:r w:rsidRPr="00833882">
              <w:rPr>
                <w:rFonts w:ascii="Times New Roman" w:hAnsi="Times New Roman" w:cs="Times New Roman"/>
                <w:sz w:val="16"/>
                <w:szCs w:val="16"/>
              </w:rPr>
              <w:t>(-0.02, 0.00)</w:t>
            </w:r>
          </w:p>
        </w:tc>
        <w:tc>
          <w:tcPr>
            <w:tcW w:w="1010" w:type="dxa"/>
            <w:tcBorders>
              <w:top w:val="single" w:sz="4" w:space="0" w:color="auto"/>
              <w:right w:val="single" w:sz="4" w:space="0" w:color="auto"/>
            </w:tcBorders>
            <w:shd w:val="clear" w:color="auto" w:fill="BDD6EE" w:themeFill="accent1" w:themeFillTint="66"/>
          </w:tcPr>
          <w:p w:rsidR="00833882" w:rsidRPr="00833882" w:rsidRDefault="00833882" w:rsidP="002E5241">
            <w:pPr>
              <w:rPr>
                <w:rFonts w:ascii="Times New Roman" w:hAnsi="Times New Roman" w:cs="Times New Roman"/>
                <w:sz w:val="16"/>
                <w:szCs w:val="16"/>
              </w:rPr>
            </w:pPr>
            <w:r w:rsidRPr="00833882">
              <w:rPr>
                <w:rFonts w:ascii="Times New Roman" w:hAnsi="Times New Roman" w:cs="Times New Roman"/>
                <w:sz w:val="16"/>
                <w:szCs w:val="16"/>
              </w:rPr>
              <w:t>ME</w:t>
            </w:r>
          </w:p>
        </w:tc>
      </w:tr>
    </w:tbl>
    <w:p w:rsidR="00833882" w:rsidRDefault="00833882">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tbl>
      <w:tblPr>
        <w:tblStyle w:val="a3"/>
        <w:tblpPr w:leftFromText="180" w:rightFromText="180" w:vertAnchor="page" w:horzAnchor="margin" w:tblpXSpec="center" w:tblpY="3494"/>
        <w:tblW w:w="10343" w:type="dxa"/>
        <w:tblLook w:val="04A0" w:firstRow="1" w:lastRow="0" w:firstColumn="1" w:lastColumn="0" w:noHBand="0" w:noVBand="1"/>
      </w:tblPr>
      <w:tblGrid>
        <w:gridCol w:w="1271"/>
        <w:gridCol w:w="1276"/>
        <w:gridCol w:w="1134"/>
        <w:gridCol w:w="992"/>
        <w:gridCol w:w="1276"/>
        <w:gridCol w:w="1276"/>
        <w:gridCol w:w="1134"/>
        <w:gridCol w:w="1134"/>
        <w:gridCol w:w="850"/>
      </w:tblGrid>
      <w:tr w:rsidR="007F7EED" w:rsidRPr="00D94686" w:rsidTr="00444961">
        <w:trPr>
          <w:trHeight w:val="841"/>
        </w:trPr>
        <w:tc>
          <w:tcPr>
            <w:tcW w:w="1271" w:type="dxa"/>
            <w:tcBorders>
              <w:right w:val="single" w:sz="4" w:space="0" w:color="auto"/>
            </w:tcBorders>
            <w:shd w:val="clear" w:color="auto" w:fill="BDD6EE" w:themeFill="accent1"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lastRenderedPageBreak/>
              <w:t>Control</w:t>
            </w:r>
          </w:p>
        </w:tc>
        <w:tc>
          <w:tcPr>
            <w:tcW w:w="1276" w:type="dxa"/>
            <w:tcBorders>
              <w:top w:val="nil"/>
              <w:left w:val="single" w:sz="4" w:space="0" w:color="auto"/>
              <w:bottom w:val="single" w:sz="4" w:space="0" w:color="auto"/>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b/>
                <w:sz w:val="16"/>
                <w:szCs w:val="16"/>
              </w:rPr>
            </w:pPr>
          </w:p>
        </w:tc>
        <w:tc>
          <w:tcPr>
            <w:tcW w:w="850"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r>
      <w:tr w:rsidR="007F7EED" w:rsidRPr="00D94686" w:rsidTr="00444961">
        <w:trPr>
          <w:trHeight w:val="806"/>
        </w:trPr>
        <w:tc>
          <w:tcPr>
            <w:tcW w:w="1271"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(-0.07,0.01)</w:t>
            </w:r>
          </w:p>
        </w:tc>
        <w:tc>
          <w:tcPr>
            <w:tcW w:w="1276" w:type="dxa"/>
            <w:tcBorders>
              <w:top w:val="single" w:sz="4" w:space="0" w:color="auto"/>
              <w:right w:val="single" w:sz="4" w:space="0" w:color="auto"/>
            </w:tcBorders>
            <w:shd w:val="clear" w:color="auto" w:fill="BDD6EE" w:themeFill="accent1"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WE</w:t>
            </w:r>
          </w:p>
        </w:tc>
        <w:tc>
          <w:tcPr>
            <w:tcW w:w="1134" w:type="dxa"/>
            <w:tcBorders>
              <w:top w:val="nil"/>
              <w:left w:val="single" w:sz="4" w:space="0" w:color="auto"/>
              <w:bottom w:val="single" w:sz="4" w:space="0" w:color="auto"/>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850"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r>
      <w:tr w:rsidR="007F7EED" w:rsidRPr="00D94686" w:rsidTr="00444961">
        <w:trPr>
          <w:trHeight w:val="872"/>
        </w:trPr>
        <w:tc>
          <w:tcPr>
            <w:tcW w:w="1271"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0.00</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(-0.03,0.03)</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(-0.02,0.08)</w:t>
            </w:r>
          </w:p>
        </w:tc>
        <w:tc>
          <w:tcPr>
            <w:tcW w:w="1134" w:type="dxa"/>
            <w:tcBorders>
              <w:top w:val="single" w:sz="4" w:space="0" w:color="auto"/>
              <w:right w:val="single" w:sz="4" w:space="0" w:color="auto"/>
            </w:tcBorders>
            <w:shd w:val="clear" w:color="auto" w:fill="BDD6EE" w:themeFill="accent1"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FE</w:t>
            </w:r>
          </w:p>
        </w:tc>
        <w:tc>
          <w:tcPr>
            <w:tcW w:w="992" w:type="dxa"/>
            <w:tcBorders>
              <w:top w:val="nil"/>
              <w:left w:val="single" w:sz="4" w:space="0" w:color="auto"/>
              <w:bottom w:val="single" w:sz="4" w:space="0" w:color="auto"/>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850"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r>
      <w:tr w:rsidR="007F7EED" w:rsidRPr="00D94686" w:rsidTr="00444961">
        <w:trPr>
          <w:trHeight w:val="810"/>
        </w:trPr>
        <w:tc>
          <w:tcPr>
            <w:tcW w:w="1271"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(-0.07,0.00)</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(-0.04,0.02)</w:t>
            </w:r>
          </w:p>
        </w:tc>
        <w:tc>
          <w:tcPr>
            <w:tcW w:w="1134"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(-0.09,0.01)</w:t>
            </w:r>
          </w:p>
        </w:tc>
        <w:tc>
          <w:tcPr>
            <w:tcW w:w="992" w:type="dxa"/>
            <w:tcBorders>
              <w:top w:val="single" w:sz="4" w:space="0" w:color="auto"/>
              <w:right w:val="single" w:sz="4" w:space="0" w:color="auto"/>
            </w:tcBorders>
            <w:shd w:val="clear" w:color="auto" w:fill="BDD6EE" w:themeFill="accent1"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WBV</w:t>
            </w:r>
          </w:p>
        </w:tc>
        <w:tc>
          <w:tcPr>
            <w:tcW w:w="1276" w:type="dxa"/>
            <w:tcBorders>
              <w:top w:val="nil"/>
              <w:left w:val="single" w:sz="4" w:space="0" w:color="auto"/>
              <w:bottom w:val="single" w:sz="4" w:space="0" w:color="auto"/>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850"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r>
      <w:tr w:rsidR="007F7EED" w:rsidRPr="00D94686" w:rsidTr="00444961">
        <w:trPr>
          <w:trHeight w:val="889"/>
        </w:trPr>
        <w:tc>
          <w:tcPr>
            <w:tcW w:w="1271"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-0.00</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(-0.02,0.02)</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(-0.02,0.07)</w:t>
            </w:r>
          </w:p>
        </w:tc>
        <w:tc>
          <w:tcPr>
            <w:tcW w:w="1134"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-0.00</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(-0.04,0.04)</w:t>
            </w:r>
          </w:p>
        </w:tc>
        <w:tc>
          <w:tcPr>
            <w:tcW w:w="992"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(-0.01,0.07)</w:t>
            </w:r>
          </w:p>
        </w:tc>
        <w:tc>
          <w:tcPr>
            <w:tcW w:w="1276" w:type="dxa"/>
            <w:tcBorders>
              <w:top w:val="single" w:sz="4" w:space="0" w:color="auto"/>
              <w:right w:val="single" w:sz="4" w:space="0" w:color="auto"/>
            </w:tcBorders>
            <w:shd w:val="clear" w:color="auto" w:fill="BDD6EE" w:themeFill="accent1"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MIE</w:t>
            </w:r>
          </w:p>
        </w:tc>
        <w:tc>
          <w:tcPr>
            <w:tcW w:w="1276" w:type="dxa"/>
            <w:tcBorders>
              <w:top w:val="nil"/>
              <w:left w:val="single" w:sz="4" w:space="0" w:color="auto"/>
              <w:bottom w:val="single" w:sz="4" w:space="0" w:color="auto"/>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850"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r>
      <w:tr w:rsidR="007F7EED" w:rsidRPr="00D94686" w:rsidTr="00444961">
        <w:trPr>
          <w:trHeight w:val="829"/>
        </w:trPr>
        <w:tc>
          <w:tcPr>
            <w:tcW w:w="1271"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(-0.03,0.01)</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(-0.02,0.06)</w:t>
            </w:r>
          </w:p>
        </w:tc>
        <w:tc>
          <w:tcPr>
            <w:tcW w:w="1134"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(-0.05,0.03)</w:t>
            </w:r>
          </w:p>
        </w:tc>
        <w:tc>
          <w:tcPr>
            <w:tcW w:w="992"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(-0.01,0.06)</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(-0.04,0.02)</w:t>
            </w:r>
          </w:p>
        </w:tc>
        <w:tc>
          <w:tcPr>
            <w:tcW w:w="1276" w:type="dxa"/>
            <w:tcBorders>
              <w:top w:val="single" w:sz="4" w:space="0" w:color="auto"/>
              <w:right w:val="single" w:sz="4" w:space="0" w:color="auto"/>
            </w:tcBorders>
            <w:shd w:val="clear" w:color="auto" w:fill="BDD6EE" w:themeFill="accent1"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LIE</w:t>
            </w:r>
          </w:p>
        </w:tc>
        <w:tc>
          <w:tcPr>
            <w:tcW w:w="1134" w:type="dxa"/>
            <w:tcBorders>
              <w:top w:val="nil"/>
              <w:left w:val="single" w:sz="4" w:space="0" w:color="auto"/>
              <w:bottom w:val="single" w:sz="4" w:space="0" w:color="auto"/>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850"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r>
      <w:tr w:rsidR="007F7EED" w:rsidRPr="00D94686" w:rsidTr="00444961">
        <w:trPr>
          <w:trHeight w:val="699"/>
        </w:trPr>
        <w:tc>
          <w:tcPr>
            <w:tcW w:w="1271"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(-0.06,0.03)</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(-0.04,0.07)</w:t>
            </w:r>
          </w:p>
        </w:tc>
        <w:tc>
          <w:tcPr>
            <w:tcW w:w="1134"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(-0.07,0.04)</w:t>
            </w:r>
          </w:p>
        </w:tc>
        <w:tc>
          <w:tcPr>
            <w:tcW w:w="992"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(-0.04,0.08)</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(-0.06,0.04)</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-0.00</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(-0.05,0.05)</w:t>
            </w:r>
          </w:p>
        </w:tc>
        <w:tc>
          <w:tcPr>
            <w:tcW w:w="1134" w:type="dxa"/>
            <w:tcBorders>
              <w:top w:val="single" w:sz="4" w:space="0" w:color="auto"/>
              <w:right w:val="single" w:sz="4" w:space="0" w:color="auto"/>
            </w:tcBorders>
            <w:shd w:val="clear" w:color="auto" w:fill="BDD6EE" w:themeFill="accent1"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MBE</w:t>
            </w:r>
          </w:p>
        </w:tc>
        <w:tc>
          <w:tcPr>
            <w:tcW w:w="1134" w:type="dxa"/>
            <w:tcBorders>
              <w:top w:val="nil"/>
              <w:left w:val="single" w:sz="4" w:space="0" w:color="auto"/>
              <w:bottom w:val="single" w:sz="4" w:space="0" w:color="auto"/>
              <w:right w:val="nil"/>
            </w:tcBorders>
            <w:shd w:val="clear" w:color="auto" w:fill="auto"/>
          </w:tcPr>
          <w:p w:rsidR="007F7EED" w:rsidRPr="00D94686" w:rsidRDefault="007F7EED" w:rsidP="00444961">
            <w:pPr>
              <w:rPr>
                <w:rFonts w:ascii="Times New Roman" w:hAnsi="Times New Roman" w:cs="Times New Roman"/>
                <w:sz w:val="16"/>
                <w:szCs w:val="16"/>
              </w:rPr>
            </w:pPr>
          </w:p>
        </w:tc>
        <w:tc>
          <w:tcPr>
            <w:tcW w:w="850" w:type="dxa"/>
            <w:tcBorders>
              <w:top w:val="nil"/>
              <w:left w:val="nil"/>
              <w:bottom w:val="nil"/>
              <w:right w:val="nil"/>
            </w:tcBorders>
            <w:shd w:val="clear" w:color="auto" w:fill="auto"/>
          </w:tcPr>
          <w:p w:rsidR="007F7EED" w:rsidRPr="00D94686" w:rsidRDefault="007F7EED" w:rsidP="00444961">
            <w:pPr>
              <w:rPr>
                <w:rFonts w:ascii="Times New Roman" w:hAnsi="Times New Roman" w:cs="Times New Roman"/>
                <w:sz w:val="16"/>
                <w:szCs w:val="16"/>
              </w:rPr>
            </w:pPr>
          </w:p>
        </w:tc>
      </w:tr>
      <w:tr w:rsidR="007F7EED" w:rsidRPr="00D94686" w:rsidTr="00444961">
        <w:trPr>
          <w:trHeight w:val="799"/>
        </w:trPr>
        <w:tc>
          <w:tcPr>
            <w:tcW w:w="1271"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(-0.02,0.01)</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(-0.02,0.06)</w:t>
            </w:r>
          </w:p>
        </w:tc>
        <w:tc>
          <w:tcPr>
            <w:tcW w:w="1134"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(-0.04,0.02)</w:t>
            </w:r>
          </w:p>
        </w:tc>
        <w:tc>
          <w:tcPr>
            <w:tcW w:w="992"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(-0.01,0.07)</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(-0.04,0.02)</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0.00</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(-0.02,0.03)</w:t>
            </w:r>
          </w:p>
        </w:tc>
        <w:tc>
          <w:tcPr>
            <w:tcW w:w="1134"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(-0.04,0.05)</w:t>
            </w:r>
          </w:p>
        </w:tc>
        <w:tc>
          <w:tcPr>
            <w:tcW w:w="1134" w:type="dxa"/>
            <w:tcBorders>
              <w:top w:val="single" w:sz="4" w:space="0" w:color="auto"/>
              <w:right w:val="single" w:sz="4" w:space="0" w:color="auto"/>
            </w:tcBorders>
            <w:shd w:val="clear" w:color="auto" w:fill="BDD6EE" w:themeFill="accent1"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RT</w:t>
            </w:r>
          </w:p>
        </w:tc>
        <w:tc>
          <w:tcPr>
            <w:tcW w:w="850" w:type="dxa"/>
            <w:tcBorders>
              <w:top w:val="nil"/>
              <w:left w:val="single" w:sz="4" w:space="0" w:color="auto"/>
              <w:bottom w:val="single" w:sz="4" w:space="0" w:color="auto"/>
              <w:right w:val="nil"/>
            </w:tcBorders>
            <w:shd w:val="clear" w:color="auto" w:fill="auto"/>
          </w:tcPr>
          <w:p w:rsidR="007F7EED" w:rsidRPr="00D94686" w:rsidRDefault="007F7EED" w:rsidP="00444961">
            <w:pPr>
              <w:rPr>
                <w:rFonts w:ascii="Times New Roman" w:hAnsi="Times New Roman" w:cs="Times New Roman"/>
                <w:sz w:val="16"/>
                <w:szCs w:val="16"/>
              </w:rPr>
            </w:pPr>
          </w:p>
        </w:tc>
      </w:tr>
      <w:tr w:rsidR="007F7EED" w:rsidRPr="00D94686" w:rsidTr="00444961">
        <w:trPr>
          <w:trHeight w:val="741"/>
        </w:trPr>
        <w:tc>
          <w:tcPr>
            <w:tcW w:w="1271" w:type="dxa"/>
            <w:shd w:val="clear" w:color="auto" w:fill="FFE599" w:themeFill="accent4" w:themeFillTint="66"/>
          </w:tcPr>
          <w:p w:rsidR="007F7EED" w:rsidRPr="00D94686" w:rsidRDefault="007F7EED" w:rsidP="00444961">
            <w:pPr>
              <w:rPr>
                <w:rFonts w:ascii="Times New Roman" w:hAnsi="Times New Roman" w:cs="Times New Roman"/>
                <w:b/>
                <w:sz w:val="16"/>
                <w:szCs w:val="16"/>
              </w:rPr>
            </w:pPr>
            <w:r w:rsidRPr="00D94686">
              <w:rPr>
                <w:rFonts w:ascii="Times New Roman" w:hAnsi="Times New Roman" w:cs="Times New Roman"/>
                <w:b/>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b/>
                <w:sz w:val="16"/>
                <w:szCs w:val="16"/>
              </w:rPr>
              <w:t>(-0.06,-0.01)</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-0.01</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(-0.04,0.03)</w:t>
            </w:r>
          </w:p>
        </w:tc>
        <w:tc>
          <w:tcPr>
            <w:tcW w:w="1134"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(-0.07,0.01)</w:t>
            </w:r>
          </w:p>
        </w:tc>
        <w:tc>
          <w:tcPr>
            <w:tcW w:w="992"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0.00</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(-0.04,0.04)</w:t>
            </w:r>
          </w:p>
        </w:tc>
        <w:tc>
          <w:tcPr>
            <w:tcW w:w="1276" w:type="dxa"/>
            <w:shd w:val="clear" w:color="auto" w:fill="FFE599" w:themeFill="accent4" w:themeFillTint="66"/>
          </w:tcPr>
          <w:p w:rsidR="007F7EED" w:rsidRPr="00D94686" w:rsidRDefault="007F7EED" w:rsidP="00444961">
            <w:pPr>
              <w:rPr>
                <w:rFonts w:ascii="Times New Roman" w:hAnsi="Times New Roman" w:cs="Times New Roman"/>
                <w:b/>
                <w:sz w:val="16"/>
                <w:szCs w:val="16"/>
              </w:rPr>
            </w:pPr>
            <w:r w:rsidRPr="00D94686">
              <w:rPr>
                <w:rFonts w:ascii="Times New Roman" w:hAnsi="Times New Roman" w:cs="Times New Roman"/>
                <w:b/>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b/>
                <w:sz w:val="16"/>
                <w:szCs w:val="16"/>
              </w:rPr>
              <w:t>(-0.07,-0.00)</w:t>
            </w:r>
          </w:p>
        </w:tc>
        <w:tc>
          <w:tcPr>
            <w:tcW w:w="1276"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(-0.05,0.00)</w:t>
            </w:r>
          </w:p>
        </w:tc>
        <w:tc>
          <w:tcPr>
            <w:tcW w:w="1134" w:type="dxa"/>
            <w:shd w:val="clear" w:color="auto" w:fill="FFE599" w:themeFill="accent4"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-0.02</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(-0.07,0.03)</w:t>
            </w:r>
          </w:p>
        </w:tc>
        <w:tc>
          <w:tcPr>
            <w:tcW w:w="1134" w:type="dxa"/>
            <w:shd w:val="clear" w:color="auto" w:fill="FFE599" w:themeFill="accent4" w:themeFillTint="66"/>
          </w:tcPr>
          <w:p w:rsidR="007F7EED" w:rsidRPr="00D94686" w:rsidRDefault="007F7EED" w:rsidP="00444961">
            <w:pPr>
              <w:rPr>
                <w:rFonts w:ascii="Times New Roman" w:hAnsi="Times New Roman" w:cs="Times New Roman"/>
                <w:b/>
                <w:sz w:val="16"/>
                <w:szCs w:val="16"/>
              </w:rPr>
            </w:pPr>
            <w:r w:rsidRPr="00D94686">
              <w:rPr>
                <w:rFonts w:ascii="Times New Roman" w:hAnsi="Times New Roman" w:cs="Times New Roman"/>
                <w:b/>
                <w:sz w:val="16"/>
                <w:szCs w:val="16"/>
              </w:rPr>
              <w:t>-0.03</w:t>
            </w:r>
          </w:p>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b/>
                <w:sz w:val="16"/>
                <w:szCs w:val="16"/>
              </w:rPr>
              <w:t>(-0.06,-0.00)</w:t>
            </w:r>
          </w:p>
        </w:tc>
        <w:tc>
          <w:tcPr>
            <w:tcW w:w="850" w:type="dxa"/>
            <w:tcBorders>
              <w:top w:val="single" w:sz="4" w:space="0" w:color="auto"/>
            </w:tcBorders>
            <w:shd w:val="clear" w:color="auto" w:fill="BDD6EE" w:themeFill="accent1" w:themeFillTint="66"/>
          </w:tcPr>
          <w:p w:rsidR="007F7EED" w:rsidRPr="00D94686" w:rsidRDefault="007F7EED" w:rsidP="00444961">
            <w:pPr>
              <w:rPr>
                <w:rFonts w:ascii="Times New Roman" w:hAnsi="Times New Roman" w:cs="Times New Roman"/>
                <w:sz w:val="16"/>
                <w:szCs w:val="16"/>
              </w:rPr>
            </w:pPr>
            <w:r w:rsidRPr="00D94686">
              <w:rPr>
                <w:rFonts w:ascii="Times New Roman" w:hAnsi="Times New Roman" w:cs="Times New Roman"/>
                <w:sz w:val="16"/>
                <w:szCs w:val="16"/>
              </w:rPr>
              <w:t>ME</w:t>
            </w:r>
          </w:p>
        </w:tc>
      </w:tr>
    </w:tbl>
    <w:p w:rsidR="002B751B" w:rsidRPr="00172ABA" w:rsidRDefault="002B751B" w:rsidP="00172ABA">
      <w:pPr>
        <w:pStyle w:val="2"/>
        <w:rPr>
          <w:rFonts w:ascii="Times New Roman" w:hAnsi="Times New Roman" w:cs="Times New Roman"/>
          <w:sz w:val="24"/>
          <w:szCs w:val="24"/>
        </w:rPr>
      </w:pPr>
      <w:bookmarkStart w:id="59" w:name="_Toc74521935"/>
      <w:r w:rsidRPr="00172ABA">
        <w:rPr>
          <w:rFonts w:ascii="Times New Roman" w:hAnsi="Times New Roman" w:cs="Times New Roman" w:hint="eastAsia"/>
          <w:sz w:val="24"/>
          <w:szCs w:val="24"/>
        </w:rPr>
        <w:t>A</w:t>
      </w:r>
      <w:r w:rsidRPr="00172ABA">
        <w:rPr>
          <w:rFonts w:ascii="Times New Roman" w:hAnsi="Times New Roman" w:cs="Times New Roman"/>
          <w:sz w:val="24"/>
          <w:szCs w:val="24"/>
        </w:rPr>
        <w:t xml:space="preserve">ppendix </w:t>
      </w:r>
      <w:r w:rsidR="002E1C7F" w:rsidRPr="00172ABA">
        <w:rPr>
          <w:rFonts w:ascii="Times New Roman" w:hAnsi="Times New Roman" w:cs="Times New Roman"/>
          <w:sz w:val="24"/>
          <w:szCs w:val="24"/>
        </w:rPr>
        <w:t>12</w:t>
      </w:r>
      <w:r w:rsidRPr="00172ABA">
        <w:rPr>
          <w:rFonts w:ascii="Times New Roman" w:hAnsi="Times New Roman" w:cs="Times New Roman"/>
          <w:sz w:val="24"/>
          <w:szCs w:val="24"/>
        </w:rPr>
        <w:t>.2: Relative effect estimates for the contrasts between the different interventions and control arms on BMD at FN in participants with age no less than 60</w:t>
      </w:r>
      <w:bookmarkEnd w:id="59"/>
    </w:p>
    <w:p w:rsidR="007F7EED" w:rsidRDefault="007F7EED" w:rsidP="002B751B">
      <w:pPr>
        <w:autoSpaceDE w:val="0"/>
        <w:autoSpaceDN w:val="0"/>
        <w:adjustRightInd w:val="0"/>
        <w:jc w:val="left"/>
        <w:rPr>
          <w:rFonts w:ascii="Times New Roman" w:hAnsi="Times New Roman" w:cs="Times New Roman"/>
          <w:b/>
          <w:color w:val="000000"/>
          <w:sz w:val="24"/>
          <w:szCs w:val="24"/>
        </w:rPr>
      </w:pPr>
    </w:p>
    <w:p w:rsidR="007F7EED" w:rsidRPr="00444961" w:rsidRDefault="007F7EED" w:rsidP="00172ABA">
      <w:pPr>
        <w:pStyle w:val="2"/>
        <w:rPr>
          <w:rFonts w:ascii="Times New Roman" w:hAnsi="Times New Roman" w:cs="Times New Roman"/>
          <w:sz w:val="24"/>
          <w:szCs w:val="24"/>
        </w:rPr>
      </w:pPr>
      <w:bookmarkStart w:id="60" w:name="_Toc74521936"/>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2E1C7F" w:rsidRPr="00444961">
        <w:rPr>
          <w:rFonts w:ascii="Times New Roman" w:hAnsi="Times New Roman" w:cs="Times New Roman"/>
          <w:sz w:val="24"/>
          <w:szCs w:val="24"/>
        </w:rPr>
        <w:t>12</w:t>
      </w:r>
      <w:r w:rsidRPr="00444961">
        <w:rPr>
          <w:rFonts w:ascii="Times New Roman" w:hAnsi="Times New Roman" w:cs="Times New Roman"/>
          <w:sz w:val="24"/>
          <w:szCs w:val="24"/>
        </w:rPr>
        <w:t>.3: Relative effect estimates for the contrasts between the different interventions and control arms on BMD at TH in participants with age no less</w:t>
      </w:r>
      <w:r w:rsidR="00444961">
        <w:rPr>
          <w:rFonts w:ascii="Times New Roman" w:hAnsi="Times New Roman" w:cs="Times New Roman"/>
          <w:sz w:val="24"/>
          <w:szCs w:val="24"/>
        </w:rPr>
        <w:t xml:space="preserve"> </w:t>
      </w:r>
      <w:r w:rsidRPr="00444961">
        <w:rPr>
          <w:rFonts w:ascii="Times New Roman" w:hAnsi="Times New Roman" w:cs="Times New Roman"/>
          <w:sz w:val="24"/>
          <w:szCs w:val="24"/>
        </w:rPr>
        <w:t>than 60</w:t>
      </w:r>
      <w:bookmarkEnd w:id="60"/>
    </w:p>
    <w:tbl>
      <w:tblPr>
        <w:tblStyle w:val="a3"/>
        <w:tblpPr w:leftFromText="180" w:rightFromText="180" w:vertAnchor="page" w:horzAnchor="margin" w:tblpXSpec="center" w:tblpY="3879"/>
        <w:tblW w:w="10485" w:type="dxa"/>
        <w:tblLook w:val="04A0" w:firstRow="1" w:lastRow="0" w:firstColumn="1" w:lastColumn="0" w:noHBand="0" w:noVBand="1"/>
      </w:tblPr>
      <w:tblGrid>
        <w:gridCol w:w="1129"/>
        <w:gridCol w:w="1134"/>
        <w:gridCol w:w="1134"/>
        <w:gridCol w:w="1134"/>
        <w:gridCol w:w="1134"/>
        <w:gridCol w:w="1276"/>
        <w:gridCol w:w="1276"/>
        <w:gridCol w:w="1134"/>
        <w:gridCol w:w="1134"/>
      </w:tblGrid>
      <w:tr w:rsidR="007F7EED" w:rsidRPr="00105294" w:rsidTr="00444961">
        <w:trPr>
          <w:trHeight w:val="557"/>
        </w:trPr>
        <w:tc>
          <w:tcPr>
            <w:tcW w:w="1129" w:type="dxa"/>
            <w:tcBorders>
              <w:right w:val="single" w:sz="4" w:space="0" w:color="auto"/>
            </w:tcBorders>
            <w:shd w:val="clear" w:color="auto" w:fill="BDD6EE" w:themeFill="accent1"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Control</w:t>
            </w:r>
          </w:p>
        </w:tc>
        <w:tc>
          <w:tcPr>
            <w:tcW w:w="1134" w:type="dxa"/>
            <w:tcBorders>
              <w:top w:val="nil"/>
              <w:left w:val="single" w:sz="4" w:space="0" w:color="auto"/>
              <w:bottom w:val="single" w:sz="4" w:space="0" w:color="auto"/>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b/>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r>
      <w:tr w:rsidR="007F7EED" w:rsidRPr="00105294" w:rsidTr="00444961">
        <w:trPr>
          <w:trHeight w:val="847"/>
        </w:trPr>
        <w:tc>
          <w:tcPr>
            <w:tcW w:w="1129"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(-0.04,0.02)</w:t>
            </w:r>
          </w:p>
        </w:tc>
        <w:tc>
          <w:tcPr>
            <w:tcW w:w="1134" w:type="dxa"/>
            <w:tcBorders>
              <w:top w:val="single" w:sz="4" w:space="0" w:color="auto"/>
              <w:right w:val="single" w:sz="4" w:space="0" w:color="auto"/>
            </w:tcBorders>
            <w:shd w:val="clear" w:color="auto" w:fill="BDD6EE" w:themeFill="accent1"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WE</w:t>
            </w:r>
          </w:p>
        </w:tc>
        <w:tc>
          <w:tcPr>
            <w:tcW w:w="1134" w:type="dxa"/>
            <w:tcBorders>
              <w:top w:val="nil"/>
              <w:left w:val="single" w:sz="4" w:space="0" w:color="auto"/>
              <w:bottom w:val="single" w:sz="4" w:space="0" w:color="auto"/>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r>
      <w:tr w:rsidR="007F7EED" w:rsidRPr="00105294" w:rsidTr="00444961">
        <w:trPr>
          <w:trHeight w:val="973"/>
        </w:trPr>
        <w:tc>
          <w:tcPr>
            <w:tcW w:w="1129"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(-0.02,0.01)</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(-0.03,0.04)</w:t>
            </w:r>
          </w:p>
        </w:tc>
        <w:tc>
          <w:tcPr>
            <w:tcW w:w="1134" w:type="dxa"/>
            <w:tcBorders>
              <w:top w:val="single" w:sz="4" w:space="0" w:color="auto"/>
              <w:right w:val="single" w:sz="4" w:space="0" w:color="auto"/>
            </w:tcBorders>
            <w:shd w:val="clear" w:color="auto" w:fill="BDD6EE" w:themeFill="accent1"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FE</w:t>
            </w:r>
          </w:p>
        </w:tc>
        <w:tc>
          <w:tcPr>
            <w:tcW w:w="1134" w:type="dxa"/>
            <w:tcBorders>
              <w:top w:val="nil"/>
              <w:left w:val="single" w:sz="4" w:space="0" w:color="auto"/>
              <w:bottom w:val="single" w:sz="4" w:space="0" w:color="auto"/>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r>
      <w:tr w:rsidR="007F7EED" w:rsidRPr="00105294" w:rsidTr="00444961">
        <w:trPr>
          <w:trHeight w:val="988"/>
        </w:trPr>
        <w:tc>
          <w:tcPr>
            <w:tcW w:w="1129"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(-0.03,0.02)</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(-0.03,0.05)</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(-0.02,0.03)</w:t>
            </w:r>
          </w:p>
        </w:tc>
        <w:tc>
          <w:tcPr>
            <w:tcW w:w="1134" w:type="dxa"/>
            <w:tcBorders>
              <w:top w:val="single" w:sz="4" w:space="0" w:color="auto"/>
              <w:right w:val="single" w:sz="4" w:space="0" w:color="auto"/>
            </w:tcBorders>
            <w:shd w:val="clear" w:color="auto" w:fill="BDD6EE" w:themeFill="accent1"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HIE</w:t>
            </w:r>
          </w:p>
        </w:tc>
        <w:tc>
          <w:tcPr>
            <w:tcW w:w="1134" w:type="dxa"/>
            <w:tcBorders>
              <w:top w:val="nil"/>
              <w:left w:val="single" w:sz="4" w:space="0" w:color="auto"/>
              <w:bottom w:val="single" w:sz="4" w:space="0" w:color="auto"/>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r>
      <w:tr w:rsidR="007F7EED" w:rsidRPr="00105294" w:rsidTr="00444961">
        <w:trPr>
          <w:trHeight w:val="844"/>
        </w:trPr>
        <w:tc>
          <w:tcPr>
            <w:tcW w:w="1129"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(-0.02,0.01)</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(-0.03,0.04)</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(-0.03,0.02)</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(-0.03,0.03)</w:t>
            </w:r>
          </w:p>
        </w:tc>
        <w:tc>
          <w:tcPr>
            <w:tcW w:w="1134" w:type="dxa"/>
            <w:tcBorders>
              <w:top w:val="single" w:sz="4" w:space="0" w:color="auto"/>
              <w:right w:val="single" w:sz="4" w:space="0" w:color="auto"/>
            </w:tcBorders>
            <w:shd w:val="clear" w:color="auto" w:fill="BDD6EE" w:themeFill="accent1"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MIE</w:t>
            </w:r>
          </w:p>
        </w:tc>
        <w:tc>
          <w:tcPr>
            <w:tcW w:w="1276" w:type="dxa"/>
            <w:tcBorders>
              <w:top w:val="nil"/>
              <w:left w:val="single" w:sz="4" w:space="0" w:color="auto"/>
              <w:bottom w:val="single" w:sz="4" w:space="0" w:color="auto"/>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r>
      <w:tr w:rsidR="007F7EED" w:rsidRPr="00105294" w:rsidTr="00444961">
        <w:trPr>
          <w:trHeight w:val="824"/>
        </w:trPr>
        <w:tc>
          <w:tcPr>
            <w:tcW w:w="1129"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(-0.04,0.01)</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(-0.05,0.03)</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(-0.04,0.02)</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(-0.05,0.02)</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(-0.04,0.02)</w:t>
            </w:r>
          </w:p>
        </w:tc>
        <w:tc>
          <w:tcPr>
            <w:tcW w:w="1276" w:type="dxa"/>
            <w:tcBorders>
              <w:top w:val="single" w:sz="4" w:space="0" w:color="auto"/>
              <w:right w:val="single" w:sz="4" w:space="0" w:color="auto"/>
            </w:tcBorders>
            <w:shd w:val="clear" w:color="auto" w:fill="BDD6EE" w:themeFill="accent1"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LIE</w:t>
            </w:r>
          </w:p>
        </w:tc>
        <w:tc>
          <w:tcPr>
            <w:tcW w:w="1276" w:type="dxa"/>
            <w:tcBorders>
              <w:top w:val="nil"/>
              <w:left w:val="single" w:sz="4" w:space="0" w:color="auto"/>
              <w:bottom w:val="single" w:sz="4" w:space="0" w:color="auto"/>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r>
      <w:tr w:rsidR="007F7EED" w:rsidRPr="00105294" w:rsidTr="00444961">
        <w:trPr>
          <w:trHeight w:val="993"/>
        </w:trPr>
        <w:tc>
          <w:tcPr>
            <w:tcW w:w="1129"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(-0.04,0.01)</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(-0.05,0.03)</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(-0.04,0.02)</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(-0.05,0.02)</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(-0.04,0.02)</w:t>
            </w:r>
          </w:p>
        </w:tc>
        <w:tc>
          <w:tcPr>
            <w:tcW w:w="1276"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(-0.04,0.04)</w:t>
            </w:r>
          </w:p>
        </w:tc>
        <w:tc>
          <w:tcPr>
            <w:tcW w:w="1276" w:type="dxa"/>
            <w:tcBorders>
              <w:top w:val="single" w:sz="4" w:space="0" w:color="auto"/>
              <w:right w:val="single" w:sz="4" w:space="0" w:color="auto"/>
            </w:tcBorders>
            <w:shd w:val="clear" w:color="auto" w:fill="BDD6EE" w:themeFill="accent1"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MBE</w:t>
            </w:r>
          </w:p>
        </w:tc>
        <w:tc>
          <w:tcPr>
            <w:tcW w:w="1134" w:type="dxa"/>
            <w:tcBorders>
              <w:top w:val="nil"/>
              <w:left w:val="single" w:sz="4" w:space="0" w:color="auto"/>
              <w:bottom w:val="single" w:sz="4" w:space="0" w:color="auto"/>
              <w:right w:val="nil"/>
            </w:tcBorders>
            <w:shd w:val="clear" w:color="auto" w:fill="auto"/>
          </w:tcPr>
          <w:p w:rsidR="007F7EED" w:rsidRPr="00105294" w:rsidRDefault="007F7EED"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7F7EED" w:rsidRPr="00105294" w:rsidRDefault="007F7EED" w:rsidP="00444961">
            <w:pPr>
              <w:rPr>
                <w:rFonts w:ascii="Times New Roman" w:hAnsi="Times New Roman" w:cs="Times New Roman"/>
                <w:sz w:val="16"/>
                <w:szCs w:val="16"/>
              </w:rPr>
            </w:pPr>
          </w:p>
        </w:tc>
      </w:tr>
      <w:tr w:rsidR="007F7EED" w:rsidRPr="00105294" w:rsidTr="00444961">
        <w:trPr>
          <w:trHeight w:val="837"/>
        </w:trPr>
        <w:tc>
          <w:tcPr>
            <w:tcW w:w="1129"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(-0.02,0.00)</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(-0.03,0.03)</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(-0.02,0.01)</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(-0.03,0.02)</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(-0.02,0.02)</w:t>
            </w:r>
          </w:p>
        </w:tc>
        <w:tc>
          <w:tcPr>
            <w:tcW w:w="1276"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(-0.02,0.04)</w:t>
            </w:r>
          </w:p>
        </w:tc>
        <w:tc>
          <w:tcPr>
            <w:tcW w:w="1276"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(-0.02,0.04)</w:t>
            </w:r>
          </w:p>
        </w:tc>
        <w:tc>
          <w:tcPr>
            <w:tcW w:w="1134" w:type="dxa"/>
            <w:tcBorders>
              <w:top w:val="single" w:sz="4" w:space="0" w:color="auto"/>
              <w:right w:val="single" w:sz="4" w:space="0" w:color="auto"/>
            </w:tcBorders>
            <w:shd w:val="clear" w:color="auto" w:fill="BDD6EE" w:themeFill="accent1"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WBE</w:t>
            </w:r>
          </w:p>
        </w:tc>
        <w:tc>
          <w:tcPr>
            <w:tcW w:w="1134" w:type="dxa"/>
            <w:tcBorders>
              <w:top w:val="nil"/>
              <w:left w:val="single" w:sz="4" w:space="0" w:color="auto"/>
              <w:bottom w:val="single" w:sz="4" w:space="0" w:color="auto"/>
              <w:right w:val="nil"/>
            </w:tcBorders>
            <w:shd w:val="clear" w:color="auto" w:fill="auto"/>
          </w:tcPr>
          <w:p w:rsidR="007F7EED" w:rsidRPr="00105294" w:rsidRDefault="007F7EED" w:rsidP="00444961">
            <w:pPr>
              <w:rPr>
                <w:rFonts w:ascii="Times New Roman" w:hAnsi="Times New Roman" w:cs="Times New Roman"/>
                <w:sz w:val="16"/>
                <w:szCs w:val="16"/>
              </w:rPr>
            </w:pPr>
          </w:p>
        </w:tc>
      </w:tr>
      <w:tr w:rsidR="007F7EED" w:rsidRPr="00105294" w:rsidTr="00444961">
        <w:trPr>
          <w:trHeight w:val="849"/>
        </w:trPr>
        <w:tc>
          <w:tcPr>
            <w:tcW w:w="1129"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(-0.03,0.01)</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(-0.02,0.02)</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(-0.04,0.03)</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(-0.04,0.03)</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(-0.03,0.03)</w:t>
            </w:r>
          </w:p>
        </w:tc>
        <w:tc>
          <w:tcPr>
            <w:tcW w:w="1276"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(-0.03,0.04)</w:t>
            </w:r>
          </w:p>
        </w:tc>
        <w:tc>
          <w:tcPr>
            <w:tcW w:w="1276"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0.01</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(-0.03,0.04)</w:t>
            </w:r>
          </w:p>
        </w:tc>
        <w:tc>
          <w:tcPr>
            <w:tcW w:w="1134" w:type="dxa"/>
            <w:shd w:val="clear" w:color="auto" w:fill="FFE599" w:themeFill="accent4"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-0.00</w:t>
            </w:r>
          </w:p>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(-0.03,0.03)</w:t>
            </w:r>
          </w:p>
        </w:tc>
        <w:tc>
          <w:tcPr>
            <w:tcW w:w="1134" w:type="dxa"/>
            <w:tcBorders>
              <w:top w:val="single" w:sz="4" w:space="0" w:color="auto"/>
            </w:tcBorders>
            <w:shd w:val="clear" w:color="auto" w:fill="BDD6EE" w:themeFill="accent1" w:themeFillTint="66"/>
          </w:tcPr>
          <w:p w:rsidR="007F7EED" w:rsidRPr="00105294" w:rsidRDefault="007F7EED" w:rsidP="00444961">
            <w:pPr>
              <w:rPr>
                <w:rFonts w:ascii="Times New Roman" w:hAnsi="Times New Roman" w:cs="Times New Roman"/>
                <w:sz w:val="16"/>
                <w:szCs w:val="16"/>
              </w:rPr>
            </w:pPr>
            <w:r w:rsidRPr="00105294">
              <w:rPr>
                <w:rFonts w:ascii="Times New Roman" w:hAnsi="Times New Roman" w:cs="Times New Roman"/>
                <w:sz w:val="16"/>
                <w:szCs w:val="16"/>
              </w:rPr>
              <w:t>RT</w:t>
            </w:r>
          </w:p>
        </w:tc>
      </w:tr>
    </w:tbl>
    <w:p w:rsidR="007F7EED" w:rsidRDefault="007F7EED">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833882" w:rsidRPr="00444961" w:rsidRDefault="00833882" w:rsidP="00172ABA">
      <w:pPr>
        <w:pStyle w:val="2"/>
        <w:rPr>
          <w:rFonts w:ascii="Times New Roman" w:hAnsi="Times New Roman" w:cs="Times New Roman"/>
          <w:sz w:val="24"/>
          <w:szCs w:val="24"/>
        </w:rPr>
      </w:pPr>
      <w:bookmarkStart w:id="61" w:name="_Toc74521937"/>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2E1C7F" w:rsidRPr="00444961">
        <w:rPr>
          <w:rFonts w:ascii="Times New Roman" w:hAnsi="Times New Roman" w:cs="Times New Roman"/>
          <w:sz w:val="24"/>
          <w:szCs w:val="24"/>
        </w:rPr>
        <w:t>13</w:t>
      </w:r>
      <w:r w:rsidRPr="00444961">
        <w:rPr>
          <w:rFonts w:ascii="Times New Roman" w:hAnsi="Times New Roman" w:cs="Times New Roman"/>
          <w:sz w:val="24"/>
          <w:szCs w:val="24"/>
        </w:rPr>
        <w:t xml:space="preserve">: </w:t>
      </w:r>
      <w:r w:rsidR="002B751B" w:rsidRPr="00444961">
        <w:rPr>
          <w:rFonts w:ascii="Times New Roman" w:hAnsi="Times New Roman" w:cs="Times New Roman"/>
          <w:sz w:val="24"/>
          <w:szCs w:val="24"/>
        </w:rPr>
        <w:t xml:space="preserve">Cumulative ranking plots to show comparative effectiveness of treatments from a BMD outcome at </w:t>
      </w:r>
      <w:r w:rsidR="003670A7" w:rsidRPr="00444961">
        <w:rPr>
          <w:rFonts w:ascii="Times New Roman" w:hAnsi="Times New Roman" w:cs="Times New Roman"/>
          <w:sz w:val="24"/>
          <w:szCs w:val="24"/>
        </w:rPr>
        <w:t xml:space="preserve">(A) </w:t>
      </w:r>
      <w:r w:rsidR="002B751B" w:rsidRPr="00444961">
        <w:rPr>
          <w:rFonts w:ascii="Times New Roman" w:hAnsi="Times New Roman" w:cs="Times New Roman"/>
          <w:sz w:val="24"/>
          <w:szCs w:val="24"/>
        </w:rPr>
        <w:t>LS</w:t>
      </w:r>
      <w:r w:rsidR="003670A7" w:rsidRPr="00444961">
        <w:rPr>
          <w:rFonts w:ascii="Times New Roman" w:hAnsi="Times New Roman" w:cs="Times New Roman"/>
          <w:sz w:val="24"/>
          <w:szCs w:val="24"/>
        </w:rPr>
        <w:t>, (B) FN, and (C) FN</w:t>
      </w:r>
      <w:r w:rsidR="002B751B" w:rsidRPr="00444961">
        <w:rPr>
          <w:rFonts w:ascii="Times New Roman" w:hAnsi="Times New Roman" w:cs="Times New Roman"/>
          <w:sz w:val="24"/>
          <w:szCs w:val="24"/>
        </w:rPr>
        <w:t xml:space="preserve"> network meta-analysis in participants with age no less than 60</w:t>
      </w:r>
      <w:bookmarkEnd w:id="61"/>
      <w:r w:rsidR="002B751B" w:rsidRPr="00444961">
        <w:rPr>
          <w:rFonts w:ascii="Times New Roman" w:hAnsi="Times New Roman" w:cs="Times New Roman"/>
          <w:sz w:val="24"/>
          <w:szCs w:val="24"/>
        </w:rPr>
        <w:t xml:space="preserve"> </w:t>
      </w:r>
    </w:p>
    <w:p w:rsidR="003670A7" w:rsidRPr="00444961" w:rsidRDefault="003670A7" w:rsidP="00833882">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A.</w:t>
      </w:r>
    </w:p>
    <w:p w:rsidR="00893F33" w:rsidRDefault="002B751B" w:rsidP="00DC4C68">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088047" cy="3281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S≥60-ranking.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2709" cy="3303397"/>
                    </a:xfrm>
                    <a:prstGeom prst="rect">
                      <a:avLst/>
                    </a:prstGeom>
                  </pic:spPr>
                </pic:pic>
              </a:graphicData>
            </a:graphic>
          </wp:inline>
        </w:drawing>
      </w:r>
    </w:p>
    <w:p w:rsidR="003670A7" w:rsidRPr="00444961" w:rsidRDefault="003670A7" w:rsidP="00DC4C68">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hint="eastAsia"/>
          <w:color w:val="000000"/>
          <w:sz w:val="20"/>
          <w:szCs w:val="20"/>
        </w:rPr>
        <w:t>B</w:t>
      </w:r>
      <w:r w:rsidRPr="00444961">
        <w:rPr>
          <w:rFonts w:ascii="Times New Roman" w:hAnsi="Times New Roman" w:cs="Times New Roman"/>
          <w:color w:val="000000"/>
          <w:sz w:val="20"/>
          <w:szCs w:val="20"/>
        </w:rPr>
        <w:t>.</w:t>
      </w:r>
    </w:p>
    <w:p w:rsidR="00893F33" w:rsidRDefault="003670A7">
      <w:pPr>
        <w:widowControl/>
        <w:jc w:val="left"/>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472FE714" wp14:editId="13C0BBF1">
            <wp:extent cx="5132705" cy="37752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N≥60-ranking.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1514" cy="3789130"/>
                    </a:xfrm>
                    <a:prstGeom prst="rect">
                      <a:avLst/>
                    </a:prstGeom>
                  </pic:spPr>
                </pic:pic>
              </a:graphicData>
            </a:graphic>
          </wp:inline>
        </w:drawing>
      </w:r>
      <w:r w:rsidR="00893F33">
        <w:rPr>
          <w:rFonts w:ascii="Times New Roman" w:hAnsi="Times New Roman" w:cs="Times New Roman"/>
          <w:b/>
          <w:color w:val="000000"/>
          <w:sz w:val="24"/>
          <w:szCs w:val="24"/>
        </w:rPr>
        <w:br w:type="page"/>
      </w:r>
    </w:p>
    <w:p w:rsidR="00B44CDF" w:rsidRPr="00444961" w:rsidRDefault="003670A7" w:rsidP="00DC4C68">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hint="eastAsia"/>
          <w:color w:val="000000"/>
          <w:sz w:val="20"/>
          <w:szCs w:val="20"/>
        </w:rPr>
        <w:lastRenderedPageBreak/>
        <w:t>C</w:t>
      </w:r>
      <w:r w:rsidRPr="00444961">
        <w:rPr>
          <w:rFonts w:ascii="Times New Roman" w:hAnsi="Times New Roman" w:cs="Times New Roman"/>
          <w:color w:val="000000"/>
          <w:sz w:val="20"/>
          <w:szCs w:val="20"/>
        </w:rPr>
        <w:t>.</w:t>
      </w:r>
    </w:p>
    <w:p w:rsidR="002219E5" w:rsidRDefault="002632D5" w:rsidP="00DC4C68">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274310" cy="38379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60-ranking.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837940"/>
                    </a:xfrm>
                    <a:prstGeom prst="rect">
                      <a:avLst/>
                    </a:prstGeom>
                  </pic:spPr>
                </pic:pic>
              </a:graphicData>
            </a:graphic>
          </wp:inline>
        </w:drawing>
      </w:r>
    </w:p>
    <w:p w:rsidR="002219E5" w:rsidRDefault="002219E5">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219E5" w:rsidRPr="00444961" w:rsidRDefault="002219E5" w:rsidP="00172ABA">
      <w:pPr>
        <w:pStyle w:val="2"/>
        <w:rPr>
          <w:rFonts w:ascii="Times New Roman" w:hAnsi="Times New Roman" w:cs="Times New Roman"/>
          <w:sz w:val="24"/>
          <w:szCs w:val="24"/>
        </w:rPr>
      </w:pPr>
      <w:bookmarkStart w:id="62" w:name="_Toc74521938"/>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2E1C7F" w:rsidRPr="00444961">
        <w:rPr>
          <w:rFonts w:ascii="Times New Roman" w:hAnsi="Times New Roman" w:cs="Times New Roman"/>
          <w:sz w:val="24"/>
          <w:szCs w:val="24"/>
        </w:rPr>
        <w:t>14</w:t>
      </w:r>
      <w:r w:rsidRPr="00444961">
        <w:rPr>
          <w:rFonts w:ascii="Times New Roman" w:hAnsi="Times New Roman" w:cs="Times New Roman"/>
          <w:sz w:val="24"/>
          <w:szCs w:val="24"/>
        </w:rPr>
        <w:t>.1: Relative effect estimates for the contrasts between the different interventions and control arms on BMD at LS in participants younger than 60</w:t>
      </w:r>
      <w:r w:rsidRPr="002219E5">
        <w:t xml:space="preserve"> </w:t>
      </w:r>
      <w:r w:rsidRPr="00444961">
        <w:rPr>
          <w:rFonts w:ascii="Times New Roman" w:hAnsi="Times New Roman" w:cs="Times New Roman"/>
          <w:sz w:val="24"/>
          <w:szCs w:val="24"/>
        </w:rPr>
        <w:t>years old</w:t>
      </w:r>
      <w:bookmarkEnd w:id="62"/>
    </w:p>
    <w:tbl>
      <w:tblPr>
        <w:tblStyle w:val="a3"/>
        <w:tblpPr w:leftFromText="180" w:rightFromText="180" w:vertAnchor="page" w:horzAnchor="margin" w:tblpXSpec="center" w:tblpY="3552"/>
        <w:tblW w:w="10632" w:type="dxa"/>
        <w:tblLayout w:type="fixed"/>
        <w:tblLook w:val="04A0" w:firstRow="1" w:lastRow="0" w:firstColumn="1" w:lastColumn="0" w:noHBand="0" w:noVBand="1"/>
      </w:tblPr>
      <w:tblGrid>
        <w:gridCol w:w="719"/>
        <w:gridCol w:w="983"/>
        <w:gridCol w:w="992"/>
        <w:gridCol w:w="992"/>
        <w:gridCol w:w="992"/>
        <w:gridCol w:w="993"/>
        <w:gridCol w:w="992"/>
        <w:gridCol w:w="992"/>
        <w:gridCol w:w="992"/>
        <w:gridCol w:w="993"/>
        <w:gridCol w:w="992"/>
      </w:tblGrid>
      <w:tr w:rsidR="002219E5" w:rsidRPr="002219E5" w:rsidTr="00444961">
        <w:trPr>
          <w:trHeight w:val="841"/>
        </w:trPr>
        <w:tc>
          <w:tcPr>
            <w:tcW w:w="719" w:type="dxa"/>
            <w:tcBorders>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Control</w:t>
            </w:r>
          </w:p>
        </w:tc>
        <w:tc>
          <w:tcPr>
            <w:tcW w:w="983" w:type="dxa"/>
            <w:tcBorders>
              <w:bottom w:val="single" w:sz="4" w:space="0" w:color="auto"/>
            </w:tcBorders>
            <w:shd w:val="clear" w:color="auto" w:fill="FFE599" w:themeFill="accent4" w:themeFillTint="66"/>
            <w:vAlign w:val="center"/>
          </w:tcPr>
          <w:p w:rsidR="002219E5" w:rsidRPr="002219E5" w:rsidRDefault="002219E5" w:rsidP="00444961">
            <w:pPr>
              <w:rPr>
                <w:rFonts w:ascii="Times New Roman" w:hAnsi="Times New Roman" w:cs="Times New Roman"/>
                <w:b/>
                <w:sz w:val="14"/>
                <w:szCs w:val="14"/>
              </w:rPr>
            </w:pPr>
            <w:r w:rsidRPr="002219E5">
              <w:rPr>
                <w:rFonts w:ascii="Times New Roman" w:hAnsi="Times New Roman" w:cs="Times New Roman"/>
                <w:b/>
                <w:sz w:val="14"/>
                <w:szCs w:val="14"/>
              </w:rPr>
              <w:t xml:space="preserve">-0.01 </w:t>
            </w:r>
          </w:p>
          <w:p w:rsidR="002219E5" w:rsidRPr="002219E5" w:rsidRDefault="002219E5" w:rsidP="00444961">
            <w:pPr>
              <w:rPr>
                <w:rFonts w:ascii="Times New Roman" w:hAnsi="Times New Roman" w:cs="Times New Roman"/>
                <w:b/>
                <w:sz w:val="14"/>
                <w:szCs w:val="14"/>
              </w:rPr>
            </w:pPr>
            <w:r w:rsidRPr="002219E5">
              <w:rPr>
                <w:rFonts w:ascii="Times New Roman" w:hAnsi="Times New Roman" w:cs="Times New Roman"/>
                <w:b/>
                <w:sz w:val="14"/>
                <w:szCs w:val="14"/>
              </w:rPr>
              <w:t>(-0.03, -0.00)</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b/>
                <w:sz w:val="14"/>
                <w:szCs w:val="14"/>
              </w:rPr>
            </w:pPr>
            <w:r w:rsidRPr="002219E5">
              <w:rPr>
                <w:rFonts w:ascii="Times New Roman" w:hAnsi="Times New Roman" w:cs="Times New Roman"/>
                <w:b/>
                <w:sz w:val="14"/>
                <w:szCs w:val="14"/>
              </w:rPr>
              <w:t xml:space="preserve">-0.01 </w:t>
            </w:r>
          </w:p>
          <w:p w:rsidR="002219E5" w:rsidRPr="002219E5" w:rsidRDefault="002219E5" w:rsidP="00444961">
            <w:pPr>
              <w:rPr>
                <w:rFonts w:ascii="Times New Roman" w:hAnsi="Times New Roman" w:cs="Times New Roman"/>
                <w:b/>
                <w:sz w:val="14"/>
                <w:szCs w:val="14"/>
              </w:rPr>
            </w:pPr>
            <w:r w:rsidRPr="002219E5">
              <w:rPr>
                <w:rFonts w:ascii="Times New Roman" w:hAnsi="Times New Roman" w:cs="Times New Roman"/>
                <w:b/>
                <w:sz w:val="14"/>
                <w:szCs w:val="14"/>
              </w:rPr>
              <w:t>(-0.03, -0.00)</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(-0.03, 0.02)</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0.00)</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b/>
                <w:sz w:val="14"/>
                <w:szCs w:val="14"/>
              </w:rPr>
            </w:pPr>
            <w:r w:rsidRPr="002219E5">
              <w:rPr>
                <w:rFonts w:ascii="Times New Roman" w:hAnsi="Times New Roman" w:cs="Times New Roman"/>
                <w:b/>
                <w:sz w:val="14"/>
                <w:szCs w:val="14"/>
              </w:rPr>
              <w:t xml:space="preserve">-0.04 </w:t>
            </w:r>
          </w:p>
          <w:p w:rsidR="002219E5" w:rsidRPr="002219E5" w:rsidRDefault="002219E5" w:rsidP="00444961">
            <w:pPr>
              <w:rPr>
                <w:rFonts w:ascii="Times New Roman" w:hAnsi="Times New Roman" w:cs="Times New Roman"/>
                <w:b/>
                <w:sz w:val="14"/>
                <w:szCs w:val="14"/>
              </w:rPr>
            </w:pPr>
            <w:r w:rsidRPr="002219E5">
              <w:rPr>
                <w:rFonts w:ascii="Times New Roman" w:hAnsi="Times New Roman" w:cs="Times New Roman"/>
                <w:b/>
                <w:sz w:val="14"/>
                <w:szCs w:val="14"/>
              </w:rPr>
              <w:t>(-0.08, -0.00)</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(-0.03, 0.01)</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(-0.05, 0.01)</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b/>
                <w:sz w:val="14"/>
                <w:szCs w:val="14"/>
              </w:rPr>
            </w:pPr>
            <w:r w:rsidRPr="002219E5">
              <w:rPr>
                <w:rFonts w:ascii="Times New Roman" w:hAnsi="Times New Roman" w:cs="Times New Roman"/>
                <w:b/>
                <w:sz w:val="14"/>
                <w:szCs w:val="14"/>
              </w:rPr>
              <w:t xml:space="preserve">-0.01 </w:t>
            </w:r>
          </w:p>
          <w:p w:rsidR="002219E5" w:rsidRPr="002219E5" w:rsidRDefault="002219E5" w:rsidP="00444961">
            <w:pPr>
              <w:rPr>
                <w:rFonts w:ascii="Times New Roman" w:hAnsi="Times New Roman" w:cs="Times New Roman"/>
                <w:b/>
                <w:sz w:val="14"/>
                <w:szCs w:val="14"/>
              </w:rPr>
            </w:pPr>
            <w:r w:rsidRPr="002219E5">
              <w:rPr>
                <w:rFonts w:ascii="Times New Roman" w:hAnsi="Times New Roman" w:cs="Times New Roman"/>
                <w:b/>
                <w:sz w:val="14"/>
                <w:szCs w:val="14"/>
              </w:rPr>
              <w:t>(-0.03, -0.00)</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(-0.06, 0.03)</w:t>
            </w:r>
          </w:p>
        </w:tc>
      </w:tr>
      <w:tr w:rsidR="002219E5" w:rsidRPr="002219E5" w:rsidTr="00444961">
        <w:trPr>
          <w:trHeight w:val="608"/>
        </w:trPr>
        <w:tc>
          <w:tcPr>
            <w:tcW w:w="719"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RT</w:t>
            </w:r>
          </w:p>
        </w:tc>
        <w:tc>
          <w:tcPr>
            <w:tcW w:w="992" w:type="dxa"/>
            <w:tcBorders>
              <w:bottom w:val="single" w:sz="4" w:space="0" w:color="auto"/>
            </w:tcBorders>
            <w:shd w:val="clear" w:color="auto" w:fill="FFE599" w:themeFill="accent4" w:themeFillTint="66"/>
            <w:vAlign w:val="center"/>
          </w:tcPr>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(-0.02,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(-0.01, 0.04)</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0.03)</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(-0.01,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-0.03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(-0.07,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0.03)</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(-0.04, 0.03)</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(-0.04, 0.05)</w:t>
            </w:r>
          </w:p>
        </w:tc>
      </w:tr>
      <w:tr w:rsidR="002219E5" w:rsidRPr="002219E5" w:rsidTr="00444961">
        <w:trPr>
          <w:trHeight w:val="366"/>
        </w:trPr>
        <w:tc>
          <w:tcPr>
            <w:tcW w:w="719"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ME</w:t>
            </w:r>
          </w:p>
        </w:tc>
        <w:tc>
          <w:tcPr>
            <w:tcW w:w="992" w:type="dxa"/>
            <w:tcBorders>
              <w:bottom w:val="single" w:sz="4" w:space="0" w:color="auto"/>
            </w:tcBorders>
            <w:shd w:val="clear" w:color="auto" w:fill="FFE599" w:themeFill="accent4" w:themeFillTint="66"/>
            <w:vAlign w:val="center"/>
          </w:tcPr>
          <w:p w:rsidR="002219E5" w:rsidRPr="002219E5" w:rsidRDefault="002219E5" w:rsidP="00444961">
            <w:pPr>
              <w:widowControl/>
              <w:jc w:val="left"/>
              <w:rPr>
                <w:rFonts w:ascii="Times New Roman" w:hAnsi="Times New Roman" w:cs="Times New Roman"/>
                <w:b/>
                <w:sz w:val="14"/>
                <w:szCs w:val="14"/>
              </w:rPr>
            </w:pPr>
            <w:r w:rsidRPr="002219E5">
              <w:rPr>
                <w:rFonts w:ascii="Times New Roman" w:hAnsi="Times New Roman" w:cs="Times New Roman"/>
                <w:b/>
                <w:sz w:val="14"/>
                <w:szCs w:val="14"/>
              </w:rPr>
              <w:t xml:space="preserve">0.02 </w:t>
            </w:r>
          </w:p>
          <w:p w:rsidR="002219E5" w:rsidRPr="002219E5" w:rsidRDefault="002219E5" w:rsidP="00444961">
            <w:pPr>
              <w:widowControl/>
              <w:jc w:val="left"/>
              <w:rPr>
                <w:rFonts w:ascii="Times New Roman" w:hAnsi="Times New Roman" w:cs="Times New Roman"/>
                <w:b/>
                <w:sz w:val="14"/>
                <w:szCs w:val="14"/>
              </w:rPr>
            </w:pPr>
            <w:r w:rsidRPr="002219E5">
              <w:rPr>
                <w:rFonts w:ascii="Times New Roman" w:hAnsi="Times New Roman" w:cs="Times New Roman"/>
                <w:b/>
                <w:sz w:val="14"/>
                <w:szCs w:val="14"/>
              </w:rPr>
              <w:t>(0.00, 0.03)</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0.03)</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(-0.01,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-0.03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(-0.07, 0.01)</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0.03)</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(-0.04, 0.03)</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(-0.04, 0.05)</w:t>
            </w:r>
          </w:p>
        </w:tc>
      </w:tr>
      <w:tr w:rsidR="002219E5" w:rsidRPr="002219E5" w:rsidTr="00444961">
        <w:tc>
          <w:tcPr>
            <w:tcW w:w="719"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WE</w:t>
            </w:r>
          </w:p>
        </w:tc>
        <w:tc>
          <w:tcPr>
            <w:tcW w:w="992" w:type="dxa"/>
            <w:tcBorders>
              <w:bottom w:val="single" w:sz="4" w:space="0" w:color="auto"/>
            </w:tcBorders>
            <w:shd w:val="clear" w:color="auto" w:fill="FFE599" w:themeFill="accent4" w:themeFillTint="66"/>
            <w:vAlign w:val="center"/>
          </w:tcPr>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(-0.04, 0.02)</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(-0.03, 0.01)</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-0.04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(-0.09, 0.00)</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(-0.03,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(-0.06, 0.01)</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(-0.04, 0.01)</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(-0.06, 0.03)</w:t>
            </w:r>
          </w:p>
        </w:tc>
      </w:tr>
      <w:tr w:rsidR="002219E5" w:rsidRPr="002219E5" w:rsidTr="00444961">
        <w:tc>
          <w:tcPr>
            <w:tcW w:w="719"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FE</w:t>
            </w:r>
          </w:p>
        </w:tc>
        <w:tc>
          <w:tcPr>
            <w:tcW w:w="993" w:type="dxa"/>
            <w:tcBorders>
              <w:bottom w:val="single" w:sz="4" w:space="0" w:color="auto"/>
            </w:tcBorders>
            <w:shd w:val="clear" w:color="auto" w:fill="FFE599" w:themeFill="accent4" w:themeFillTint="66"/>
            <w:vAlign w:val="center"/>
          </w:tcPr>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(-0.03,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-0.03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(-0.08, 0.01)</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(-0.03, 0.03)</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(-0.05, 0.03)</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(-0.03,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(-0.06, 0.04)</w:t>
            </w:r>
          </w:p>
        </w:tc>
      </w:tr>
      <w:tr w:rsidR="002219E5" w:rsidRPr="002219E5" w:rsidTr="00444961">
        <w:tc>
          <w:tcPr>
            <w:tcW w:w="719"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93"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WBV</w:t>
            </w:r>
          </w:p>
        </w:tc>
        <w:tc>
          <w:tcPr>
            <w:tcW w:w="992" w:type="dxa"/>
            <w:tcBorders>
              <w:bottom w:val="single" w:sz="4" w:space="0" w:color="auto"/>
            </w:tcBorders>
            <w:shd w:val="clear" w:color="auto" w:fill="FFE599" w:themeFill="accent4" w:themeFillTint="66"/>
            <w:vAlign w:val="center"/>
          </w:tcPr>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-0.03 </w:t>
            </w:r>
          </w:p>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(-0.08, 0.01)</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0.03)</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(-0.05, 0.02)</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0.01)</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(-0.05, 0.04)</w:t>
            </w:r>
          </w:p>
        </w:tc>
      </w:tr>
      <w:tr w:rsidR="002219E5" w:rsidRPr="002219E5" w:rsidTr="00444961">
        <w:tc>
          <w:tcPr>
            <w:tcW w:w="719"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3"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HIE</w:t>
            </w:r>
          </w:p>
        </w:tc>
        <w:tc>
          <w:tcPr>
            <w:tcW w:w="992" w:type="dxa"/>
            <w:tcBorders>
              <w:bottom w:val="single" w:sz="4" w:space="0" w:color="auto"/>
            </w:tcBorders>
            <w:shd w:val="clear" w:color="auto" w:fill="FFE599" w:themeFill="accent4" w:themeFillTint="66"/>
            <w:vAlign w:val="center"/>
          </w:tcPr>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0.03 </w:t>
            </w:r>
          </w:p>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(-0.01, 0.08)</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(-0.02, 0.06)</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0.03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(-0.01, 0.07)</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0.03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(-0.03, 0.09)</w:t>
            </w:r>
          </w:p>
        </w:tc>
      </w:tr>
      <w:tr w:rsidR="002219E5" w:rsidRPr="002219E5" w:rsidTr="00444961">
        <w:tc>
          <w:tcPr>
            <w:tcW w:w="719"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MIE</w:t>
            </w:r>
          </w:p>
        </w:tc>
        <w:tc>
          <w:tcPr>
            <w:tcW w:w="992" w:type="dxa"/>
            <w:tcBorders>
              <w:bottom w:val="single" w:sz="4" w:space="0" w:color="auto"/>
            </w:tcBorders>
            <w:shd w:val="clear" w:color="auto" w:fill="FFE599" w:themeFill="accent4" w:themeFillTint="66"/>
            <w:vAlign w:val="center"/>
          </w:tcPr>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(-0.05, 0.03)</w:t>
            </w:r>
          </w:p>
        </w:tc>
        <w:tc>
          <w:tcPr>
            <w:tcW w:w="993"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(-0.03, 0.02)</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(-0.05, 0.04)</w:t>
            </w:r>
          </w:p>
        </w:tc>
      </w:tr>
      <w:tr w:rsidR="002219E5" w:rsidRPr="002219E5" w:rsidTr="00444961">
        <w:tc>
          <w:tcPr>
            <w:tcW w:w="719"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LIE</w:t>
            </w:r>
          </w:p>
        </w:tc>
        <w:tc>
          <w:tcPr>
            <w:tcW w:w="993" w:type="dxa"/>
            <w:tcBorders>
              <w:bottom w:val="single" w:sz="4" w:space="0" w:color="auto"/>
            </w:tcBorders>
            <w:shd w:val="clear" w:color="auto" w:fill="FFE599" w:themeFill="accent4" w:themeFillTint="66"/>
            <w:vAlign w:val="center"/>
          </w:tcPr>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(-0.03, 0.04)</w:t>
            </w:r>
          </w:p>
        </w:tc>
        <w:tc>
          <w:tcPr>
            <w:tcW w:w="992" w:type="dxa"/>
            <w:shd w:val="clear" w:color="auto" w:fill="FFE599" w:themeFill="accent4" w:themeFillTint="66"/>
            <w:vAlign w:val="center"/>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(-0.05, 0.06)</w:t>
            </w:r>
          </w:p>
        </w:tc>
      </w:tr>
      <w:tr w:rsidR="002219E5" w:rsidRPr="002219E5" w:rsidTr="00444961">
        <w:tc>
          <w:tcPr>
            <w:tcW w:w="719"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93"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MBE</w:t>
            </w:r>
          </w:p>
        </w:tc>
        <w:tc>
          <w:tcPr>
            <w:tcW w:w="992" w:type="dxa"/>
            <w:tcBorders>
              <w:bottom w:val="single" w:sz="4" w:space="0" w:color="auto"/>
            </w:tcBorders>
            <w:shd w:val="clear" w:color="auto" w:fill="FFE599" w:themeFill="accent4" w:themeFillTint="66"/>
          </w:tcPr>
          <w:p w:rsidR="002219E5" w:rsidRPr="002219E5" w:rsidRDefault="002219E5" w:rsidP="00444961">
            <w:pPr>
              <w:widowControl/>
              <w:rPr>
                <w:rFonts w:ascii="Times New Roman" w:hAnsi="Times New Roman" w:cs="Times New Roman"/>
                <w:sz w:val="14"/>
                <w:szCs w:val="14"/>
              </w:rPr>
            </w:pPr>
            <w:r w:rsidRPr="002219E5">
              <w:rPr>
                <w:rFonts w:ascii="Times New Roman" w:hAnsi="Times New Roman" w:cs="Times New Roman"/>
                <w:sz w:val="14"/>
                <w:szCs w:val="14"/>
              </w:rPr>
              <w:t xml:space="preserve">-0.00 </w:t>
            </w:r>
          </w:p>
          <w:p w:rsidR="002219E5" w:rsidRPr="002219E5" w:rsidRDefault="002219E5" w:rsidP="00444961">
            <w:pPr>
              <w:widowControl/>
              <w:rPr>
                <w:rFonts w:ascii="Times New Roman" w:hAnsi="Times New Roman" w:cs="Times New Roman"/>
                <w:sz w:val="14"/>
                <w:szCs w:val="14"/>
              </w:rPr>
            </w:pPr>
            <w:r w:rsidRPr="002219E5">
              <w:rPr>
                <w:rFonts w:ascii="Times New Roman" w:hAnsi="Times New Roman" w:cs="Times New Roman"/>
                <w:sz w:val="14"/>
                <w:szCs w:val="14"/>
              </w:rPr>
              <w:t>(-0.05, 0.05)</w:t>
            </w:r>
          </w:p>
        </w:tc>
      </w:tr>
      <w:tr w:rsidR="002219E5" w:rsidRPr="002219E5" w:rsidTr="00444961">
        <w:trPr>
          <w:trHeight w:val="594"/>
        </w:trPr>
        <w:tc>
          <w:tcPr>
            <w:tcW w:w="719"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8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219E5" w:rsidRDefault="002219E5" w:rsidP="00444961">
            <w:pPr>
              <w:rPr>
                <w:rFonts w:ascii="Times New Roman" w:hAnsi="Times New Roman" w:cs="Times New Roman"/>
                <w:sz w:val="14"/>
                <w:szCs w:val="14"/>
              </w:rPr>
            </w:pPr>
          </w:p>
        </w:tc>
        <w:tc>
          <w:tcPr>
            <w:tcW w:w="993" w:type="dxa"/>
            <w:tcBorders>
              <w:top w:val="single" w:sz="4" w:space="0" w:color="auto"/>
              <w:left w:val="nil"/>
              <w:bottom w:val="nil"/>
              <w:right w:val="single" w:sz="4" w:space="0" w:color="auto"/>
            </w:tcBorders>
            <w:shd w:val="clear" w:color="auto" w:fill="auto"/>
          </w:tcPr>
          <w:p w:rsidR="002219E5" w:rsidRPr="002219E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219E5" w:rsidRDefault="002219E5" w:rsidP="00444961">
            <w:pPr>
              <w:rPr>
                <w:rFonts w:ascii="Times New Roman" w:hAnsi="Times New Roman" w:cs="Times New Roman"/>
                <w:sz w:val="14"/>
                <w:szCs w:val="14"/>
              </w:rPr>
            </w:pPr>
            <w:r w:rsidRPr="002219E5">
              <w:rPr>
                <w:rFonts w:ascii="Times New Roman" w:hAnsi="Times New Roman" w:cs="Times New Roman"/>
                <w:sz w:val="14"/>
                <w:szCs w:val="14"/>
              </w:rPr>
              <w:t>WBE</w:t>
            </w:r>
          </w:p>
        </w:tc>
      </w:tr>
    </w:tbl>
    <w:p w:rsidR="002219E5" w:rsidRDefault="002219E5" w:rsidP="00DC4C68">
      <w:pPr>
        <w:autoSpaceDE w:val="0"/>
        <w:autoSpaceDN w:val="0"/>
        <w:adjustRightInd w:val="0"/>
        <w:jc w:val="left"/>
        <w:rPr>
          <w:rFonts w:ascii="Times New Roman" w:hAnsi="Times New Roman" w:cs="Times New Roman"/>
          <w:b/>
          <w:color w:val="000000"/>
          <w:sz w:val="24"/>
          <w:szCs w:val="24"/>
        </w:rPr>
      </w:pPr>
    </w:p>
    <w:p w:rsidR="002219E5" w:rsidRDefault="002219E5">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219E5" w:rsidRPr="00444961" w:rsidRDefault="002219E5" w:rsidP="00172ABA">
      <w:pPr>
        <w:pStyle w:val="2"/>
        <w:rPr>
          <w:rFonts w:ascii="Times New Roman" w:hAnsi="Times New Roman" w:cs="Times New Roman"/>
          <w:sz w:val="24"/>
          <w:szCs w:val="24"/>
        </w:rPr>
      </w:pPr>
      <w:bookmarkStart w:id="63" w:name="_Toc74521939"/>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2E1C7F" w:rsidRPr="00444961">
        <w:rPr>
          <w:rFonts w:ascii="Times New Roman" w:hAnsi="Times New Roman" w:cs="Times New Roman"/>
          <w:sz w:val="24"/>
          <w:szCs w:val="24"/>
        </w:rPr>
        <w:t>14</w:t>
      </w:r>
      <w:r w:rsidRPr="00444961">
        <w:rPr>
          <w:rFonts w:ascii="Times New Roman" w:hAnsi="Times New Roman" w:cs="Times New Roman"/>
          <w:sz w:val="24"/>
          <w:szCs w:val="24"/>
        </w:rPr>
        <w:t>.</w:t>
      </w:r>
      <w:r w:rsidRPr="00444961">
        <w:rPr>
          <w:rFonts w:ascii="Times New Roman" w:hAnsi="Times New Roman" w:cs="Times New Roman" w:hint="eastAsia"/>
          <w:sz w:val="24"/>
          <w:szCs w:val="24"/>
        </w:rPr>
        <w:t>2</w:t>
      </w:r>
      <w:r w:rsidRPr="00444961">
        <w:rPr>
          <w:rFonts w:ascii="Times New Roman" w:hAnsi="Times New Roman" w:cs="Times New Roman"/>
          <w:sz w:val="24"/>
          <w:szCs w:val="24"/>
        </w:rPr>
        <w:t>: Relative effect estimates for the contrasts between the different interventions and control arms on BMD at FN in participants younger than 60 years old</w:t>
      </w:r>
      <w:bookmarkEnd w:id="63"/>
    </w:p>
    <w:tbl>
      <w:tblPr>
        <w:tblStyle w:val="a3"/>
        <w:tblpPr w:leftFromText="180" w:rightFromText="180" w:vertAnchor="page" w:horzAnchor="margin" w:tblpXSpec="center" w:tblpY="3508"/>
        <w:tblW w:w="10768" w:type="dxa"/>
        <w:tblLook w:val="04A0" w:firstRow="1" w:lastRow="0" w:firstColumn="1" w:lastColumn="0" w:noHBand="0" w:noVBand="1"/>
      </w:tblPr>
      <w:tblGrid>
        <w:gridCol w:w="851"/>
        <w:gridCol w:w="987"/>
        <w:gridCol w:w="992"/>
        <w:gridCol w:w="993"/>
        <w:gridCol w:w="992"/>
        <w:gridCol w:w="992"/>
        <w:gridCol w:w="992"/>
        <w:gridCol w:w="993"/>
        <w:gridCol w:w="992"/>
        <w:gridCol w:w="992"/>
        <w:gridCol w:w="992"/>
      </w:tblGrid>
      <w:tr w:rsidR="00444961" w:rsidRPr="002219E5" w:rsidTr="00444961">
        <w:trPr>
          <w:trHeight w:val="702"/>
        </w:trPr>
        <w:tc>
          <w:tcPr>
            <w:tcW w:w="851" w:type="dxa"/>
            <w:tcBorders>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Control</w:t>
            </w:r>
          </w:p>
        </w:tc>
        <w:tc>
          <w:tcPr>
            <w:tcW w:w="987" w:type="dxa"/>
            <w:tcBorders>
              <w:bottom w:val="single" w:sz="4" w:space="0" w:color="auto"/>
            </w:tcBorders>
            <w:shd w:val="clear" w:color="auto" w:fill="FFE599" w:themeFill="accent4" w:themeFillTint="66"/>
            <w:vAlign w:val="center"/>
          </w:tcPr>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(-0.03, 0.00)</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b/>
                <w:sz w:val="14"/>
                <w:szCs w:val="14"/>
              </w:rPr>
            </w:pPr>
            <w:r w:rsidRPr="002219E5">
              <w:rPr>
                <w:rFonts w:ascii="Times New Roman" w:hAnsi="Times New Roman" w:cs="Times New Roman"/>
                <w:b/>
                <w:sz w:val="14"/>
                <w:szCs w:val="14"/>
              </w:rPr>
              <w:t xml:space="preserve">-0.03 </w:t>
            </w:r>
          </w:p>
          <w:p w:rsidR="00444961" w:rsidRPr="002219E5" w:rsidRDefault="00444961" w:rsidP="00444961">
            <w:pPr>
              <w:rPr>
                <w:rFonts w:ascii="Times New Roman" w:hAnsi="Times New Roman" w:cs="Times New Roman"/>
                <w:b/>
                <w:sz w:val="14"/>
                <w:szCs w:val="14"/>
              </w:rPr>
            </w:pPr>
            <w:r w:rsidRPr="002219E5">
              <w:rPr>
                <w:rFonts w:ascii="Times New Roman" w:hAnsi="Times New Roman" w:cs="Times New Roman"/>
                <w:b/>
                <w:sz w:val="14"/>
                <w:szCs w:val="14"/>
              </w:rPr>
              <w:t>(-0.05, -0.01)</w:t>
            </w:r>
          </w:p>
        </w:tc>
        <w:tc>
          <w:tcPr>
            <w:tcW w:w="993"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(-0.05, 0.01)</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b/>
                <w:sz w:val="14"/>
                <w:szCs w:val="14"/>
              </w:rPr>
            </w:pPr>
            <w:r w:rsidRPr="002219E5">
              <w:rPr>
                <w:rFonts w:ascii="Times New Roman" w:hAnsi="Times New Roman" w:cs="Times New Roman"/>
                <w:b/>
                <w:sz w:val="14"/>
                <w:szCs w:val="14"/>
              </w:rPr>
              <w:t xml:space="preserve">-0.03 </w:t>
            </w:r>
          </w:p>
          <w:p w:rsidR="00444961" w:rsidRPr="002219E5" w:rsidRDefault="00444961" w:rsidP="00444961">
            <w:pPr>
              <w:rPr>
                <w:rFonts w:ascii="Times New Roman" w:hAnsi="Times New Roman" w:cs="Times New Roman"/>
                <w:b/>
                <w:sz w:val="14"/>
                <w:szCs w:val="14"/>
              </w:rPr>
            </w:pPr>
            <w:r w:rsidRPr="002219E5">
              <w:rPr>
                <w:rFonts w:ascii="Times New Roman" w:hAnsi="Times New Roman" w:cs="Times New Roman"/>
                <w:b/>
                <w:sz w:val="14"/>
                <w:szCs w:val="14"/>
              </w:rPr>
              <w:t>(-0.07, -0.00)</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0.00)</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(-0.04, 0.03)</w:t>
            </w:r>
          </w:p>
        </w:tc>
        <w:tc>
          <w:tcPr>
            <w:tcW w:w="993"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(-0.05, 0.01)</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(-0.04, 0.01)</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b/>
                <w:sz w:val="14"/>
                <w:szCs w:val="14"/>
              </w:rPr>
            </w:pPr>
            <w:r w:rsidRPr="002219E5">
              <w:rPr>
                <w:rFonts w:ascii="Times New Roman" w:hAnsi="Times New Roman" w:cs="Times New Roman"/>
                <w:b/>
                <w:sz w:val="14"/>
                <w:szCs w:val="14"/>
              </w:rPr>
              <w:t xml:space="preserve">-0.02 </w:t>
            </w:r>
          </w:p>
          <w:p w:rsidR="00444961" w:rsidRPr="002219E5" w:rsidRDefault="00444961" w:rsidP="00444961">
            <w:pPr>
              <w:rPr>
                <w:rFonts w:ascii="Times New Roman" w:hAnsi="Times New Roman" w:cs="Times New Roman"/>
                <w:b/>
                <w:sz w:val="14"/>
                <w:szCs w:val="14"/>
              </w:rPr>
            </w:pPr>
            <w:r w:rsidRPr="002219E5">
              <w:rPr>
                <w:rFonts w:ascii="Times New Roman" w:hAnsi="Times New Roman" w:cs="Times New Roman"/>
                <w:b/>
                <w:sz w:val="14"/>
                <w:szCs w:val="14"/>
              </w:rPr>
              <w:t>(-0.03, -0.00)</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(-0.06, 0.01)</w:t>
            </w:r>
          </w:p>
        </w:tc>
      </w:tr>
      <w:tr w:rsidR="00444961" w:rsidRPr="002219E5" w:rsidTr="00444961">
        <w:trPr>
          <w:trHeight w:val="685"/>
        </w:trPr>
        <w:tc>
          <w:tcPr>
            <w:tcW w:w="851"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RT</w:t>
            </w:r>
          </w:p>
        </w:tc>
        <w:tc>
          <w:tcPr>
            <w:tcW w:w="992" w:type="dxa"/>
            <w:tcBorders>
              <w:bottom w:val="single" w:sz="4" w:space="0" w:color="auto"/>
            </w:tcBorders>
            <w:shd w:val="clear" w:color="auto" w:fill="FFE599" w:themeFill="accent4" w:themeFillTint="66"/>
            <w:vAlign w:val="center"/>
          </w:tcPr>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(-0.04, 0.01)</w:t>
            </w:r>
          </w:p>
        </w:tc>
        <w:tc>
          <w:tcPr>
            <w:tcW w:w="993"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(-0.04, 0.03)</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(-0.06, 0.02)</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(-0.02, 0.02)</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0.05)</w:t>
            </w:r>
          </w:p>
        </w:tc>
        <w:tc>
          <w:tcPr>
            <w:tcW w:w="993"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(-0.04, 0.02)</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0.03)</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0.02)</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(-0.05, 0.03)</w:t>
            </w:r>
          </w:p>
        </w:tc>
      </w:tr>
      <w:tr w:rsidR="00444961" w:rsidRPr="002219E5" w:rsidTr="00444961">
        <w:trPr>
          <w:trHeight w:val="709"/>
        </w:trPr>
        <w:tc>
          <w:tcPr>
            <w:tcW w:w="851"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ME</w:t>
            </w:r>
          </w:p>
        </w:tc>
        <w:tc>
          <w:tcPr>
            <w:tcW w:w="993" w:type="dxa"/>
            <w:tcBorders>
              <w:bottom w:val="single" w:sz="4" w:space="0" w:color="auto"/>
            </w:tcBorders>
            <w:shd w:val="clear" w:color="auto" w:fill="FFE599" w:themeFill="accent4" w:themeFillTint="66"/>
            <w:vAlign w:val="center"/>
          </w:tcPr>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(-0.01, 0.04)</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0.02)</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(-0.00, 0.04)</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0.03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(-0.01, 0.07)</w:t>
            </w:r>
          </w:p>
        </w:tc>
        <w:tc>
          <w:tcPr>
            <w:tcW w:w="993"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(-0.02, 0.04)</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(-0.02, 0.05)</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(-0.01, 0.03)</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0.04)</w:t>
            </w:r>
          </w:p>
        </w:tc>
      </w:tr>
      <w:tr w:rsidR="00444961" w:rsidRPr="002219E5" w:rsidTr="00444961">
        <w:trPr>
          <w:trHeight w:val="690"/>
        </w:trPr>
        <w:tc>
          <w:tcPr>
            <w:tcW w:w="851"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WE</w:t>
            </w:r>
          </w:p>
        </w:tc>
        <w:tc>
          <w:tcPr>
            <w:tcW w:w="992" w:type="dxa"/>
            <w:tcBorders>
              <w:bottom w:val="single" w:sz="4" w:space="0" w:color="auto"/>
            </w:tcBorders>
            <w:shd w:val="clear" w:color="auto" w:fill="FFE599" w:themeFill="accent4" w:themeFillTint="66"/>
            <w:vAlign w:val="center"/>
          </w:tcPr>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-0.02</w:t>
            </w:r>
          </w:p>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(-0.05, 0.02)</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(-0.02, 0.04)</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0.06)</w:t>
            </w:r>
          </w:p>
        </w:tc>
        <w:tc>
          <w:tcPr>
            <w:tcW w:w="993"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-0.00</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0.02)</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(-0.04, 0.04)</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0.03)</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(-0.05, 0.04)</w:t>
            </w:r>
          </w:p>
        </w:tc>
      </w:tr>
      <w:tr w:rsidR="00444961" w:rsidRPr="002219E5" w:rsidTr="00444961">
        <w:trPr>
          <w:trHeight w:val="713"/>
        </w:trPr>
        <w:tc>
          <w:tcPr>
            <w:tcW w:w="851"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FE</w:t>
            </w:r>
          </w:p>
        </w:tc>
        <w:tc>
          <w:tcPr>
            <w:tcW w:w="992" w:type="dxa"/>
            <w:tcBorders>
              <w:bottom w:val="single" w:sz="4" w:space="0" w:color="auto"/>
            </w:tcBorders>
            <w:shd w:val="clear" w:color="auto" w:fill="FFE599" w:themeFill="accent4" w:themeFillTint="66"/>
            <w:vAlign w:val="center"/>
          </w:tcPr>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0.02</w:t>
            </w:r>
          </w:p>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(-0.01, 0.06)</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0.03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(-0.02, 0.08)</w:t>
            </w:r>
          </w:p>
        </w:tc>
        <w:tc>
          <w:tcPr>
            <w:tcW w:w="993"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0.05)</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(-0.02, 0.06)</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(-0.02, 0.05)</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(-0.04, 0.06)</w:t>
            </w:r>
          </w:p>
        </w:tc>
      </w:tr>
      <w:tr w:rsidR="00444961" w:rsidRPr="002219E5" w:rsidTr="00444961">
        <w:trPr>
          <w:trHeight w:val="696"/>
        </w:trPr>
        <w:tc>
          <w:tcPr>
            <w:tcW w:w="851"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WBV</w:t>
            </w:r>
          </w:p>
        </w:tc>
        <w:tc>
          <w:tcPr>
            <w:tcW w:w="992" w:type="dxa"/>
            <w:tcBorders>
              <w:bottom w:val="single" w:sz="4" w:space="0" w:color="auto"/>
            </w:tcBorders>
            <w:shd w:val="clear" w:color="auto" w:fill="FFE599" w:themeFill="accent4" w:themeFillTint="66"/>
            <w:vAlign w:val="center"/>
          </w:tcPr>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(-0.03, 0.05)</w:t>
            </w:r>
          </w:p>
        </w:tc>
        <w:tc>
          <w:tcPr>
            <w:tcW w:w="993"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(-0.04, 0.02)</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(-0.04, 0.03)</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0.01)</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(-0.05, 0.03)</w:t>
            </w:r>
          </w:p>
        </w:tc>
      </w:tr>
      <w:tr w:rsidR="00444961" w:rsidRPr="002219E5" w:rsidTr="00444961">
        <w:trPr>
          <w:trHeight w:val="692"/>
        </w:trPr>
        <w:tc>
          <w:tcPr>
            <w:tcW w:w="851"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HIE</w:t>
            </w:r>
          </w:p>
        </w:tc>
        <w:tc>
          <w:tcPr>
            <w:tcW w:w="993" w:type="dxa"/>
            <w:tcBorders>
              <w:bottom w:val="single" w:sz="4" w:space="0" w:color="auto"/>
            </w:tcBorders>
            <w:shd w:val="clear" w:color="auto" w:fill="FFE599" w:themeFill="accent4" w:themeFillTint="66"/>
            <w:vAlign w:val="center"/>
          </w:tcPr>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(-0.07, 0.03)</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(-0.06, 0.03)</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(-0.06, 0.03)</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-0.02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(-0.07, 0.03)</w:t>
            </w:r>
          </w:p>
        </w:tc>
      </w:tr>
      <w:tr w:rsidR="00444961" w:rsidRPr="002219E5" w:rsidTr="00444961">
        <w:trPr>
          <w:trHeight w:val="702"/>
        </w:trPr>
        <w:tc>
          <w:tcPr>
            <w:tcW w:w="851"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MIE</w:t>
            </w:r>
          </w:p>
        </w:tc>
        <w:tc>
          <w:tcPr>
            <w:tcW w:w="992" w:type="dxa"/>
            <w:tcBorders>
              <w:bottom w:val="single" w:sz="4" w:space="0" w:color="auto"/>
            </w:tcBorders>
            <w:shd w:val="clear" w:color="auto" w:fill="FFE599" w:themeFill="accent4" w:themeFillTint="66"/>
            <w:vAlign w:val="center"/>
          </w:tcPr>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(-0.03, 0.05)</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(-0.03, 0.04)</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-0.00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(-0.05, 0.04)</w:t>
            </w:r>
          </w:p>
        </w:tc>
      </w:tr>
      <w:tr w:rsidR="00444961" w:rsidRPr="002219E5" w:rsidTr="00444961">
        <w:tc>
          <w:tcPr>
            <w:tcW w:w="851"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LIE</w:t>
            </w:r>
          </w:p>
        </w:tc>
        <w:tc>
          <w:tcPr>
            <w:tcW w:w="992" w:type="dxa"/>
            <w:tcBorders>
              <w:bottom w:val="single" w:sz="4" w:space="0" w:color="auto"/>
            </w:tcBorders>
            <w:shd w:val="clear" w:color="auto" w:fill="FFE599" w:themeFill="accent4" w:themeFillTint="66"/>
            <w:vAlign w:val="center"/>
          </w:tcPr>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-0.00</w:t>
            </w:r>
          </w:p>
          <w:p w:rsidR="00444961" w:rsidRPr="002219E5" w:rsidRDefault="00444961" w:rsidP="00444961">
            <w:pPr>
              <w:widowControl/>
              <w:jc w:val="left"/>
              <w:rPr>
                <w:rFonts w:ascii="Times New Roman" w:hAnsi="Times New Roman" w:cs="Times New Roman"/>
                <w:sz w:val="14"/>
                <w:szCs w:val="14"/>
              </w:rPr>
            </w:pPr>
            <w:r w:rsidRPr="002219E5">
              <w:rPr>
                <w:rFonts w:ascii="Times New Roman" w:hAnsi="Times New Roman" w:cs="Times New Roman"/>
                <w:sz w:val="14"/>
                <w:szCs w:val="14"/>
              </w:rPr>
              <w:t>(-0.03, 0.03)</w:t>
            </w:r>
          </w:p>
        </w:tc>
        <w:tc>
          <w:tcPr>
            <w:tcW w:w="992" w:type="dxa"/>
            <w:shd w:val="clear" w:color="auto" w:fill="FFE599" w:themeFill="accent4" w:themeFillTint="66"/>
            <w:vAlign w:val="center"/>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(-0.05, 0.03)</w:t>
            </w:r>
          </w:p>
        </w:tc>
      </w:tr>
      <w:tr w:rsidR="00444961" w:rsidRPr="002219E5" w:rsidTr="00444961">
        <w:tc>
          <w:tcPr>
            <w:tcW w:w="851"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MBE</w:t>
            </w:r>
          </w:p>
        </w:tc>
        <w:tc>
          <w:tcPr>
            <w:tcW w:w="992" w:type="dxa"/>
            <w:tcBorders>
              <w:bottom w:val="single" w:sz="4" w:space="0" w:color="auto"/>
            </w:tcBorders>
            <w:shd w:val="clear" w:color="auto" w:fill="FFE599" w:themeFill="accent4" w:themeFillTint="66"/>
          </w:tcPr>
          <w:p w:rsidR="00444961" w:rsidRPr="002219E5" w:rsidRDefault="00444961" w:rsidP="00444961">
            <w:pPr>
              <w:widowControl/>
              <w:rPr>
                <w:rFonts w:ascii="Times New Roman" w:hAnsi="Times New Roman" w:cs="Times New Roman"/>
                <w:sz w:val="14"/>
                <w:szCs w:val="14"/>
              </w:rPr>
            </w:pPr>
            <w:r w:rsidRPr="002219E5">
              <w:rPr>
                <w:rFonts w:ascii="Times New Roman" w:hAnsi="Times New Roman" w:cs="Times New Roman"/>
                <w:sz w:val="14"/>
                <w:szCs w:val="14"/>
              </w:rPr>
              <w:t xml:space="preserve">-0.01 </w:t>
            </w:r>
          </w:p>
          <w:p w:rsidR="00444961" w:rsidRPr="002219E5" w:rsidRDefault="00444961" w:rsidP="00444961">
            <w:pPr>
              <w:widowControl/>
              <w:rPr>
                <w:rFonts w:ascii="Times New Roman" w:hAnsi="Times New Roman" w:cs="Times New Roman"/>
                <w:sz w:val="14"/>
                <w:szCs w:val="14"/>
              </w:rPr>
            </w:pPr>
            <w:r w:rsidRPr="002219E5">
              <w:rPr>
                <w:rFonts w:ascii="Times New Roman" w:hAnsi="Times New Roman" w:cs="Times New Roman"/>
                <w:sz w:val="14"/>
                <w:szCs w:val="14"/>
              </w:rPr>
              <w:t>(-0.04, 0.03)</w:t>
            </w:r>
          </w:p>
        </w:tc>
      </w:tr>
      <w:tr w:rsidR="00444961" w:rsidRPr="002219E5" w:rsidTr="00444961">
        <w:tc>
          <w:tcPr>
            <w:tcW w:w="851"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87"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444961" w:rsidRPr="002219E5" w:rsidRDefault="00444961"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444961" w:rsidRPr="002219E5" w:rsidRDefault="00444961" w:rsidP="00444961">
            <w:pPr>
              <w:rPr>
                <w:rFonts w:ascii="Times New Roman" w:hAnsi="Times New Roman" w:cs="Times New Roman"/>
                <w:sz w:val="14"/>
                <w:szCs w:val="14"/>
              </w:rPr>
            </w:pPr>
            <w:r w:rsidRPr="002219E5">
              <w:rPr>
                <w:rFonts w:ascii="Times New Roman" w:hAnsi="Times New Roman" w:cs="Times New Roman"/>
                <w:sz w:val="14"/>
                <w:szCs w:val="14"/>
              </w:rPr>
              <w:t>WBE</w:t>
            </w:r>
          </w:p>
        </w:tc>
      </w:tr>
    </w:tbl>
    <w:p w:rsidR="002219E5" w:rsidRDefault="002219E5" w:rsidP="00DC4C68">
      <w:pPr>
        <w:autoSpaceDE w:val="0"/>
        <w:autoSpaceDN w:val="0"/>
        <w:adjustRightInd w:val="0"/>
        <w:jc w:val="left"/>
        <w:rPr>
          <w:rFonts w:ascii="Times New Roman" w:hAnsi="Times New Roman" w:cs="Times New Roman"/>
          <w:b/>
          <w:color w:val="000000"/>
          <w:sz w:val="24"/>
          <w:szCs w:val="24"/>
        </w:rPr>
      </w:pPr>
    </w:p>
    <w:p w:rsidR="002219E5" w:rsidRDefault="002219E5">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219E5" w:rsidRPr="00444961" w:rsidRDefault="002219E5" w:rsidP="00172ABA">
      <w:pPr>
        <w:pStyle w:val="2"/>
        <w:rPr>
          <w:rFonts w:ascii="Times New Roman" w:hAnsi="Times New Roman" w:cs="Times New Roman"/>
          <w:sz w:val="24"/>
          <w:szCs w:val="24"/>
        </w:rPr>
      </w:pPr>
      <w:bookmarkStart w:id="64" w:name="_Toc74521940"/>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2E1C7F" w:rsidRPr="00444961">
        <w:rPr>
          <w:rFonts w:ascii="Times New Roman" w:hAnsi="Times New Roman" w:cs="Times New Roman"/>
          <w:sz w:val="24"/>
          <w:szCs w:val="24"/>
        </w:rPr>
        <w:t>14</w:t>
      </w:r>
      <w:r w:rsidRPr="00444961">
        <w:rPr>
          <w:rFonts w:ascii="Times New Roman" w:hAnsi="Times New Roman" w:cs="Times New Roman"/>
          <w:sz w:val="24"/>
          <w:szCs w:val="24"/>
        </w:rPr>
        <w:t>.</w:t>
      </w:r>
      <w:r w:rsidR="002A5715" w:rsidRPr="00444961">
        <w:rPr>
          <w:rFonts w:ascii="Times New Roman" w:hAnsi="Times New Roman" w:cs="Times New Roman" w:hint="eastAsia"/>
          <w:sz w:val="24"/>
          <w:szCs w:val="24"/>
        </w:rPr>
        <w:t>3</w:t>
      </w:r>
      <w:r w:rsidRPr="00444961">
        <w:rPr>
          <w:rFonts w:ascii="Times New Roman" w:hAnsi="Times New Roman" w:cs="Times New Roman"/>
          <w:sz w:val="24"/>
          <w:szCs w:val="24"/>
        </w:rPr>
        <w:t>: Relative effect estimates for the contrasts between the different interventions and control arms on BMD at TH in participants younger than 60</w:t>
      </w:r>
      <w:r w:rsidRPr="002219E5">
        <w:t xml:space="preserve"> </w:t>
      </w:r>
      <w:r w:rsidRPr="00444961">
        <w:rPr>
          <w:rFonts w:ascii="Times New Roman" w:hAnsi="Times New Roman" w:cs="Times New Roman"/>
          <w:sz w:val="24"/>
          <w:szCs w:val="24"/>
        </w:rPr>
        <w:t>years old</w:t>
      </w:r>
      <w:bookmarkEnd w:id="64"/>
    </w:p>
    <w:tbl>
      <w:tblPr>
        <w:tblStyle w:val="a3"/>
        <w:tblpPr w:leftFromText="180" w:rightFromText="180" w:vertAnchor="page" w:horzAnchor="margin" w:tblpXSpec="center" w:tblpY="3537"/>
        <w:tblW w:w="9209" w:type="dxa"/>
        <w:tblLook w:val="04A0" w:firstRow="1" w:lastRow="0" w:firstColumn="1" w:lastColumn="0" w:noHBand="0" w:noVBand="1"/>
      </w:tblPr>
      <w:tblGrid>
        <w:gridCol w:w="704"/>
        <w:gridCol w:w="1134"/>
        <w:gridCol w:w="992"/>
        <w:gridCol w:w="1134"/>
        <w:gridCol w:w="1134"/>
        <w:gridCol w:w="993"/>
        <w:gridCol w:w="992"/>
        <w:gridCol w:w="992"/>
        <w:gridCol w:w="1134"/>
      </w:tblGrid>
      <w:tr w:rsidR="002219E5" w:rsidRPr="002A5715" w:rsidTr="00444961">
        <w:trPr>
          <w:trHeight w:val="841"/>
        </w:trPr>
        <w:tc>
          <w:tcPr>
            <w:tcW w:w="704" w:type="dxa"/>
            <w:tcBorders>
              <w:bottom w:val="single" w:sz="4" w:space="0" w:color="auto"/>
            </w:tcBorders>
            <w:shd w:val="clear" w:color="auto" w:fill="BDD6EE" w:themeFill="accent1"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Control</w:t>
            </w:r>
          </w:p>
        </w:tc>
        <w:tc>
          <w:tcPr>
            <w:tcW w:w="1134" w:type="dxa"/>
            <w:tcBorders>
              <w:bottom w:val="single" w:sz="4" w:space="0" w:color="auto"/>
            </w:tcBorders>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(-0.03,0.02)</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(-0.04,0.00)</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(-0.01,0.01)</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(-0.02,0.02)</w:t>
            </w:r>
          </w:p>
        </w:tc>
        <w:tc>
          <w:tcPr>
            <w:tcW w:w="993"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(-0.02,0.01)</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(-0.04,0.00)</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b/>
                <w:sz w:val="14"/>
                <w:szCs w:val="14"/>
              </w:rPr>
            </w:pPr>
            <w:r w:rsidRPr="002A5715">
              <w:rPr>
                <w:rFonts w:ascii="Times New Roman" w:hAnsi="Times New Roman" w:cs="Times New Roman"/>
                <w:sz w:val="14"/>
                <w:szCs w:val="14"/>
              </w:rPr>
              <w:t>(-0.02,0.00)</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(-0.02,0.00)</w:t>
            </w:r>
          </w:p>
        </w:tc>
      </w:tr>
      <w:tr w:rsidR="002219E5" w:rsidRPr="002A5715" w:rsidTr="00444961">
        <w:trPr>
          <w:trHeight w:val="837"/>
        </w:trPr>
        <w:tc>
          <w:tcPr>
            <w:tcW w:w="704" w:type="dxa"/>
            <w:tcBorders>
              <w:top w:val="single" w:sz="4" w:space="0" w:color="auto"/>
              <w:left w:val="nil"/>
              <w:bottom w:val="nil"/>
              <w:right w:val="single" w:sz="4" w:space="0" w:color="auto"/>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left w:val="single" w:sz="4" w:space="0" w:color="auto"/>
              <w:bottom w:val="single" w:sz="4" w:space="0" w:color="auto"/>
            </w:tcBorders>
            <w:shd w:val="clear" w:color="auto" w:fill="BDD6EE" w:themeFill="accent1"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WE</w:t>
            </w:r>
          </w:p>
        </w:tc>
        <w:tc>
          <w:tcPr>
            <w:tcW w:w="992" w:type="dxa"/>
            <w:tcBorders>
              <w:bottom w:val="single" w:sz="4" w:space="0" w:color="auto"/>
            </w:tcBorders>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(-0.04,0.01)</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(-0.02,0.03)</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(-0.03,0.03)</w:t>
            </w:r>
          </w:p>
        </w:tc>
        <w:tc>
          <w:tcPr>
            <w:tcW w:w="993"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(-0.02,0.03)</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(-0.04,0.02)</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b/>
                <w:sz w:val="14"/>
                <w:szCs w:val="14"/>
              </w:rPr>
            </w:pPr>
            <w:r w:rsidRPr="002A5715">
              <w:rPr>
                <w:rFonts w:ascii="Times New Roman" w:hAnsi="Times New Roman" w:cs="Times New Roman"/>
                <w:sz w:val="14"/>
                <w:szCs w:val="14"/>
              </w:rPr>
              <w:t>(-0.03,0.02)</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(-0.02,0.01)</w:t>
            </w:r>
          </w:p>
        </w:tc>
      </w:tr>
      <w:tr w:rsidR="002219E5" w:rsidRPr="002A5715" w:rsidTr="00444961">
        <w:trPr>
          <w:trHeight w:val="835"/>
        </w:trPr>
        <w:tc>
          <w:tcPr>
            <w:tcW w:w="70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single" w:sz="4" w:space="0" w:color="auto"/>
              <w:left w:val="nil"/>
              <w:bottom w:val="nil"/>
              <w:right w:val="single" w:sz="4" w:space="0" w:color="auto"/>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FE</w:t>
            </w:r>
          </w:p>
        </w:tc>
        <w:tc>
          <w:tcPr>
            <w:tcW w:w="1134" w:type="dxa"/>
            <w:tcBorders>
              <w:bottom w:val="single" w:sz="4" w:space="0" w:color="auto"/>
            </w:tcBorders>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(-0.01,0.04)</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(-0.01,0.05)</w:t>
            </w:r>
          </w:p>
        </w:tc>
        <w:tc>
          <w:tcPr>
            <w:tcW w:w="993"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(-0.01,0.04)</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(-0.03,0.03)</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(-0.02,0.03)</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(-0.01,0.03)</w:t>
            </w:r>
          </w:p>
        </w:tc>
      </w:tr>
      <w:tr w:rsidR="002219E5" w:rsidRPr="002A5715" w:rsidTr="00444961">
        <w:trPr>
          <w:trHeight w:val="846"/>
        </w:trPr>
        <w:tc>
          <w:tcPr>
            <w:tcW w:w="70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left w:val="single" w:sz="4" w:space="0" w:color="auto"/>
              <w:bottom w:val="single" w:sz="4" w:space="0" w:color="auto"/>
            </w:tcBorders>
            <w:shd w:val="clear" w:color="auto" w:fill="BDD6EE" w:themeFill="accent1"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WBV</w:t>
            </w:r>
          </w:p>
        </w:tc>
        <w:tc>
          <w:tcPr>
            <w:tcW w:w="1134" w:type="dxa"/>
            <w:tcBorders>
              <w:bottom w:val="single" w:sz="4" w:space="0" w:color="auto"/>
            </w:tcBorders>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(-0.03,0.02)</w:t>
            </w:r>
          </w:p>
        </w:tc>
        <w:tc>
          <w:tcPr>
            <w:tcW w:w="993"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(-0.02,0.01)</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(-0.04,0.00)</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(-0.04,0.00)</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(-0.03,0.00)</w:t>
            </w:r>
          </w:p>
        </w:tc>
      </w:tr>
      <w:tr w:rsidR="002219E5" w:rsidRPr="002A5715" w:rsidTr="00444961">
        <w:trPr>
          <w:trHeight w:val="844"/>
        </w:trPr>
        <w:tc>
          <w:tcPr>
            <w:tcW w:w="70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single" w:sz="4" w:space="0" w:color="auto"/>
              <w:left w:val="nil"/>
              <w:bottom w:val="nil"/>
              <w:right w:val="single" w:sz="4" w:space="0" w:color="auto"/>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left w:val="single" w:sz="4" w:space="0" w:color="auto"/>
              <w:bottom w:val="single" w:sz="4" w:space="0" w:color="auto"/>
            </w:tcBorders>
            <w:shd w:val="clear" w:color="auto" w:fill="BDD6EE" w:themeFill="accent1"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MIE</w:t>
            </w:r>
          </w:p>
        </w:tc>
        <w:tc>
          <w:tcPr>
            <w:tcW w:w="993" w:type="dxa"/>
            <w:tcBorders>
              <w:bottom w:val="single" w:sz="4" w:space="0" w:color="auto"/>
            </w:tcBorders>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(-0.03,0.02)</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(-0.05,0.01)</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(-0.03,0.01)</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(-0.03,0.01)</w:t>
            </w:r>
          </w:p>
        </w:tc>
      </w:tr>
      <w:tr w:rsidR="002219E5" w:rsidRPr="002A5715" w:rsidTr="00444961">
        <w:trPr>
          <w:trHeight w:val="841"/>
        </w:trPr>
        <w:tc>
          <w:tcPr>
            <w:tcW w:w="70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single" w:sz="4" w:space="0" w:color="auto"/>
              <w:left w:val="nil"/>
              <w:bottom w:val="nil"/>
              <w:right w:val="single" w:sz="4" w:space="0" w:color="auto"/>
            </w:tcBorders>
            <w:shd w:val="clear" w:color="auto" w:fill="auto"/>
          </w:tcPr>
          <w:p w:rsidR="002219E5" w:rsidRPr="002A5715" w:rsidRDefault="002219E5" w:rsidP="00444961">
            <w:pPr>
              <w:rPr>
                <w:rFonts w:ascii="Times New Roman" w:hAnsi="Times New Roman" w:cs="Times New Roman"/>
                <w:sz w:val="14"/>
                <w:szCs w:val="14"/>
              </w:rPr>
            </w:pPr>
          </w:p>
        </w:tc>
        <w:tc>
          <w:tcPr>
            <w:tcW w:w="993" w:type="dxa"/>
            <w:tcBorders>
              <w:left w:val="single" w:sz="4" w:space="0" w:color="auto"/>
              <w:bottom w:val="single" w:sz="4" w:space="0" w:color="auto"/>
            </w:tcBorders>
            <w:shd w:val="clear" w:color="auto" w:fill="BDD6EE" w:themeFill="accent1"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LIE</w:t>
            </w:r>
          </w:p>
        </w:tc>
        <w:tc>
          <w:tcPr>
            <w:tcW w:w="992" w:type="dxa"/>
            <w:tcBorders>
              <w:bottom w:val="single" w:sz="4" w:space="0" w:color="auto"/>
            </w:tcBorders>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(-0.04,0.01)</w:t>
            </w:r>
          </w:p>
        </w:tc>
        <w:tc>
          <w:tcPr>
            <w:tcW w:w="992"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(-0.03,0.01)</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(-0.02,0.01)</w:t>
            </w:r>
          </w:p>
        </w:tc>
      </w:tr>
      <w:tr w:rsidR="002219E5" w:rsidRPr="002A5715" w:rsidTr="00444961">
        <w:trPr>
          <w:trHeight w:val="698"/>
        </w:trPr>
        <w:tc>
          <w:tcPr>
            <w:tcW w:w="70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3" w:type="dxa"/>
            <w:tcBorders>
              <w:top w:val="single" w:sz="4" w:space="0" w:color="auto"/>
              <w:left w:val="nil"/>
              <w:bottom w:val="nil"/>
              <w:right w:val="single" w:sz="4" w:space="0" w:color="auto"/>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MBE</w:t>
            </w:r>
          </w:p>
        </w:tc>
        <w:tc>
          <w:tcPr>
            <w:tcW w:w="992" w:type="dxa"/>
            <w:tcBorders>
              <w:bottom w:val="single" w:sz="4" w:space="0" w:color="auto"/>
            </w:tcBorders>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(-0.02,0.03)</w:t>
            </w:r>
          </w:p>
        </w:tc>
        <w:tc>
          <w:tcPr>
            <w:tcW w:w="1134" w:type="dxa"/>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(-0.01,0.03)</w:t>
            </w:r>
          </w:p>
        </w:tc>
      </w:tr>
      <w:tr w:rsidR="002219E5" w:rsidRPr="002A5715" w:rsidTr="00444961">
        <w:trPr>
          <w:trHeight w:val="696"/>
        </w:trPr>
        <w:tc>
          <w:tcPr>
            <w:tcW w:w="70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left w:val="single" w:sz="4" w:space="0" w:color="auto"/>
              <w:bottom w:val="single" w:sz="4" w:space="0" w:color="auto"/>
            </w:tcBorders>
            <w:shd w:val="clear" w:color="auto" w:fill="BDD6EE" w:themeFill="accent1"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WBE</w:t>
            </w:r>
          </w:p>
        </w:tc>
        <w:tc>
          <w:tcPr>
            <w:tcW w:w="1134" w:type="dxa"/>
            <w:tcBorders>
              <w:bottom w:val="single" w:sz="4" w:space="0" w:color="auto"/>
            </w:tcBorders>
            <w:shd w:val="clear" w:color="auto" w:fill="FFE599" w:themeFill="accent4"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0.00</w:t>
            </w:r>
          </w:p>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(-0.01,0.02)</w:t>
            </w:r>
          </w:p>
        </w:tc>
      </w:tr>
      <w:tr w:rsidR="002219E5" w:rsidRPr="002A5715" w:rsidTr="00444961">
        <w:trPr>
          <w:trHeight w:val="706"/>
        </w:trPr>
        <w:tc>
          <w:tcPr>
            <w:tcW w:w="70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3"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top w:val="nil"/>
              <w:left w:val="nil"/>
              <w:bottom w:val="nil"/>
              <w:right w:val="nil"/>
            </w:tcBorders>
            <w:shd w:val="clear" w:color="auto" w:fill="auto"/>
          </w:tcPr>
          <w:p w:rsidR="002219E5" w:rsidRPr="002A5715" w:rsidRDefault="002219E5" w:rsidP="00444961">
            <w:pPr>
              <w:rPr>
                <w:rFonts w:ascii="Times New Roman" w:hAnsi="Times New Roman" w:cs="Times New Roman"/>
                <w:sz w:val="14"/>
                <w:szCs w:val="14"/>
              </w:rPr>
            </w:pPr>
          </w:p>
        </w:tc>
        <w:tc>
          <w:tcPr>
            <w:tcW w:w="992" w:type="dxa"/>
            <w:tcBorders>
              <w:top w:val="single" w:sz="4" w:space="0" w:color="auto"/>
              <w:left w:val="nil"/>
              <w:bottom w:val="nil"/>
              <w:right w:val="single" w:sz="4" w:space="0" w:color="auto"/>
            </w:tcBorders>
            <w:shd w:val="clear" w:color="auto" w:fill="auto"/>
          </w:tcPr>
          <w:p w:rsidR="002219E5" w:rsidRPr="002A5715" w:rsidRDefault="002219E5" w:rsidP="00444961">
            <w:pPr>
              <w:rPr>
                <w:rFonts w:ascii="Times New Roman" w:hAnsi="Times New Roman" w:cs="Times New Roman"/>
                <w:sz w:val="14"/>
                <w:szCs w:val="14"/>
              </w:rPr>
            </w:pPr>
          </w:p>
        </w:tc>
        <w:tc>
          <w:tcPr>
            <w:tcW w:w="1134" w:type="dxa"/>
            <w:tcBorders>
              <w:left w:val="single" w:sz="4" w:space="0" w:color="auto"/>
            </w:tcBorders>
            <w:shd w:val="clear" w:color="auto" w:fill="BDD6EE" w:themeFill="accent1" w:themeFillTint="66"/>
          </w:tcPr>
          <w:p w:rsidR="002219E5" w:rsidRPr="002A5715" w:rsidRDefault="002219E5" w:rsidP="00444961">
            <w:pPr>
              <w:rPr>
                <w:rFonts w:ascii="Times New Roman" w:hAnsi="Times New Roman" w:cs="Times New Roman"/>
                <w:sz w:val="14"/>
                <w:szCs w:val="14"/>
              </w:rPr>
            </w:pPr>
            <w:r w:rsidRPr="002A5715">
              <w:rPr>
                <w:rFonts w:ascii="Times New Roman" w:hAnsi="Times New Roman" w:cs="Times New Roman"/>
                <w:sz w:val="14"/>
                <w:szCs w:val="14"/>
              </w:rPr>
              <w:t>RT</w:t>
            </w:r>
          </w:p>
        </w:tc>
      </w:tr>
    </w:tbl>
    <w:p w:rsidR="002A5715" w:rsidRDefault="002A5715" w:rsidP="002A5715">
      <w:pPr>
        <w:autoSpaceDE w:val="0"/>
        <w:autoSpaceDN w:val="0"/>
        <w:adjustRightInd w:val="0"/>
        <w:jc w:val="left"/>
        <w:rPr>
          <w:rFonts w:ascii="Times New Roman" w:hAnsi="Times New Roman" w:cs="Times New Roman"/>
          <w:b/>
          <w:color w:val="000000"/>
          <w:sz w:val="24"/>
          <w:szCs w:val="24"/>
        </w:rPr>
      </w:pPr>
    </w:p>
    <w:p w:rsidR="002A5715" w:rsidRDefault="002A5715">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A5715" w:rsidRPr="00444961" w:rsidRDefault="002A5715" w:rsidP="00172ABA">
      <w:pPr>
        <w:pStyle w:val="2"/>
        <w:rPr>
          <w:rFonts w:ascii="Times New Roman" w:hAnsi="Times New Roman" w:cs="Times New Roman"/>
          <w:sz w:val="24"/>
          <w:szCs w:val="24"/>
        </w:rPr>
      </w:pPr>
      <w:bookmarkStart w:id="65" w:name="_Toc74521941"/>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2E1C7F" w:rsidRPr="00444961">
        <w:rPr>
          <w:rFonts w:ascii="Times New Roman" w:hAnsi="Times New Roman" w:cs="Times New Roman"/>
          <w:sz w:val="24"/>
          <w:szCs w:val="24"/>
        </w:rPr>
        <w:t>15</w:t>
      </w:r>
      <w:r w:rsidRPr="00444961">
        <w:rPr>
          <w:rFonts w:ascii="Times New Roman" w:hAnsi="Times New Roman" w:cs="Times New Roman"/>
          <w:sz w:val="24"/>
          <w:szCs w:val="24"/>
        </w:rPr>
        <w:t xml:space="preserve">: Cumulative ranking plots to show comparative effectiveness of treatments from a BMD outcome at </w:t>
      </w:r>
      <w:r w:rsidR="003670A7" w:rsidRPr="00444961">
        <w:rPr>
          <w:rFonts w:ascii="Times New Roman" w:hAnsi="Times New Roman" w:cs="Times New Roman"/>
          <w:sz w:val="24"/>
          <w:szCs w:val="24"/>
        </w:rPr>
        <w:t>(A) LS, (B) FN, and (C) FN</w:t>
      </w:r>
      <w:r w:rsidRPr="00444961">
        <w:rPr>
          <w:rFonts w:ascii="Times New Roman" w:hAnsi="Times New Roman" w:cs="Times New Roman"/>
          <w:sz w:val="24"/>
          <w:szCs w:val="24"/>
        </w:rPr>
        <w:t xml:space="preserve"> network meta-analysis in participants younger than 60 years old</w:t>
      </w:r>
      <w:bookmarkEnd w:id="65"/>
    </w:p>
    <w:p w:rsidR="00833882" w:rsidRPr="00444961" w:rsidRDefault="003670A7" w:rsidP="002A5715">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hint="eastAsia"/>
          <w:color w:val="000000"/>
          <w:sz w:val="20"/>
          <w:szCs w:val="20"/>
        </w:rPr>
        <w:t>A</w:t>
      </w:r>
      <w:r w:rsidRPr="00444961">
        <w:rPr>
          <w:rFonts w:ascii="Times New Roman" w:hAnsi="Times New Roman" w:cs="Times New Roman"/>
          <w:color w:val="000000"/>
          <w:sz w:val="20"/>
          <w:szCs w:val="20"/>
        </w:rPr>
        <w:t>.</w:t>
      </w:r>
    </w:p>
    <w:p w:rsidR="002A5715" w:rsidRDefault="002A5715" w:rsidP="003670A7">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hint="eastAsia"/>
          <w:b/>
          <w:noProof/>
          <w:color w:val="000000"/>
          <w:sz w:val="24"/>
          <w:szCs w:val="24"/>
        </w:rPr>
        <w:drawing>
          <wp:inline distT="0" distB="0" distL="0" distR="0">
            <wp:extent cx="5249973" cy="3161030"/>
            <wp:effectExtent l="0" t="0" r="825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S＜60 ranking.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6807" cy="3189229"/>
                    </a:xfrm>
                    <a:prstGeom prst="rect">
                      <a:avLst/>
                    </a:prstGeom>
                  </pic:spPr>
                </pic:pic>
              </a:graphicData>
            </a:graphic>
          </wp:inline>
        </w:drawing>
      </w:r>
    </w:p>
    <w:p w:rsidR="00902778" w:rsidRPr="00444961" w:rsidRDefault="003670A7" w:rsidP="00902778">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B.</w:t>
      </w:r>
    </w:p>
    <w:p w:rsidR="00902778" w:rsidRDefault="00902778" w:rsidP="00902778">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223849" cy="3728430"/>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N＜60 ranking.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1423" cy="3733836"/>
                    </a:xfrm>
                    <a:prstGeom prst="rect">
                      <a:avLst/>
                    </a:prstGeom>
                  </pic:spPr>
                </pic:pic>
              </a:graphicData>
            </a:graphic>
          </wp:inline>
        </w:drawing>
      </w:r>
    </w:p>
    <w:p w:rsidR="00902778" w:rsidRDefault="00902778" w:rsidP="00902778">
      <w:pPr>
        <w:autoSpaceDE w:val="0"/>
        <w:autoSpaceDN w:val="0"/>
        <w:adjustRightInd w:val="0"/>
        <w:jc w:val="left"/>
        <w:rPr>
          <w:rFonts w:ascii="Times New Roman" w:hAnsi="Times New Roman" w:cs="Times New Roman"/>
          <w:b/>
          <w:color w:val="000000"/>
          <w:sz w:val="24"/>
          <w:szCs w:val="24"/>
        </w:rPr>
        <w:sectPr w:rsidR="00902778">
          <w:pgSz w:w="11906" w:h="16838"/>
          <w:pgMar w:top="1440" w:right="1800" w:bottom="1440" w:left="1800" w:header="851" w:footer="992" w:gutter="0"/>
          <w:cols w:space="425"/>
          <w:docGrid w:type="lines" w:linePitch="312"/>
        </w:sectPr>
      </w:pPr>
    </w:p>
    <w:p w:rsidR="00D4301F" w:rsidRPr="00444961" w:rsidRDefault="003670A7" w:rsidP="00902778">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hint="eastAsia"/>
          <w:color w:val="000000"/>
          <w:sz w:val="20"/>
          <w:szCs w:val="20"/>
        </w:rPr>
        <w:lastRenderedPageBreak/>
        <w:t>C</w:t>
      </w:r>
      <w:r w:rsidRPr="00444961">
        <w:rPr>
          <w:rFonts w:ascii="Times New Roman" w:hAnsi="Times New Roman" w:cs="Times New Roman"/>
          <w:color w:val="000000"/>
          <w:sz w:val="20"/>
          <w:szCs w:val="20"/>
        </w:rPr>
        <w:t>.</w:t>
      </w:r>
    </w:p>
    <w:p w:rsidR="00D4301F" w:rsidRDefault="00D4301F" w:rsidP="002A5715">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hint="eastAsia"/>
          <w:b/>
          <w:noProof/>
          <w:color w:val="000000"/>
          <w:sz w:val="24"/>
          <w:szCs w:val="24"/>
        </w:rPr>
        <w:drawing>
          <wp:inline distT="0" distB="0" distL="0" distR="0">
            <wp:extent cx="5274310" cy="38379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60 ranking.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837940"/>
                    </a:xfrm>
                    <a:prstGeom prst="rect">
                      <a:avLst/>
                    </a:prstGeom>
                  </pic:spPr>
                </pic:pic>
              </a:graphicData>
            </a:graphic>
          </wp:inline>
        </w:drawing>
      </w:r>
    </w:p>
    <w:p w:rsidR="00D4301F" w:rsidRDefault="00D4301F">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A5715" w:rsidRPr="00444961" w:rsidRDefault="008D2D76" w:rsidP="00172ABA">
      <w:pPr>
        <w:pStyle w:val="2"/>
        <w:rPr>
          <w:rFonts w:ascii="Times New Roman" w:hAnsi="Times New Roman" w:cs="Times New Roman"/>
          <w:sz w:val="24"/>
          <w:szCs w:val="24"/>
        </w:rPr>
      </w:pPr>
      <w:bookmarkStart w:id="66" w:name="_Toc74521942"/>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4F4696" w:rsidRPr="00444961">
        <w:rPr>
          <w:rFonts w:ascii="Times New Roman" w:hAnsi="Times New Roman" w:cs="Times New Roman" w:hint="eastAsia"/>
          <w:sz w:val="24"/>
          <w:szCs w:val="24"/>
        </w:rPr>
        <w:t>1</w:t>
      </w:r>
      <w:r w:rsidR="002E1C7F" w:rsidRPr="00444961">
        <w:rPr>
          <w:rFonts w:ascii="Times New Roman" w:hAnsi="Times New Roman" w:cs="Times New Roman"/>
          <w:sz w:val="24"/>
          <w:szCs w:val="24"/>
        </w:rPr>
        <w:t>6</w:t>
      </w:r>
      <w:r w:rsidRPr="00444961">
        <w:rPr>
          <w:rFonts w:ascii="Times New Roman" w:hAnsi="Times New Roman" w:cs="Times New Roman"/>
          <w:sz w:val="24"/>
          <w:szCs w:val="24"/>
        </w:rPr>
        <w:t xml:space="preserve">.1: Relative effect estimates for the contrasts between the different interventions and control arms on BMD at LS </w:t>
      </w:r>
      <w:r w:rsidRPr="00444961">
        <w:rPr>
          <w:rFonts w:ascii="Times New Roman" w:hAnsi="Times New Roman" w:cs="Times New Roman" w:hint="eastAsia"/>
          <w:sz w:val="24"/>
          <w:szCs w:val="24"/>
        </w:rPr>
        <w:t>when</w:t>
      </w:r>
      <w:r w:rsidRPr="00444961">
        <w:rPr>
          <w:rFonts w:ascii="Times New Roman" w:hAnsi="Times New Roman" w:cs="Times New Roman"/>
          <w:sz w:val="24"/>
          <w:szCs w:val="24"/>
        </w:rPr>
        <w:t xml:space="preserve"> exercise intervention with</w:t>
      </w:r>
      <w:r w:rsidRPr="008D2D76">
        <w:t xml:space="preserve"> </w:t>
      </w:r>
      <w:r w:rsidRPr="00444961">
        <w:rPr>
          <w:rFonts w:ascii="Times New Roman" w:hAnsi="Times New Roman" w:cs="Times New Roman"/>
          <w:sz w:val="24"/>
          <w:szCs w:val="24"/>
        </w:rPr>
        <w:t>duration no more than eight months</w:t>
      </w:r>
      <w:bookmarkEnd w:id="66"/>
    </w:p>
    <w:tbl>
      <w:tblPr>
        <w:tblStyle w:val="a3"/>
        <w:tblpPr w:leftFromText="180" w:rightFromText="180" w:vertAnchor="page" w:horzAnchor="margin" w:tblpXSpec="center" w:tblpY="4021"/>
        <w:tblW w:w="10060" w:type="dxa"/>
        <w:tblLook w:val="04A0" w:firstRow="1" w:lastRow="0" w:firstColumn="1" w:lastColumn="0" w:noHBand="0" w:noVBand="1"/>
      </w:tblPr>
      <w:tblGrid>
        <w:gridCol w:w="1129"/>
        <w:gridCol w:w="1134"/>
        <w:gridCol w:w="1134"/>
        <w:gridCol w:w="1134"/>
        <w:gridCol w:w="1134"/>
        <w:gridCol w:w="1134"/>
        <w:gridCol w:w="1134"/>
        <w:gridCol w:w="1134"/>
        <w:gridCol w:w="993"/>
      </w:tblGrid>
      <w:tr w:rsidR="008D2D76" w:rsidRPr="008D2D76" w:rsidTr="00444961">
        <w:trPr>
          <w:trHeight w:val="699"/>
        </w:trPr>
        <w:tc>
          <w:tcPr>
            <w:tcW w:w="1129" w:type="dxa"/>
            <w:tcBorders>
              <w:right w:val="single" w:sz="4" w:space="0" w:color="auto"/>
            </w:tcBorders>
            <w:shd w:val="clear" w:color="auto" w:fill="BDD6EE" w:themeFill="accent1" w:themeFillTint="66"/>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Control </w:t>
            </w:r>
          </w:p>
          <w:p w:rsidR="008D2D76" w:rsidRPr="008D2D76" w:rsidRDefault="008D2D76" w:rsidP="00444961">
            <w:pPr>
              <w:rPr>
                <w:rFonts w:ascii="Times New Roman" w:hAnsi="Times New Roman" w:cs="Times New Roman"/>
                <w:sz w:val="16"/>
                <w:szCs w:val="16"/>
              </w:rPr>
            </w:pPr>
          </w:p>
        </w:tc>
        <w:tc>
          <w:tcPr>
            <w:tcW w:w="1134" w:type="dxa"/>
            <w:tcBorders>
              <w:top w:val="nil"/>
              <w:left w:val="single" w:sz="4" w:space="0" w:color="auto"/>
              <w:bottom w:val="single" w:sz="4" w:space="0" w:color="auto"/>
              <w:right w:val="nil"/>
            </w:tcBorders>
            <w:shd w:val="clear" w:color="auto" w:fill="auto"/>
            <w:vAlign w:val="center"/>
          </w:tcPr>
          <w:p w:rsidR="008D2D76" w:rsidRPr="008D2D76" w:rsidRDefault="008D2D76" w:rsidP="00444961">
            <w:pPr>
              <w:rPr>
                <w:rFonts w:ascii="Times New Roman" w:hAnsi="Times New Roman" w:cs="Times New Roman"/>
                <w:b/>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b/>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b/>
                <w:sz w:val="16"/>
                <w:szCs w:val="16"/>
              </w:rPr>
            </w:pPr>
          </w:p>
        </w:tc>
        <w:tc>
          <w:tcPr>
            <w:tcW w:w="993"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b/>
                <w:sz w:val="16"/>
                <w:szCs w:val="16"/>
              </w:rPr>
            </w:pPr>
          </w:p>
        </w:tc>
      </w:tr>
      <w:tr w:rsidR="008D2D76" w:rsidRPr="008D2D76" w:rsidTr="00444961">
        <w:trPr>
          <w:trHeight w:val="694"/>
        </w:trPr>
        <w:tc>
          <w:tcPr>
            <w:tcW w:w="1129" w:type="dxa"/>
            <w:shd w:val="clear" w:color="auto" w:fill="FFE599" w:themeFill="accent4" w:themeFillTint="66"/>
            <w:vAlign w:val="center"/>
          </w:tcPr>
          <w:p w:rsidR="008D2D76" w:rsidRPr="008D2D76" w:rsidRDefault="008D2D76" w:rsidP="00444961">
            <w:pPr>
              <w:rPr>
                <w:rFonts w:ascii="Times New Roman" w:hAnsi="Times New Roman" w:cs="Times New Roman"/>
                <w:b/>
                <w:sz w:val="16"/>
                <w:szCs w:val="16"/>
              </w:rPr>
            </w:pPr>
            <w:r w:rsidRPr="008D2D76">
              <w:rPr>
                <w:rFonts w:ascii="Times New Roman" w:hAnsi="Times New Roman" w:cs="Times New Roman"/>
                <w:b/>
                <w:sz w:val="16"/>
                <w:szCs w:val="16"/>
              </w:rPr>
              <w:t xml:space="preserve">-0.02 </w:t>
            </w:r>
          </w:p>
          <w:p w:rsidR="008D2D76" w:rsidRPr="008D2D76" w:rsidRDefault="008D2D76" w:rsidP="00444961">
            <w:pPr>
              <w:rPr>
                <w:rFonts w:ascii="Times New Roman" w:hAnsi="Times New Roman" w:cs="Times New Roman"/>
                <w:b/>
                <w:sz w:val="16"/>
                <w:szCs w:val="16"/>
              </w:rPr>
            </w:pPr>
            <w:r w:rsidRPr="008D2D76">
              <w:rPr>
                <w:rFonts w:ascii="Times New Roman" w:hAnsi="Times New Roman" w:cs="Times New Roman"/>
                <w:b/>
                <w:sz w:val="16"/>
                <w:szCs w:val="16"/>
              </w:rPr>
              <w:t>(-0.03, -0.01)</w:t>
            </w:r>
          </w:p>
        </w:tc>
        <w:tc>
          <w:tcPr>
            <w:tcW w:w="1134" w:type="dxa"/>
            <w:tcBorders>
              <w:top w:val="single" w:sz="4" w:space="0" w:color="auto"/>
              <w:right w:val="single" w:sz="4" w:space="0" w:color="auto"/>
            </w:tcBorders>
            <w:shd w:val="clear" w:color="auto" w:fill="BDD6EE" w:themeFill="accent1" w:themeFillTint="66"/>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WBV</w:t>
            </w:r>
          </w:p>
        </w:tc>
        <w:tc>
          <w:tcPr>
            <w:tcW w:w="1134" w:type="dxa"/>
            <w:tcBorders>
              <w:top w:val="nil"/>
              <w:left w:val="single" w:sz="4" w:space="0" w:color="auto"/>
              <w:bottom w:val="single" w:sz="4" w:space="0" w:color="auto"/>
              <w:right w:val="nil"/>
            </w:tcBorders>
            <w:shd w:val="clear" w:color="auto" w:fill="auto"/>
            <w:vAlign w:val="center"/>
          </w:tcPr>
          <w:p w:rsidR="008D2D76" w:rsidRPr="008D2D76" w:rsidRDefault="008D2D76" w:rsidP="00444961">
            <w:pPr>
              <w:widowControl/>
              <w:jc w:val="left"/>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993"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r>
      <w:tr w:rsidR="008D2D76" w:rsidRPr="008D2D76" w:rsidTr="00444961">
        <w:trPr>
          <w:trHeight w:val="704"/>
        </w:trPr>
        <w:tc>
          <w:tcPr>
            <w:tcW w:w="1129"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0.02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(-0.02, 0.08)</w:t>
            </w:r>
          </w:p>
        </w:tc>
        <w:tc>
          <w:tcPr>
            <w:tcW w:w="1134" w:type="dxa"/>
            <w:shd w:val="clear" w:color="auto" w:fill="FFE599" w:themeFill="accent4" w:themeFillTint="66"/>
            <w:vAlign w:val="center"/>
          </w:tcPr>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 xml:space="preserve">0.04 </w:t>
            </w:r>
          </w:p>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(-0.00, 0.10)</w:t>
            </w:r>
          </w:p>
        </w:tc>
        <w:tc>
          <w:tcPr>
            <w:tcW w:w="1134" w:type="dxa"/>
            <w:tcBorders>
              <w:top w:val="single" w:sz="4" w:space="0" w:color="auto"/>
              <w:right w:val="single" w:sz="4" w:space="0" w:color="auto"/>
            </w:tcBorders>
            <w:shd w:val="clear" w:color="auto" w:fill="BDD6EE" w:themeFill="accent1" w:themeFillTint="66"/>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HIE</w:t>
            </w:r>
          </w:p>
        </w:tc>
        <w:tc>
          <w:tcPr>
            <w:tcW w:w="1134" w:type="dxa"/>
            <w:tcBorders>
              <w:top w:val="nil"/>
              <w:left w:val="single" w:sz="4" w:space="0" w:color="auto"/>
              <w:bottom w:val="single" w:sz="4" w:space="0" w:color="auto"/>
              <w:right w:val="nil"/>
            </w:tcBorders>
            <w:shd w:val="clear" w:color="auto" w:fill="auto"/>
            <w:vAlign w:val="center"/>
          </w:tcPr>
          <w:p w:rsidR="008D2D76" w:rsidRPr="008D2D76" w:rsidRDefault="008D2D76" w:rsidP="00444961">
            <w:pPr>
              <w:widowControl/>
              <w:jc w:val="left"/>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993"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r>
      <w:tr w:rsidR="008D2D76" w:rsidRPr="008D2D76" w:rsidTr="00444961">
        <w:trPr>
          <w:trHeight w:val="699"/>
        </w:trPr>
        <w:tc>
          <w:tcPr>
            <w:tcW w:w="1129"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-0.02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(-0.04, 0.01)</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(-0.02, 0.03)</w:t>
            </w:r>
          </w:p>
        </w:tc>
        <w:tc>
          <w:tcPr>
            <w:tcW w:w="1134" w:type="dxa"/>
            <w:shd w:val="clear" w:color="auto" w:fill="FFE599" w:themeFill="accent4" w:themeFillTint="66"/>
            <w:vAlign w:val="center"/>
          </w:tcPr>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 xml:space="preserve">-0.04 </w:t>
            </w:r>
          </w:p>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(-0.10, 0.01)</w:t>
            </w:r>
          </w:p>
        </w:tc>
        <w:tc>
          <w:tcPr>
            <w:tcW w:w="1134" w:type="dxa"/>
            <w:tcBorders>
              <w:top w:val="single" w:sz="4" w:space="0" w:color="auto"/>
              <w:right w:val="single" w:sz="4" w:space="0" w:color="auto"/>
            </w:tcBorders>
            <w:shd w:val="clear" w:color="auto" w:fill="BDD6EE" w:themeFill="accent1" w:themeFillTint="66"/>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MIE</w:t>
            </w:r>
          </w:p>
        </w:tc>
        <w:tc>
          <w:tcPr>
            <w:tcW w:w="1134" w:type="dxa"/>
            <w:tcBorders>
              <w:top w:val="nil"/>
              <w:left w:val="single" w:sz="4" w:space="0" w:color="auto"/>
              <w:bottom w:val="single" w:sz="4" w:space="0" w:color="auto"/>
              <w:right w:val="nil"/>
            </w:tcBorders>
            <w:shd w:val="clear" w:color="auto" w:fill="auto"/>
            <w:vAlign w:val="center"/>
          </w:tcPr>
          <w:p w:rsidR="008D2D76" w:rsidRPr="008D2D76" w:rsidRDefault="008D2D76" w:rsidP="00444961">
            <w:pPr>
              <w:widowControl/>
              <w:jc w:val="left"/>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993"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r>
      <w:tr w:rsidR="008D2D76" w:rsidRPr="008D2D76" w:rsidTr="00444961">
        <w:trPr>
          <w:trHeight w:val="697"/>
        </w:trPr>
        <w:tc>
          <w:tcPr>
            <w:tcW w:w="1129"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-0.02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(-0.04, 0.00)</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0.00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(-0.02, 0.02)</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-0.04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(-0.11, 0.00)</w:t>
            </w:r>
          </w:p>
        </w:tc>
        <w:tc>
          <w:tcPr>
            <w:tcW w:w="1134" w:type="dxa"/>
            <w:shd w:val="clear" w:color="auto" w:fill="FFE599" w:themeFill="accent4" w:themeFillTint="66"/>
            <w:vAlign w:val="center"/>
          </w:tcPr>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 xml:space="preserve">-0.00 </w:t>
            </w:r>
          </w:p>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(-0.04, 0.02)</w:t>
            </w:r>
          </w:p>
        </w:tc>
        <w:tc>
          <w:tcPr>
            <w:tcW w:w="1134" w:type="dxa"/>
            <w:tcBorders>
              <w:top w:val="single" w:sz="4" w:space="0" w:color="auto"/>
              <w:right w:val="single" w:sz="4" w:space="0" w:color="auto"/>
            </w:tcBorders>
            <w:shd w:val="clear" w:color="auto" w:fill="BDD6EE" w:themeFill="accent1" w:themeFillTint="66"/>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LIE</w:t>
            </w:r>
          </w:p>
        </w:tc>
        <w:tc>
          <w:tcPr>
            <w:tcW w:w="1134" w:type="dxa"/>
            <w:tcBorders>
              <w:top w:val="nil"/>
              <w:left w:val="single" w:sz="4" w:space="0" w:color="auto"/>
              <w:bottom w:val="single" w:sz="4" w:space="0" w:color="auto"/>
              <w:right w:val="nil"/>
            </w:tcBorders>
            <w:shd w:val="clear" w:color="auto" w:fill="auto"/>
            <w:vAlign w:val="center"/>
          </w:tcPr>
          <w:p w:rsidR="008D2D76" w:rsidRPr="008D2D76" w:rsidRDefault="008D2D76" w:rsidP="00444961">
            <w:pPr>
              <w:widowControl/>
              <w:jc w:val="left"/>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993"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r>
      <w:tr w:rsidR="008D2D76" w:rsidRPr="008D2D76" w:rsidTr="00444961">
        <w:trPr>
          <w:trHeight w:val="705"/>
        </w:trPr>
        <w:tc>
          <w:tcPr>
            <w:tcW w:w="1129" w:type="dxa"/>
            <w:shd w:val="clear" w:color="auto" w:fill="FFE599" w:themeFill="accent4" w:themeFillTint="66"/>
            <w:vAlign w:val="center"/>
          </w:tcPr>
          <w:p w:rsidR="008D2D76" w:rsidRPr="008D2D76" w:rsidRDefault="008D2D76" w:rsidP="00444961">
            <w:pPr>
              <w:rPr>
                <w:rFonts w:ascii="Times New Roman" w:hAnsi="Times New Roman" w:cs="Times New Roman"/>
                <w:b/>
                <w:sz w:val="16"/>
                <w:szCs w:val="16"/>
              </w:rPr>
            </w:pPr>
            <w:r w:rsidRPr="008D2D76">
              <w:rPr>
                <w:rFonts w:ascii="Times New Roman" w:hAnsi="Times New Roman" w:cs="Times New Roman"/>
                <w:b/>
                <w:sz w:val="16"/>
                <w:szCs w:val="16"/>
              </w:rPr>
              <w:t xml:space="preserve">-0.02 </w:t>
            </w:r>
          </w:p>
          <w:p w:rsidR="008D2D76" w:rsidRPr="008D2D76" w:rsidRDefault="008D2D76" w:rsidP="00444961">
            <w:pPr>
              <w:rPr>
                <w:rFonts w:ascii="Times New Roman" w:hAnsi="Times New Roman" w:cs="Times New Roman"/>
                <w:b/>
                <w:sz w:val="16"/>
                <w:szCs w:val="16"/>
              </w:rPr>
            </w:pPr>
            <w:r w:rsidRPr="008D2D76">
              <w:rPr>
                <w:rFonts w:ascii="Times New Roman" w:hAnsi="Times New Roman" w:cs="Times New Roman"/>
                <w:b/>
                <w:sz w:val="16"/>
                <w:szCs w:val="16"/>
              </w:rPr>
              <w:t>(-0.04, -0.00)</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0.00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(-0.02, 0.02)</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-0.04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(-0.11, 0.00)</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(-0.03, 0.02)</w:t>
            </w:r>
          </w:p>
        </w:tc>
        <w:tc>
          <w:tcPr>
            <w:tcW w:w="1134" w:type="dxa"/>
            <w:shd w:val="clear" w:color="auto" w:fill="FFE599" w:themeFill="accent4" w:themeFillTint="66"/>
            <w:vAlign w:val="center"/>
          </w:tcPr>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 xml:space="preserve">-0.00 </w:t>
            </w:r>
          </w:p>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(-0.03, 0.03)</w:t>
            </w:r>
          </w:p>
        </w:tc>
        <w:tc>
          <w:tcPr>
            <w:tcW w:w="1134" w:type="dxa"/>
            <w:tcBorders>
              <w:top w:val="single" w:sz="4" w:space="0" w:color="auto"/>
              <w:right w:val="single" w:sz="4" w:space="0" w:color="auto"/>
            </w:tcBorders>
            <w:shd w:val="clear" w:color="auto" w:fill="BDD6EE" w:themeFill="accent1" w:themeFillTint="66"/>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MBE</w:t>
            </w:r>
          </w:p>
        </w:tc>
        <w:tc>
          <w:tcPr>
            <w:tcW w:w="1134" w:type="dxa"/>
            <w:tcBorders>
              <w:top w:val="nil"/>
              <w:left w:val="single" w:sz="4" w:space="0" w:color="auto"/>
              <w:bottom w:val="single" w:sz="4" w:space="0" w:color="auto"/>
              <w:right w:val="nil"/>
            </w:tcBorders>
            <w:shd w:val="clear" w:color="auto" w:fill="auto"/>
            <w:vAlign w:val="center"/>
          </w:tcPr>
          <w:p w:rsidR="008D2D76" w:rsidRPr="008D2D76" w:rsidRDefault="008D2D76" w:rsidP="00444961">
            <w:pPr>
              <w:widowControl/>
              <w:jc w:val="left"/>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c>
          <w:tcPr>
            <w:tcW w:w="993"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r>
      <w:tr w:rsidR="008D2D76" w:rsidRPr="008D2D76" w:rsidTr="00444961">
        <w:trPr>
          <w:trHeight w:val="687"/>
        </w:trPr>
        <w:tc>
          <w:tcPr>
            <w:tcW w:w="1129"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(-0.05, 0.03)</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(-0.03, 0.05)</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-0.03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(-0.11, 0.02)</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(-0.04, 0.05)</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(-0.04, 0.05)</w:t>
            </w:r>
          </w:p>
        </w:tc>
        <w:tc>
          <w:tcPr>
            <w:tcW w:w="1134" w:type="dxa"/>
            <w:shd w:val="clear" w:color="auto" w:fill="FFE599" w:themeFill="accent4" w:themeFillTint="66"/>
            <w:vAlign w:val="center"/>
          </w:tcPr>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(-0.04, 0.05)</w:t>
            </w:r>
          </w:p>
        </w:tc>
        <w:tc>
          <w:tcPr>
            <w:tcW w:w="1134" w:type="dxa"/>
            <w:tcBorders>
              <w:top w:val="single" w:sz="4" w:space="0" w:color="auto"/>
              <w:right w:val="single" w:sz="4" w:space="0" w:color="auto"/>
            </w:tcBorders>
            <w:shd w:val="clear" w:color="auto" w:fill="BDD6EE" w:themeFill="accent1" w:themeFillTint="66"/>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WBE</w:t>
            </w:r>
          </w:p>
        </w:tc>
        <w:tc>
          <w:tcPr>
            <w:tcW w:w="1134" w:type="dxa"/>
            <w:tcBorders>
              <w:top w:val="nil"/>
              <w:left w:val="single" w:sz="4" w:space="0" w:color="auto"/>
              <w:bottom w:val="single" w:sz="4" w:space="0" w:color="auto"/>
              <w:right w:val="nil"/>
            </w:tcBorders>
            <w:shd w:val="clear" w:color="auto" w:fill="auto"/>
            <w:vAlign w:val="center"/>
          </w:tcPr>
          <w:p w:rsidR="008D2D76" w:rsidRPr="008D2D76" w:rsidRDefault="008D2D76" w:rsidP="00444961">
            <w:pPr>
              <w:widowControl/>
              <w:jc w:val="left"/>
              <w:rPr>
                <w:rFonts w:ascii="Times New Roman" w:hAnsi="Times New Roman" w:cs="Times New Roman"/>
                <w:sz w:val="16"/>
                <w:szCs w:val="16"/>
              </w:rPr>
            </w:pPr>
          </w:p>
        </w:tc>
        <w:tc>
          <w:tcPr>
            <w:tcW w:w="993" w:type="dxa"/>
            <w:tcBorders>
              <w:top w:val="nil"/>
              <w:left w:val="nil"/>
              <w:bottom w:val="nil"/>
              <w:right w:val="nil"/>
            </w:tcBorders>
            <w:shd w:val="clear" w:color="auto" w:fill="auto"/>
            <w:vAlign w:val="center"/>
          </w:tcPr>
          <w:p w:rsidR="008D2D76" w:rsidRPr="008D2D76" w:rsidRDefault="008D2D76" w:rsidP="00444961">
            <w:pPr>
              <w:rPr>
                <w:rFonts w:ascii="Times New Roman" w:hAnsi="Times New Roman" w:cs="Times New Roman"/>
                <w:sz w:val="16"/>
                <w:szCs w:val="16"/>
              </w:rPr>
            </w:pPr>
          </w:p>
        </w:tc>
      </w:tr>
      <w:tr w:rsidR="008D2D76" w:rsidRPr="008D2D76" w:rsidTr="00444961">
        <w:trPr>
          <w:trHeight w:val="711"/>
        </w:trPr>
        <w:tc>
          <w:tcPr>
            <w:tcW w:w="1129" w:type="dxa"/>
            <w:shd w:val="clear" w:color="auto" w:fill="FFE599" w:themeFill="accent4" w:themeFillTint="66"/>
            <w:vAlign w:val="center"/>
          </w:tcPr>
          <w:p w:rsidR="008D2D76" w:rsidRPr="008D2D76" w:rsidRDefault="008D2D76" w:rsidP="00444961">
            <w:pPr>
              <w:rPr>
                <w:rFonts w:ascii="Times New Roman" w:hAnsi="Times New Roman" w:cs="Times New Roman"/>
                <w:b/>
                <w:sz w:val="16"/>
                <w:szCs w:val="16"/>
              </w:rPr>
            </w:pPr>
            <w:r w:rsidRPr="008D2D76">
              <w:rPr>
                <w:rFonts w:ascii="Times New Roman" w:hAnsi="Times New Roman" w:cs="Times New Roman"/>
                <w:b/>
                <w:sz w:val="16"/>
                <w:szCs w:val="16"/>
              </w:rPr>
              <w:t xml:space="preserve">-0.01 </w:t>
            </w:r>
          </w:p>
          <w:p w:rsidR="008D2D76" w:rsidRPr="008D2D76" w:rsidRDefault="008D2D76" w:rsidP="00444961">
            <w:pPr>
              <w:rPr>
                <w:rFonts w:ascii="Times New Roman" w:hAnsi="Times New Roman" w:cs="Times New Roman"/>
                <w:b/>
                <w:sz w:val="16"/>
                <w:szCs w:val="16"/>
              </w:rPr>
            </w:pPr>
            <w:r w:rsidRPr="008D2D76">
              <w:rPr>
                <w:rFonts w:ascii="Times New Roman" w:hAnsi="Times New Roman" w:cs="Times New Roman"/>
                <w:b/>
                <w:sz w:val="16"/>
                <w:szCs w:val="16"/>
              </w:rPr>
              <w:t>(-0.03, -0.00)</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(-0.01, 0.02)</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-0.03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(-0.10, 0.01)</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0.00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(-0.02, 0.02)</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(-0.02, 0.03)</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(-0.02, 0.03)</w:t>
            </w:r>
          </w:p>
        </w:tc>
        <w:tc>
          <w:tcPr>
            <w:tcW w:w="1134" w:type="dxa"/>
            <w:shd w:val="clear" w:color="auto" w:fill="FFE599" w:themeFill="accent4" w:themeFillTint="66"/>
            <w:vAlign w:val="center"/>
          </w:tcPr>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 xml:space="preserve">-0.00 </w:t>
            </w:r>
          </w:p>
          <w:p w:rsidR="008D2D76" w:rsidRPr="008D2D76" w:rsidRDefault="008D2D76" w:rsidP="00444961">
            <w:pPr>
              <w:widowControl/>
              <w:jc w:val="left"/>
              <w:rPr>
                <w:rFonts w:ascii="Times New Roman" w:hAnsi="Times New Roman" w:cs="Times New Roman"/>
                <w:sz w:val="16"/>
                <w:szCs w:val="16"/>
              </w:rPr>
            </w:pPr>
            <w:r w:rsidRPr="008D2D76">
              <w:rPr>
                <w:rFonts w:ascii="Times New Roman" w:hAnsi="Times New Roman" w:cs="Times New Roman"/>
                <w:sz w:val="16"/>
                <w:szCs w:val="16"/>
              </w:rPr>
              <w:t>(-0.04, 0.04)</w:t>
            </w:r>
          </w:p>
        </w:tc>
        <w:tc>
          <w:tcPr>
            <w:tcW w:w="1134" w:type="dxa"/>
            <w:tcBorders>
              <w:top w:val="single" w:sz="4" w:space="0" w:color="auto"/>
              <w:right w:val="single" w:sz="4" w:space="0" w:color="auto"/>
            </w:tcBorders>
            <w:shd w:val="clear" w:color="auto" w:fill="BDD6EE" w:themeFill="accent1" w:themeFillTint="66"/>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RT</w:t>
            </w:r>
          </w:p>
        </w:tc>
        <w:tc>
          <w:tcPr>
            <w:tcW w:w="993" w:type="dxa"/>
            <w:tcBorders>
              <w:top w:val="nil"/>
              <w:left w:val="single" w:sz="4" w:space="0" w:color="auto"/>
              <w:bottom w:val="single" w:sz="4" w:space="0" w:color="auto"/>
              <w:right w:val="nil"/>
            </w:tcBorders>
            <w:shd w:val="clear" w:color="auto" w:fill="auto"/>
          </w:tcPr>
          <w:p w:rsidR="008D2D76" w:rsidRPr="008D2D76" w:rsidRDefault="008D2D76" w:rsidP="00444961">
            <w:pPr>
              <w:widowControl/>
              <w:rPr>
                <w:rFonts w:ascii="Times New Roman" w:hAnsi="Times New Roman" w:cs="Times New Roman"/>
                <w:sz w:val="16"/>
                <w:szCs w:val="16"/>
              </w:rPr>
            </w:pPr>
          </w:p>
        </w:tc>
      </w:tr>
      <w:tr w:rsidR="008D2D76" w:rsidRPr="008D2D76" w:rsidTr="00444961">
        <w:trPr>
          <w:trHeight w:val="694"/>
        </w:trPr>
        <w:tc>
          <w:tcPr>
            <w:tcW w:w="1129" w:type="dxa"/>
            <w:shd w:val="clear" w:color="auto" w:fill="FFE599" w:themeFill="accent4" w:themeFillTint="66"/>
            <w:vAlign w:val="center"/>
          </w:tcPr>
          <w:p w:rsidR="008D2D76" w:rsidRPr="008D2D76" w:rsidRDefault="008D2D76" w:rsidP="00444961">
            <w:pPr>
              <w:rPr>
                <w:rFonts w:ascii="Times New Roman" w:hAnsi="Times New Roman" w:cs="Times New Roman"/>
                <w:b/>
                <w:sz w:val="16"/>
                <w:szCs w:val="16"/>
              </w:rPr>
            </w:pPr>
            <w:r w:rsidRPr="008D2D76">
              <w:rPr>
                <w:rFonts w:ascii="Times New Roman" w:hAnsi="Times New Roman" w:cs="Times New Roman"/>
                <w:b/>
                <w:sz w:val="16"/>
                <w:szCs w:val="16"/>
              </w:rPr>
              <w:t xml:space="preserve">-0.02 </w:t>
            </w:r>
          </w:p>
          <w:p w:rsidR="008D2D76" w:rsidRPr="008D2D76" w:rsidRDefault="008D2D76" w:rsidP="00444961">
            <w:pPr>
              <w:rPr>
                <w:rFonts w:ascii="Times New Roman" w:hAnsi="Times New Roman" w:cs="Times New Roman"/>
                <w:b/>
                <w:sz w:val="16"/>
                <w:szCs w:val="16"/>
              </w:rPr>
            </w:pPr>
            <w:r w:rsidRPr="008D2D76">
              <w:rPr>
                <w:rFonts w:ascii="Times New Roman" w:hAnsi="Times New Roman" w:cs="Times New Roman"/>
                <w:b/>
                <w:sz w:val="16"/>
                <w:szCs w:val="16"/>
              </w:rPr>
              <w:t>(-0.04, -0.01)</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-0.00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(-0.02, 0.02)</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-0.04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(-0.11, 0.00)</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(-0.03, 0.02)</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-0.00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(-0.03, 0.03)</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-0.00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(-0.02, 0.02)</w:t>
            </w:r>
          </w:p>
        </w:tc>
        <w:tc>
          <w:tcPr>
            <w:tcW w:w="1134" w:type="dxa"/>
            <w:shd w:val="clear" w:color="auto" w:fill="FFE599" w:themeFill="accent4" w:themeFillTint="66"/>
            <w:vAlign w:val="center"/>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(-0.05, 0.03)</w:t>
            </w:r>
          </w:p>
        </w:tc>
        <w:tc>
          <w:tcPr>
            <w:tcW w:w="1134" w:type="dxa"/>
            <w:shd w:val="clear" w:color="auto" w:fill="FFE599" w:themeFill="accent4" w:themeFillTint="66"/>
          </w:tcPr>
          <w:p w:rsidR="008D2D76" w:rsidRPr="008D2D76" w:rsidRDefault="008D2D76" w:rsidP="00444961">
            <w:pPr>
              <w:widowControl/>
              <w:rPr>
                <w:rFonts w:ascii="Times New Roman" w:hAnsi="Times New Roman" w:cs="Times New Roman"/>
                <w:sz w:val="16"/>
                <w:szCs w:val="16"/>
              </w:rPr>
            </w:pPr>
            <w:r w:rsidRPr="008D2D76">
              <w:rPr>
                <w:rFonts w:ascii="Times New Roman" w:hAnsi="Times New Roman" w:cs="Times New Roman"/>
                <w:sz w:val="16"/>
                <w:szCs w:val="16"/>
              </w:rPr>
              <w:t xml:space="preserve">-0.01 </w:t>
            </w:r>
          </w:p>
          <w:p w:rsidR="008D2D76" w:rsidRPr="008D2D76" w:rsidRDefault="008D2D76" w:rsidP="00444961">
            <w:pPr>
              <w:widowControl/>
              <w:rPr>
                <w:rFonts w:ascii="Times New Roman" w:hAnsi="Times New Roman" w:cs="Times New Roman"/>
                <w:sz w:val="16"/>
                <w:szCs w:val="16"/>
              </w:rPr>
            </w:pPr>
            <w:r w:rsidRPr="008D2D76">
              <w:rPr>
                <w:rFonts w:ascii="Times New Roman" w:hAnsi="Times New Roman" w:cs="Times New Roman"/>
                <w:sz w:val="16"/>
                <w:szCs w:val="16"/>
              </w:rPr>
              <w:t>(-0.03, 0.01)</w:t>
            </w:r>
          </w:p>
        </w:tc>
        <w:tc>
          <w:tcPr>
            <w:tcW w:w="993" w:type="dxa"/>
            <w:tcBorders>
              <w:top w:val="single" w:sz="4" w:space="0" w:color="auto"/>
            </w:tcBorders>
            <w:shd w:val="clear" w:color="auto" w:fill="BDD6EE" w:themeFill="accent1" w:themeFillTint="66"/>
          </w:tcPr>
          <w:p w:rsidR="008D2D76" w:rsidRPr="008D2D76" w:rsidRDefault="008D2D76" w:rsidP="00444961">
            <w:pPr>
              <w:rPr>
                <w:rFonts w:ascii="Times New Roman" w:hAnsi="Times New Roman" w:cs="Times New Roman"/>
                <w:sz w:val="16"/>
                <w:szCs w:val="16"/>
              </w:rPr>
            </w:pPr>
            <w:r w:rsidRPr="008D2D76">
              <w:rPr>
                <w:rFonts w:ascii="Times New Roman" w:hAnsi="Times New Roman" w:cs="Times New Roman"/>
                <w:sz w:val="16"/>
                <w:szCs w:val="16"/>
              </w:rPr>
              <w:t>ME</w:t>
            </w:r>
          </w:p>
        </w:tc>
      </w:tr>
    </w:tbl>
    <w:p w:rsidR="008D2D76" w:rsidRDefault="008D2D76" w:rsidP="002A5715">
      <w:pPr>
        <w:autoSpaceDE w:val="0"/>
        <w:autoSpaceDN w:val="0"/>
        <w:adjustRightInd w:val="0"/>
        <w:jc w:val="left"/>
        <w:rPr>
          <w:rFonts w:ascii="Times New Roman" w:hAnsi="Times New Roman" w:cs="Times New Roman"/>
          <w:b/>
          <w:color w:val="000000"/>
          <w:sz w:val="24"/>
          <w:szCs w:val="24"/>
        </w:rPr>
      </w:pPr>
    </w:p>
    <w:p w:rsidR="008D2D76" w:rsidRDefault="008D2D76" w:rsidP="002A5715">
      <w:pPr>
        <w:autoSpaceDE w:val="0"/>
        <w:autoSpaceDN w:val="0"/>
        <w:adjustRightInd w:val="0"/>
        <w:jc w:val="left"/>
        <w:rPr>
          <w:rFonts w:ascii="Times New Roman" w:hAnsi="Times New Roman" w:cs="Times New Roman"/>
          <w:b/>
          <w:color w:val="000000"/>
          <w:sz w:val="24"/>
          <w:szCs w:val="24"/>
        </w:rPr>
        <w:sectPr w:rsidR="008D2D76">
          <w:pgSz w:w="11906" w:h="16838"/>
          <w:pgMar w:top="1440" w:right="1800" w:bottom="1440" w:left="1800" w:header="851" w:footer="992" w:gutter="0"/>
          <w:cols w:space="425"/>
          <w:docGrid w:type="lines" w:linePitch="312"/>
        </w:sectPr>
      </w:pPr>
    </w:p>
    <w:tbl>
      <w:tblPr>
        <w:tblStyle w:val="a3"/>
        <w:tblpPr w:leftFromText="180" w:rightFromText="180" w:vertAnchor="page" w:horzAnchor="margin" w:tblpXSpec="center" w:tblpY="3865"/>
        <w:tblW w:w="11477" w:type="dxa"/>
        <w:tblLook w:val="04A0" w:firstRow="1" w:lastRow="0" w:firstColumn="1" w:lastColumn="0" w:noHBand="0" w:noVBand="1"/>
      </w:tblPr>
      <w:tblGrid>
        <w:gridCol w:w="1271"/>
        <w:gridCol w:w="1134"/>
        <w:gridCol w:w="1134"/>
        <w:gridCol w:w="1134"/>
        <w:gridCol w:w="1134"/>
        <w:gridCol w:w="1134"/>
        <w:gridCol w:w="1134"/>
        <w:gridCol w:w="1134"/>
        <w:gridCol w:w="1276"/>
        <w:gridCol w:w="992"/>
      </w:tblGrid>
      <w:tr w:rsidR="002E7DFF" w:rsidRPr="00B71D71" w:rsidTr="00444961">
        <w:trPr>
          <w:trHeight w:val="557"/>
        </w:trPr>
        <w:tc>
          <w:tcPr>
            <w:tcW w:w="1271" w:type="dxa"/>
            <w:tcBorders>
              <w:right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lastRenderedPageBreak/>
              <w:t>Control</w:t>
            </w:r>
          </w:p>
        </w:tc>
        <w:tc>
          <w:tcPr>
            <w:tcW w:w="1134" w:type="dxa"/>
            <w:tcBorders>
              <w:top w:val="nil"/>
              <w:left w:val="single" w:sz="4" w:space="0" w:color="auto"/>
              <w:bottom w:val="single" w:sz="4" w:space="0" w:color="auto"/>
              <w:right w:val="nil"/>
            </w:tcBorders>
            <w:shd w:val="clear" w:color="auto" w:fill="auto"/>
            <w:vAlign w:val="center"/>
          </w:tcPr>
          <w:p w:rsidR="002E7DFF" w:rsidRPr="00B71D71" w:rsidRDefault="002E7DFF" w:rsidP="00444961">
            <w:pPr>
              <w:widowControl/>
              <w:jc w:val="left"/>
              <w:rPr>
                <w:rFonts w:ascii="Times New Roman" w:hAnsi="Times New Roman" w:cs="Times New Roman"/>
                <w:b/>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b/>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r>
      <w:tr w:rsidR="002E7DFF" w:rsidRPr="00B71D71" w:rsidTr="00444961">
        <w:trPr>
          <w:trHeight w:val="633"/>
        </w:trPr>
        <w:tc>
          <w:tcPr>
            <w:tcW w:w="1271" w:type="dxa"/>
            <w:shd w:val="clear" w:color="auto" w:fill="FFE599" w:themeFill="accent4" w:themeFillTint="66"/>
            <w:vAlign w:val="center"/>
          </w:tcPr>
          <w:p w:rsidR="002E7DFF" w:rsidRPr="00B71D71" w:rsidRDefault="002E7DFF" w:rsidP="00444961">
            <w:pPr>
              <w:widowControl/>
              <w:jc w:val="left"/>
              <w:rPr>
                <w:rFonts w:ascii="Times New Roman" w:hAnsi="Times New Roman" w:cs="Times New Roman"/>
                <w:b/>
                <w:sz w:val="16"/>
                <w:szCs w:val="16"/>
              </w:rPr>
            </w:pPr>
            <w:r w:rsidRPr="00B71D71">
              <w:rPr>
                <w:rFonts w:ascii="Times New Roman" w:hAnsi="Times New Roman" w:cs="Times New Roman"/>
                <w:b/>
                <w:sz w:val="16"/>
                <w:szCs w:val="16"/>
              </w:rPr>
              <w:t xml:space="preserve">-0.05 </w:t>
            </w:r>
          </w:p>
          <w:p w:rsidR="002E7DFF" w:rsidRPr="00B71D71" w:rsidRDefault="002E7DFF" w:rsidP="00444961">
            <w:pPr>
              <w:widowControl/>
              <w:jc w:val="left"/>
              <w:rPr>
                <w:rFonts w:ascii="Times New Roman" w:hAnsi="Times New Roman" w:cs="Times New Roman"/>
                <w:b/>
                <w:sz w:val="16"/>
                <w:szCs w:val="16"/>
              </w:rPr>
            </w:pPr>
            <w:r w:rsidRPr="00B71D71">
              <w:rPr>
                <w:rFonts w:ascii="Times New Roman" w:hAnsi="Times New Roman" w:cs="Times New Roman"/>
                <w:b/>
                <w:sz w:val="16"/>
                <w:szCs w:val="16"/>
              </w:rPr>
              <w:t>(-0.07, -0.03)</w:t>
            </w:r>
          </w:p>
        </w:tc>
        <w:tc>
          <w:tcPr>
            <w:tcW w:w="1134" w:type="dxa"/>
            <w:tcBorders>
              <w:top w:val="single" w:sz="4" w:space="0" w:color="auto"/>
              <w:right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ME</w:t>
            </w:r>
          </w:p>
        </w:tc>
        <w:tc>
          <w:tcPr>
            <w:tcW w:w="1134" w:type="dxa"/>
            <w:tcBorders>
              <w:top w:val="nil"/>
              <w:left w:val="single" w:sz="4" w:space="0" w:color="auto"/>
              <w:bottom w:val="single" w:sz="4" w:space="0" w:color="auto"/>
              <w:right w:val="nil"/>
            </w:tcBorders>
            <w:shd w:val="clear" w:color="auto" w:fill="auto"/>
            <w:vAlign w:val="center"/>
          </w:tcPr>
          <w:p w:rsidR="002E7DFF" w:rsidRPr="00B71D71" w:rsidRDefault="002E7DFF" w:rsidP="00444961">
            <w:pPr>
              <w:widowControl/>
              <w:jc w:val="left"/>
              <w:rPr>
                <w:rFonts w:ascii="Times New Roman" w:hAnsi="Times New Roman" w:cs="Times New Roman"/>
                <w:b/>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b/>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b/>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b/>
                <w:sz w:val="16"/>
                <w:szCs w:val="16"/>
              </w:rPr>
            </w:pPr>
          </w:p>
        </w:tc>
      </w:tr>
      <w:tr w:rsidR="002E7DFF" w:rsidRPr="00B71D71" w:rsidTr="00444961">
        <w:trPr>
          <w:trHeight w:val="557"/>
        </w:trPr>
        <w:tc>
          <w:tcPr>
            <w:tcW w:w="1271"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(-0.04, 0.02)</w:t>
            </w:r>
          </w:p>
        </w:tc>
        <w:tc>
          <w:tcPr>
            <w:tcW w:w="1134" w:type="dxa"/>
            <w:shd w:val="clear" w:color="auto" w:fill="FFE599" w:themeFill="accent4" w:themeFillTint="66"/>
            <w:vAlign w:val="center"/>
          </w:tcPr>
          <w:p w:rsidR="002E7DFF" w:rsidRPr="00B71D71" w:rsidRDefault="002E7DFF" w:rsidP="00444961">
            <w:pPr>
              <w:widowControl/>
              <w:jc w:val="left"/>
              <w:rPr>
                <w:rFonts w:ascii="Times New Roman" w:hAnsi="Times New Roman" w:cs="Times New Roman"/>
                <w:b/>
                <w:sz w:val="16"/>
                <w:szCs w:val="16"/>
              </w:rPr>
            </w:pPr>
            <w:r w:rsidRPr="00B71D71">
              <w:rPr>
                <w:rFonts w:ascii="Times New Roman" w:hAnsi="Times New Roman" w:cs="Times New Roman"/>
                <w:b/>
                <w:sz w:val="16"/>
                <w:szCs w:val="16"/>
              </w:rPr>
              <w:t xml:space="preserve">0.04 </w:t>
            </w:r>
          </w:p>
          <w:p w:rsidR="002E7DFF" w:rsidRPr="00B71D71" w:rsidRDefault="002E7DFF" w:rsidP="00444961">
            <w:pPr>
              <w:widowControl/>
              <w:jc w:val="left"/>
              <w:rPr>
                <w:rFonts w:ascii="Times New Roman" w:hAnsi="Times New Roman" w:cs="Times New Roman"/>
                <w:b/>
                <w:sz w:val="16"/>
                <w:szCs w:val="16"/>
              </w:rPr>
            </w:pPr>
            <w:r w:rsidRPr="00B71D71">
              <w:rPr>
                <w:rFonts w:ascii="Times New Roman" w:hAnsi="Times New Roman" w:cs="Times New Roman"/>
                <w:b/>
                <w:sz w:val="16"/>
                <w:szCs w:val="16"/>
              </w:rPr>
              <w:t>(0.01, 0.08)</w:t>
            </w:r>
          </w:p>
        </w:tc>
        <w:tc>
          <w:tcPr>
            <w:tcW w:w="1134" w:type="dxa"/>
            <w:tcBorders>
              <w:top w:val="single" w:sz="4" w:space="0" w:color="auto"/>
              <w:right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FE</w:t>
            </w:r>
          </w:p>
        </w:tc>
        <w:tc>
          <w:tcPr>
            <w:tcW w:w="1134" w:type="dxa"/>
            <w:tcBorders>
              <w:top w:val="nil"/>
              <w:left w:val="single" w:sz="4" w:space="0" w:color="auto"/>
              <w:bottom w:val="single" w:sz="4" w:space="0" w:color="auto"/>
              <w:right w:val="nil"/>
            </w:tcBorders>
            <w:shd w:val="clear" w:color="auto" w:fill="auto"/>
            <w:vAlign w:val="center"/>
          </w:tcPr>
          <w:p w:rsidR="002E7DFF" w:rsidRPr="00B71D71" w:rsidRDefault="002E7DFF" w:rsidP="00444961">
            <w:pPr>
              <w:widowControl/>
              <w:jc w:val="left"/>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r>
      <w:tr w:rsidR="002E7DFF" w:rsidRPr="00B71D71" w:rsidTr="00444961">
        <w:trPr>
          <w:trHeight w:val="637"/>
        </w:trPr>
        <w:tc>
          <w:tcPr>
            <w:tcW w:w="1271" w:type="dxa"/>
            <w:shd w:val="clear" w:color="auto" w:fill="FFE599" w:themeFill="accent4" w:themeFillTint="66"/>
            <w:vAlign w:val="center"/>
          </w:tcPr>
          <w:p w:rsidR="002E7DFF" w:rsidRPr="00B71D71" w:rsidRDefault="002E7DFF" w:rsidP="00444961">
            <w:pPr>
              <w:rPr>
                <w:rFonts w:ascii="Times New Roman" w:hAnsi="Times New Roman" w:cs="Times New Roman"/>
                <w:b/>
                <w:sz w:val="16"/>
                <w:szCs w:val="16"/>
              </w:rPr>
            </w:pPr>
            <w:r w:rsidRPr="00B71D71">
              <w:rPr>
                <w:rFonts w:ascii="Times New Roman" w:hAnsi="Times New Roman" w:cs="Times New Roman"/>
                <w:b/>
                <w:sz w:val="16"/>
                <w:szCs w:val="16"/>
              </w:rPr>
              <w:t xml:space="preserve">-0.03 </w:t>
            </w:r>
          </w:p>
          <w:p w:rsidR="002E7DFF" w:rsidRPr="00B71D71" w:rsidRDefault="002E7DFF" w:rsidP="00444961">
            <w:pPr>
              <w:rPr>
                <w:rFonts w:ascii="Times New Roman" w:hAnsi="Times New Roman" w:cs="Times New Roman"/>
                <w:b/>
                <w:sz w:val="16"/>
                <w:szCs w:val="16"/>
              </w:rPr>
            </w:pPr>
            <w:r w:rsidRPr="00B71D71">
              <w:rPr>
                <w:rFonts w:ascii="Times New Roman" w:hAnsi="Times New Roman" w:cs="Times New Roman"/>
                <w:b/>
                <w:sz w:val="16"/>
                <w:szCs w:val="16"/>
              </w:rPr>
              <w:t>(-0.05, -0.01)</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(-0.00, 0.05)</w:t>
            </w:r>
          </w:p>
        </w:tc>
        <w:tc>
          <w:tcPr>
            <w:tcW w:w="1134" w:type="dxa"/>
            <w:shd w:val="clear" w:color="auto" w:fill="FFE599" w:themeFill="accent4" w:themeFillTint="66"/>
            <w:vAlign w:val="center"/>
          </w:tcPr>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(-0.06, 0.02)</w:t>
            </w:r>
          </w:p>
        </w:tc>
        <w:tc>
          <w:tcPr>
            <w:tcW w:w="1134" w:type="dxa"/>
            <w:tcBorders>
              <w:top w:val="single" w:sz="4" w:space="0" w:color="auto"/>
              <w:right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WBV</w:t>
            </w:r>
          </w:p>
        </w:tc>
        <w:tc>
          <w:tcPr>
            <w:tcW w:w="1134" w:type="dxa"/>
            <w:tcBorders>
              <w:top w:val="nil"/>
              <w:left w:val="single" w:sz="4" w:space="0" w:color="auto"/>
              <w:bottom w:val="single" w:sz="4" w:space="0" w:color="auto"/>
              <w:right w:val="nil"/>
            </w:tcBorders>
            <w:shd w:val="clear" w:color="auto" w:fill="auto"/>
            <w:vAlign w:val="center"/>
          </w:tcPr>
          <w:p w:rsidR="002E7DFF" w:rsidRPr="00B71D71" w:rsidRDefault="002E7DFF" w:rsidP="00444961">
            <w:pPr>
              <w:widowControl/>
              <w:jc w:val="left"/>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r>
      <w:tr w:rsidR="002E7DFF" w:rsidRPr="00B71D71" w:rsidTr="00444961">
        <w:trPr>
          <w:trHeight w:val="547"/>
        </w:trPr>
        <w:tc>
          <w:tcPr>
            <w:tcW w:w="1271"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(-0.05, 0.03)</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0.04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(-0.00, 0.09)</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-0.00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(-0.05, 0.05)</w:t>
            </w:r>
          </w:p>
        </w:tc>
        <w:tc>
          <w:tcPr>
            <w:tcW w:w="1134" w:type="dxa"/>
            <w:shd w:val="clear" w:color="auto" w:fill="FFE599" w:themeFill="accent4" w:themeFillTint="66"/>
            <w:vAlign w:val="center"/>
          </w:tcPr>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(-0.03, 0.06)</w:t>
            </w:r>
          </w:p>
        </w:tc>
        <w:tc>
          <w:tcPr>
            <w:tcW w:w="1134" w:type="dxa"/>
            <w:tcBorders>
              <w:top w:val="single" w:sz="4" w:space="0" w:color="auto"/>
              <w:right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HIE</w:t>
            </w:r>
          </w:p>
        </w:tc>
        <w:tc>
          <w:tcPr>
            <w:tcW w:w="1134" w:type="dxa"/>
            <w:tcBorders>
              <w:top w:val="nil"/>
              <w:left w:val="single" w:sz="4" w:space="0" w:color="auto"/>
              <w:bottom w:val="single" w:sz="4" w:space="0" w:color="auto"/>
              <w:right w:val="nil"/>
            </w:tcBorders>
            <w:shd w:val="clear" w:color="auto" w:fill="auto"/>
            <w:vAlign w:val="center"/>
          </w:tcPr>
          <w:p w:rsidR="002E7DFF" w:rsidRPr="00B71D71" w:rsidRDefault="002E7DFF" w:rsidP="00444961">
            <w:pPr>
              <w:widowControl/>
              <w:jc w:val="left"/>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r>
      <w:tr w:rsidR="002E7DFF" w:rsidRPr="00B71D71" w:rsidTr="00444961">
        <w:trPr>
          <w:trHeight w:val="626"/>
        </w:trPr>
        <w:tc>
          <w:tcPr>
            <w:tcW w:w="1271"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(-0.04, 0.02)</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b/>
                <w:sz w:val="16"/>
                <w:szCs w:val="16"/>
              </w:rPr>
            </w:pPr>
            <w:r w:rsidRPr="00B71D71">
              <w:rPr>
                <w:rFonts w:ascii="Times New Roman" w:hAnsi="Times New Roman" w:cs="Times New Roman"/>
                <w:b/>
                <w:sz w:val="16"/>
                <w:szCs w:val="16"/>
              </w:rPr>
              <w:t xml:space="preserve">0.04 </w:t>
            </w:r>
          </w:p>
          <w:p w:rsidR="002E7DFF" w:rsidRPr="00B71D71" w:rsidRDefault="002E7DFF" w:rsidP="00444961">
            <w:pPr>
              <w:rPr>
                <w:rFonts w:ascii="Times New Roman" w:hAnsi="Times New Roman" w:cs="Times New Roman"/>
                <w:b/>
                <w:sz w:val="16"/>
                <w:szCs w:val="16"/>
              </w:rPr>
            </w:pPr>
            <w:r w:rsidRPr="00B71D71">
              <w:rPr>
                <w:rFonts w:ascii="Times New Roman" w:hAnsi="Times New Roman" w:cs="Times New Roman"/>
                <w:b/>
                <w:sz w:val="16"/>
                <w:szCs w:val="16"/>
              </w:rPr>
              <w:t>(0.01, 0.08)</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-0.00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(-0.04, 0.04)</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(-0.02, 0.05)</w:t>
            </w:r>
          </w:p>
        </w:tc>
        <w:tc>
          <w:tcPr>
            <w:tcW w:w="1134" w:type="dxa"/>
            <w:shd w:val="clear" w:color="auto" w:fill="FFE599" w:themeFill="accent4" w:themeFillTint="66"/>
            <w:vAlign w:val="center"/>
          </w:tcPr>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 xml:space="preserve">0.00 </w:t>
            </w:r>
          </w:p>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(-0.05, 0.05)</w:t>
            </w:r>
          </w:p>
        </w:tc>
        <w:tc>
          <w:tcPr>
            <w:tcW w:w="1134" w:type="dxa"/>
            <w:tcBorders>
              <w:top w:val="single" w:sz="4" w:space="0" w:color="auto"/>
              <w:right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MIE</w:t>
            </w:r>
          </w:p>
        </w:tc>
        <w:tc>
          <w:tcPr>
            <w:tcW w:w="1134" w:type="dxa"/>
            <w:tcBorders>
              <w:top w:val="nil"/>
              <w:left w:val="single" w:sz="4" w:space="0" w:color="auto"/>
              <w:bottom w:val="single" w:sz="4" w:space="0" w:color="auto"/>
              <w:right w:val="nil"/>
            </w:tcBorders>
            <w:shd w:val="clear" w:color="auto" w:fill="auto"/>
            <w:vAlign w:val="center"/>
          </w:tcPr>
          <w:p w:rsidR="002E7DFF" w:rsidRPr="00B71D71" w:rsidRDefault="002E7DFF" w:rsidP="00444961">
            <w:pPr>
              <w:widowControl/>
              <w:jc w:val="left"/>
              <w:rPr>
                <w:rFonts w:ascii="Times New Roman" w:hAnsi="Times New Roman" w:cs="Times New Roman"/>
                <w:sz w:val="16"/>
                <w:szCs w:val="16"/>
              </w:rPr>
            </w:pPr>
          </w:p>
        </w:tc>
        <w:tc>
          <w:tcPr>
            <w:tcW w:w="1134"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1276"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r>
      <w:tr w:rsidR="002E7DFF" w:rsidRPr="00B71D71" w:rsidTr="00444961">
        <w:trPr>
          <w:trHeight w:val="551"/>
        </w:trPr>
        <w:tc>
          <w:tcPr>
            <w:tcW w:w="1271"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(-0.03, 0.01)</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b/>
                <w:sz w:val="16"/>
                <w:szCs w:val="16"/>
              </w:rPr>
            </w:pPr>
            <w:r w:rsidRPr="00B71D71">
              <w:rPr>
                <w:rFonts w:ascii="Times New Roman" w:hAnsi="Times New Roman" w:cs="Times New Roman"/>
                <w:b/>
                <w:sz w:val="16"/>
                <w:szCs w:val="16"/>
              </w:rPr>
              <w:t xml:space="preserve">0.05 </w:t>
            </w:r>
          </w:p>
          <w:p w:rsidR="002E7DFF" w:rsidRPr="00B71D71" w:rsidRDefault="002E7DFF" w:rsidP="00444961">
            <w:pPr>
              <w:rPr>
                <w:rFonts w:ascii="Times New Roman" w:hAnsi="Times New Roman" w:cs="Times New Roman"/>
                <w:b/>
                <w:sz w:val="16"/>
                <w:szCs w:val="16"/>
              </w:rPr>
            </w:pPr>
            <w:r w:rsidRPr="00B71D71">
              <w:rPr>
                <w:rFonts w:ascii="Times New Roman" w:hAnsi="Times New Roman" w:cs="Times New Roman"/>
                <w:b/>
                <w:sz w:val="16"/>
                <w:szCs w:val="16"/>
              </w:rPr>
              <w:t>(0.02, 0.07)</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0.00</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(-0.03, 0.03)</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0.02</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(-0.01, 0.05)</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(-0.04, 0.05)</w:t>
            </w:r>
          </w:p>
        </w:tc>
        <w:tc>
          <w:tcPr>
            <w:tcW w:w="1134" w:type="dxa"/>
            <w:shd w:val="clear" w:color="auto" w:fill="FFE599" w:themeFill="accent4" w:themeFillTint="66"/>
            <w:vAlign w:val="center"/>
          </w:tcPr>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(-0.03, 0.04)</w:t>
            </w:r>
          </w:p>
        </w:tc>
        <w:tc>
          <w:tcPr>
            <w:tcW w:w="1134" w:type="dxa"/>
            <w:tcBorders>
              <w:top w:val="single" w:sz="4" w:space="0" w:color="auto"/>
              <w:right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LIE</w:t>
            </w:r>
          </w:p>
        </w:tc>
        <w:tc>
          <w:tcPr>
            <w:tcW w:w="1134" w:type="dxa"/>
            <w:tcBorders>
              <w:top w:val="nil"/>
              <w:left w:val="single" w:sz="4" w:space="0" w:color="auto"/>
              <w:bottom w:val="single" w:sz="4" w:space="0" w:color="auto"/>
              <w:right w:val="nil"/>
            </w:tcBorders>
            <w:shd w:val="clear" w:color="auto" w:fill="auto"/>
            <w:vAlign w:val="center"/>
          </w:tcPr>
          <w:p w:rsidR="002E7DFF" w:rsidRPr="00B71D71" w:rsidRDefault="002E7DFF" w:rsidP="00444961">
            <w:pPr>
              <w:widowControl/>
              <w:jc w:val="left"/>
              <w:rPr>
                <w:rFonts w:ascii="Times New Roman" w:hAnsi="Times New Roman" w:cs="Times New Roman"/>
                <w:sz w:val="16"/>
                <w:szCs w:val="16"/>
              </w:rPr>
            </w:pPr>
          </w:p>
        </w:tc>
        <w:tc>
          <w:tcPr>
            <w:tcW w:w="1276"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r>
      <w:tr w:rsidR="002E7DFF" w:rsidRPr="00B71D71" w:rsidTr="00444961">
        <w:trPr>
          <w:trHeight w:val="561"/>
        </w:trPr>
        <w:tc>
          <w:tcPr>
            <w:tcW w:w="1271"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(-0.06, 0.02)</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0.03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(-0.01, 0.08)</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(-0.06, 0.04)</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(-0.03, 0.05)</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-0.00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(-0.06, 0.05)</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(-0.05, 0.04)</w:t>
            </w:r>
          </w:p>
        </w:tc>
        <w:tc>
          <w:tcPr>
            <w:tcW w:w="1134" w:type="dxa"/>
            <w:shd w:val="clear" w:color="auto" w:fill="FFE599" w:themeFill="accent4" w:themeFillTint="66"/>
            <w:vAlign w:val="center"/>
          </w:tcPr>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(-0.05, 0.03)</w:t>
            </w:r>
          </w:p>
        </w:tc>
        <w:tc>
          <w:tcPr>
            <w:tcW w:w="1134" w:type="dxa"/>
            <w:tcBorders>
              <w:top w:val="single" w:sz="4" w:space="0" w:color="auto"/>
              <w:right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MBE</w:t>
            </w:r>
          </w:p>
        </w:tc>
        <w:tc>
          <w:tcPr>
            <w:tcW w:w="1276" w:type="dxa"/>
            <w:tcBorders>
              <w:top w:val="nil"/>
              <w:left w:val="single" w:sz="4" w:space="0" w:color="auto"/>
              <w:bottom w:val="single" w:sz="4" w:space="0" w:color="auto"/>
              <w:right w:val="nil"/>
            </w:tcBorders>
            <w:shd w:val="clear" w:color="auto" w:fill="auto"/>
            <w:vAlign w:val="center"/>
          </w:tcPr>
          <w:p w:rsidR="002E7DFF" w:rsidRPr="00B71D71" w:rsidRDefault="002E7DFF" w:rsidP="00444961">
            <w:pPr>
              <w:widowControl/>
              <w:jc w:val="left"/>
              <w:rPr>
                <w:rFonts w:ascii="Times New Roman" w:hAnsi="Times New Roman" w:cs="Times New Roman"/>
                <w:sz w:val="16"/>
                <w:szCs w:val="16"/>
              </w:rPr>
            </w:pPr>
          </w:p>
        </w:tc>
        <w:tc>
          <w:tcPr>
            <w:tcW w:w="992" w:type="dxa"/>
            <w:tcBorders>
              <w:top w:val="nil"/>
              <w:left w:val="nil"/>
              <w:bottom w:val="nil"/>
              <w:right w:val="nil"/>
            </w:tcBorders>
            <w:shd w:val="clear" w:color="auto" w:fill="auto"/>
            <w:vAlign w:val="center"/>
          </w:tcPr>
          <w:p w:rsidR="002E7DFF" w:rsidRPr="00B71D71" w:rsidRDefault="002E7DFF" w:rsidP="00444961">
            <w:pPr>
              <w:rPr>
                <w:rFonts w:ascii="Times New Roman" w:hAnsi="Times New Roman" w:cs="Times New Roman"/>
                <w:sz w:val="16"/>
                <w:szCs w:val="16"/>
              </w:rPr>
            </w:pPr>
          </w:p>
        </w:tc>
      </w:tr>
      <w:tr w:rsidR="002E7DFF" w:rsidRPr="00B71D71" w:rsidTr="00444961">
        <w:trPr>
          <w:trHeight w:val="555"/>
        </w:trPr>
        <w:tc>
          <w:tcPr>
            <w:tcW w:w="1271"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(-0.06, 0.01)</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0.03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(-0.01, 0.07)</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(-0.06, 0.03)</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0.00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(-0.04, 0.05)</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(-0.07, 0.04)</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(-0.06, 0.03)</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(-0.06, 0.03)</w:t>
            </w:r>
          </w:p>
        </w:tc>
        <w:tc>
          <w:tcPr>
            <w:tcW w:w="1134" w:type="dxa"/>
            <w:shd w:val="clear" w:color="auto" w:fill="FFE599" w:themeFill="accent4" w:themeFillTint="66"/>
            <w:vAlign w:val="center"/>
          </w:tcPr>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widowControl/>
              <w:jc w:val="left"/>
              <w:rPr>
                <w:rFonts w:ascii="Times New Roman" w:hAnsi="Times New Roman" w:cs="Times New Roman"/>
                <w:sz w:val="16"/>
                <w:szCs w:val="16"/>
              </w:rPr>
            </w:pPr>
            <w:r w:rsidRPr="00B71D71">
              <w:rPr>
                <w:rFonts w:ascii="Times New Roman" w:hAnsi="Times New Roman" w:cs="Times New Roman"/>
                <w:sz w:val="16"/>
                <w:szCs w:val="16"/>
              </w:rPr>
              <w:t>(-0.06, 0.05)</w:t>
            </w:r>
          </w:p>
        </w:tc>
        <w:tc>
          <w:tcPr>
            <w:tcW w:w="1276" w:type="dxa"/>
            <w:tcBorders>
              <w:top w:val="single" w:sz="4" w:space="0" w:color="auto"/>
              <w:right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WBE</w:t>
            </w:r>
          </w:p>
        </w:tc>
        <w:tc>
          <w:tcPr>
            <w:tcW w:w="992" w:type="dxa"/>
            <w:tcBorders>
              <w:top w:val="nil"/>
              <w:left w:val="single" w:sz="4" w:space="0" w:color="auto"/>
              <w:bottom w:val="single" w:sz="4" w:space="0" w:color="auto"/>
              <w:right w:val="nil"/>
            </w:tcBorders>
            <w:shd w:val="clear" w:color="auto" w:fill="auto"/>
          </w:tcPr>
          <w:p w:rsidR="002E7DFF" w:rsidRPr="00B71D71" w:rsidRDefault="002E7DFF" w:rsidP="00444961">
            <w:pPr>
              <w:widowControl/>
              <w:rPr>
                <w:rFonts w:ascii="Times New Roman" w:hAnsi="Times New Roman" w:cs="Times New Roman"/>
                <w:sz w:val="16"/>
                <w:szCs w:val="16"/>
              </w:rPr>
            </w:pPr>
          </w:p>
        </w:tc>
      </w:tr>
      <w:tr w:rsidR="002E7DFF" w:rsidRPr="00B71D71" w:rsidTr="00444961">
        <w:trPr>
          <w:trHeight w:val="492"/>
        </w:trPr>
        <w:tc>
          <w:tcPr>
            <w:tcW w:w="1271"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(-0.02, 0.01)</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b/>
                <w:sz w:val="16"/>
                <w:szCs w:val="16"/>
              </w:rPr>
            </w:pPr>
            <w:r w:rsidRPr="00B71D71">
              <w:rPr>
                <w:rFonts w:ascii="Times New Roman" w:hAnsi="Times New Roman" w:cs="Times New Roman"/>
                <w:b/>
                <w:sz w:val="16"/>
                <w:szCs w:val="16"/>
              </w:rPr>
              <w:t xml:space="preserve">0.05 </w:t>
            </w:r>
          </w:p>
          <w:p w:rsidR="002E7DFF" w:rsidRPr="00B71D71" w:rsidRDefault="002E7DFF" w:rsidP="00444961">
            <w:pPr>
              <w:rPr>
                <w:rFonts w:ascii="Times New Roman" w:hAnsi="Times New Roman" w:cs="Times New Roman"/>
                <w:b/>
                <w:sz w:val="16"/>
                <w:szCs w:val="16"/>
              </w:rPr>
            </w:pPr>
            <w:r w:rsidRPr="00B71D71">
              <w:rPr>
                <w:rFonts w:ascii="Times New Roman" w:hAnsi="Times New Roman" w:cs="Times New Roman"/>
                <w:b/>
                <w:sz w:val="16"/>
                <w:szCs w:val="16"/>
              </w:rPr>
              <w:t>(0.02, 0.07)</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0.00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(-0.03, 0.03)</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(-0.00, 0.05)</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(-0.04, 0.05)</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(-0.02, 0.03)</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0.00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(-0.02, 0.03)</w:t>
            </w:r>
          </w:p>
        </w:tc>
        <w:tc>
          <w:tcPr>
            <w:tcW w:w="1134" w:type="dxa"/>
            <w:shd w:val="clear" w:color="auto" w:fill="FFE599" w:themeFill="accent4" w:themeFillTint="66"/>
            <w:vAlign w:val="center"/>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 xml:space="preserve">0.01 </w:t>
            </w:r>
          </w:p>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(-0.03, 0.05)</w:t>
            </w:r>
          </w:p>
        </w:tc>
        <w:tc>
          <w:tcPr>
            <w:tcW w:w="1276" w:type="dxa"/>
            <w:shd w:val="clear" w:color="auto" w:fill="FFE599" w:themeFill="accent4" w:themeFillTint="66"/>
          </w:tcPr>
          <w:p w:rsidR="002E7DFF" w:rsidRPr="00B71D71" w:rsidRDefault="002E7DFF" w:rsidP="00444961">
            <w:pPr>
              <w:widowControl/>
              <w:rPr>
                <w:rFonts w:ascii="Times New Roman" w:hAnsi="Times New Roman" w:cs="Times New Roman"/>
                <w:sz w:val="16"/>
                <w:szCs w:val="16"/>
              </w:rPr>
            </w:pPr>
            <w:r w:rsidRPr="00B71D71">
              <w:rPr>
                <w:rFonts w:ascii="Times New Roman" w:hAnsi="Times New Roman" w:cs="Times New Roman"/>
                <w:sz w:val="16"/>
                <w:szCs w:val="16"/>
              </w:rPr>
              <w:t xml:space="preserve">0.02 </w:t>
            </w:r>
          </w:p>
          <w:p w:rsidR="002E7DFF" w:rsidRPr="00B71D71" w:rsidRDefault="002E7DFF" w:rsidP="00444961">
            <w:pPr>
              <w:widowControl/>
              <w:rPr>
                <w:rFonts w:ascii="Times New Roman" w:hAnsi="Times New Roman" w:cs="Times New Roman"/>
                <w:sz w:val="16"/>
                <w:szCs w:val="16"/>
              </w:rPr>
            </w:pPr>
            <w:r w:rsidRPr="00B71D71">
              <w:rPr>
                <w:rFonts w:ascii="Times New Roman" w:hAnsi="Times New Roman" w:cs="Times New Roman"/>
                <w:sz w:val="16"/>
                <w:szCs w:val="16"/>
              </w:rPr>
              <w:t>(-0.02, 0.06)</w:t>
            </w:r>
          </w:p>
        </w:tc>
        <w:tc>
          <w:tcPr>
            <w:tcW w:w="992" w:type="dxa"/>
            <w:tcBorders>
              <w:top w:val="single" w:sz="4" w:space="0" w:color="auto"/>
            </w:tcBorders>
            <w:shd w:val="clear" w:color="auto" w:fill="BDD6EE" w:themeFill="accent1" w:themeFillTint="66"/>
          </w:tcPr>
          <w:p w:rsidR="002E7DFF" w:rsidRPr="00B71D71" w:rsidRDefault="002E7DFF" w:rsidP="00444961">
            <w:pPr>
              <w:rPr>
                <w:rFonts w:ascii="Times New Roman" w:hAnsi="Times New Roman" w:cs="Times New Roman"/>
                <w:sz w:val="16"/>
                <w:szCs w:val="16"/>
              </w:rPr>
            </w:pPr>
            <w:r w:rsidRPr="00B71D71">
              <w:rPr>
                <w:rFonts w:ascii="Times New Roman" w:hAnsi="Times New Roman" w:cs="Times New Roman"/>
                <w:sz w:val="16"/>
                <w:szCs w:val="16"/>
              </w:rPr>
              <w:t>RT</w:t>
            </w:r>
          </w:p>
        </w:tc>
      </w:tr>
    </w:tbl>
    <w:p w:rsidR="008D2D76" w:rsidRPr="00444961" w:rsidRDefault="008D2D76" w:rsidP="00172ABA">
      <w:pPr>
        <w:pStyle w:val="2"/>
        <w:rPr>
          <w:rFonts w:ascii="Times New Roman" w:hAnsi="Times New Roman" w:cs="Times New Roman"/>
          <w:sz w:val="24"/>
          <w:szCs w:val="24"/>
        </w:rPr>
      </w:pPr>
      <w:bookmarkStart w:id="67" w:name="_Toc74521943"/>
      <w:r w:rsidRPr="00444961">
        <w:rPr>
          <w:rFonts w:ascii="Times New Roman" w:hAnsi="Times New Roman" w:cs="Times New Roman" w:hint="eastAsia"/>
          <w:sz w:val="24"/>
          <w:szCs w:val="24"/>
        </w:rPr>
        <w:t>A</w:t>
      </w:r>
      <w:r w:rsidRPr="00444961">
        <w:rPr>
          <w:rFonts w:ascii="Times New Roman" w:hAnsi="Times New Roman" w:cs="Times New Roman"/>
          <w:sz w:val="24"/>
          <w:szCs w:val="24"/>
        </w:rPr>
        <w:t xml:space="preserve">ppendix </w:t>
      </w:r>
      <w:r w:rsidR="004F4696" w:rsidRPr="00444961">
        <w:rPr>
          <w:rFonts w:ascii="Times New Roman" w:hAnsi="Times New Roman" w:cs="Times New Roman" w:hint="eastAsia"/>
          <w:sz w:val="24"/>
          <w:szCs w:val="24"/>
        </w:rPr>
        <w:t>1</w:t>
      </w:r>
      <w:r w:rsidR="002E1C7F" w:rsidRPr="00444961">
        <w:rPr>
          <w:rFonts w:ascii="Times New Roman" w:hAnsi="Times New Roman" w:cs="Times New Roman"/>
          <w:sz w:val="24"/>
          <w:szCs w:val="24"/>
        </w:rPr>
        <w:t>6</w:t>
      </w:r>
      <w:r w:rsidRPr="00444961">
        <w:rPr>
          <w:rFonts w:ascii="Times New Roman" w:hAnsi="Times New Roman" w:cs="Times New Roman"/>
          <w:sz w:val="24"/>
          <w:szCs w:val="24"/>
        </w:rPr>
        <w:t>.</w:t>
      </w:r>
      <w:r w:rsidRPr="00444961">
        <w:rPr>
          <w:rFonts w:ascii="Times New Roman" w:hAnsi="Times New Roman" w:cs="Times New Roman" w:hint="eastAsia"/>
          <w:sz w:val="24"/>
          <w:szCs w:val="24"/>
        </w:rPr>
        <w:t>2</w:t>
      </w:r>
      <w:r w:rsidRPr="00444961">
        <w:rPr>
          <w:rFonts w:ascii="Times New Roman" w:hAnsi="Times New Roman" w:cs="Times New Roman"/>
          <w:sz w:val="24"/>
          <w:szCs w:val="24"/>
        </w:rPr>
        <w:t xml:space="preserve">: Relative effect estimates for the contrasts between the different interventions and control arms on BMD at </w:t>
      </w:r>
      <w:r w:rsidR="002E7DFF" w:rsidRPr="00444961">
        <w:rPr>
          <w:rFonts w:ascii="Times New Roman" w:hAnsi="Times New Roman" w:cs="Times New Roman"/>
          <w:sz w:val="24"/>
          <w:szCs w:val="24"/>
        </w:rPr>
        <w:t>FN</w:t>
      </w:r>
      <w:r w:rsidRPr="00444961">
        <w:rPr>
          <w:rFonts w:ascii="Times New Roman" w:hAnsi="Times New Roman" w:cs="Times New Roman"/>
          <w:sz w:val="24"/>
          <w:szCs w:val="24"/>
        </w:rPr>
        <w:t xml:space="preserve"> </w:t>
      </w:r>
      <w:r w:rsidRPr="00444961">
        <w:rPr>
          <w:rFonts w:ascii="Times New Roman" w:hAnsi="Times New Roman" w:cs="Times New Roman" w:hint="eastAsia"/>
          <w:sz w:val="24"/>
          <w:szCs w:val="24"/>
        </w:rPr>
        <w:t>when</w:t>
      </w:r>
      <w:r w:rsidRPr="00444961">
        <w:rPr>
          <w:rFonts w:ascii="Times New Roman" w:hAnsi="Times New Roman" w:cs="Times New Roman"/>
          <w:sz w:val="24"/>
          <w:szCs w:val="24"/>
        </w:rPr>
        <w:t xml:space="preserve"> exercise intervention with</w:t>
      </w:r>
      <w:r w:rsidRPr="008D2D76">
        <w:t xml:space="preserve"> </w:t>
      </w:r>
      <w:r w:rsidRPr="00444961">
        <w:rPr>
          <w:rFonts w:ascii="Times New Roman" w:hAnsi="Times New Roman" w:cs="Times New Roman"/>
          <w:sz w:val="24"/>
          <w:szCs w:val="24"/>
        </w:rPr>
        <w:t>duration no more than eight months</w:t>
      </w:r>
      <w:bookmarkEnd w:id="67"/>
    </w:p>
    <w:p w:rsidR="002E7DFF" w:rsidRDefault="002E7DFF">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E7DFF" w:rsidRPr="00444961" w:rsidRDefault="002E7DFF" w:rsidP="00172ABA">
      <w:pPr>
        <w:pStyle w:val="2"/>
        <w:rPr>
          <w:rFonts w:ascii="Times New Roman" w:hAnsi="Times New Roman" w:cs="Times New Roman"/>
          <w:sz w:val="24"/>
          <w:szCs w:val="24"/>
        </w:rPr>
      </w:pPr>
      <w:bookmarkStart w:id="68" w:name="_Toc74521944"/>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4F4696" w:rsidRPr="00444961">
        <w:rPr>
          <w:rFonts w:ascii="Times New Roman" w:hAnsi="Times New Roman" w:cs="Times New Roman" w:hint="eastAsia"/>
          <w:sz w:val="24"/>
          <w:szCs w:val="24"/>
        </w:rPr>
        <w:t>1</w:t>
      </w:r>
      <w:r w:rsidR="002E1C7F" w:rsidRPr="00444961">
        <w:rPr>
          <w:rFonts w:ascii="Times New Roman" w:hAnsi="Times New Roman" w:cs="Times New Roman"/>
          <w:sz w:val="24"/>
          <w:szCs w:val="24"/>
        </w:rPr>
        <w:t>6</w:t>
      </w:r>
      <w:r w:rsidRPr="00444961">
        <w:rPr>
          <w:rFonts w:ascii="Times New Roman" w:hAnsi="Times New Roman" w:cs="Times New Roman"/>
          <w:sz w:val="24"/>
          <w:szCs w:val="24"/>
        </w:rPr>
        <w:t xml:space="preserve">.3: Relative effect estimates for the contrasts between the different interventions and control arms on BMD at TH </w:t>
      </w:r>
      <w:r w:rsidRPr="00444961">
        <w:rPr>
          <w:rFonts w:ascii="Times New Roman" w:hAnsi="Times New Roman" w:cs="Times New Roman" w:hint="eastAsia"/>
          <w:sz w:val="24"/>
          <w:szCs w:val="24"/>
        </w:rPr>
        <w:t>when</w:t>
      </w:r>
      <w:r w:rsidRPr="00444961">
        <w:rPr>
          <w:rFonts w:ascii="Times New Roman" w:hAnsi="Times New Roman" w:cs="Times New Roman"/>
          <w:sz w:val="24"/>
          <w:szCs w:val="24"/>
        </w:rPr>
        <w:t xml:space="preserve"> exercise intervention with</w:t>
      </w:r>
      <w:r w:rsidRPr="008D2D76">
        <w:t xml:space="preserve"> </w:t>
      </w:r>
      <w:r w:rsidRPr="00444961">
        <w:rPr>
          <w:rFonts w:ascii="Times New Roman" w:hAnsi="Times New Roman" w:cs="Times New Roman"/>
          <w:sz w:val="24"/>
          <w:szCs w:val="24"/>
        </w:rPr>
        <w:t>duration no more than eight months</w:t>
      </w:r>
      <w:bookmarkEnd w:id="68"/>
    </w:p>
    <w:p w:rsidR="002E7DFF" w:rsidRPr="002E7DFF" w:rsidRDefault="002E7DFF" w:rsidP="008D2D76">
      <w:pPr>
        <w:autoSpaceDE w:val="0"/>
        <w:autoSpaceDN w:val="0"/>
        <w:adjustRightInd w:val="0"/>
        <w:jc w:val="left"/>
        <w:rPr>
          <w:rFonts w:ascii="Times New Roman" w:hAnsi="Times New Roman" w:cs="Times New Roman"/>
          <w:b/>
          <w:color w:val="000000"/>
          <w:sz w:val="24"/>
          <w:szCs w:val="24"/>
        </w:rPr>
      </w:pPr>
    </w:p>
    <w:tbl>
      <w:tblPr>
        <w:tblStyle w:val="a3"/>
        <w:tblpPr w:leftFromText="180" w:rightFromText="180" w:vertAnchor="page" w:horzAnchor="margin" w:tblpXSpec="center" w:tblpY="3850"/>
        <w:tblW w:w="10348" w:type="dxa"/>
        <w:tblLook w:val="04A0" w:firstRow="1" w:lastRow="0" w:firstColumn="1" w:lastColumn="0" w:noHBand="0" w:noVBand="1"/>
      </w:tblPr>
      <w:tblGrid>
        <w:gridCol w:w="1276"/>
        <w:gridCol w:w="1276"/>
        <w:gridCol w:w="1418"/>
        <w:gridCol w:w="1275"/>
        <w:gridCol w:w="1276"/>
        <w:gridCol w:w="1276"/>
        <w:gridCol w:w="1276"/>
        <w:gridCol w:w="1275"/>
      </w:tblGrid>
      <w:tr w:rsidR="00392725" w:rsidRPr="0069466A" w:rsidTr="00444961">
        <w:trPr>
          <w:trHeight w:val="841"/>
        </w:trPr>
        <w:tc>
          <w:tcPr>
            <w:tcW w:w="1276" w:type="dxa"/>
            <w:tcBorders>
              <w:right w:val="single" w:sz="4" w:space="0" w:color="auto"/>
            </w:tcBorders>
            <w:shd w:val="clear" w:color="auto" w:fill="BDD6EE" w:themeFill="accent1" w:themeFillTint="66"/>
          </w:tcPr>
          <w:p w:rsidR="00392725" w:rsidRPr="003E1A2F" w:rsidRDefault="00392725" w:rsidP="00444961">
            <w:pPr>
              <w:rPr>
                <w:sz w:val="18"/>
              </w:rPr>
            </w:pPr>
            <w:r>
              <w:rPr>
                <w:sz w:val="18"/>
              </w:rPr>
              <w:t>Control</w:t>
            </w:r>
          </w:p>
        </w:tc>
        <w:tc>
          <w:tcPr>
            <w:tcW w:w="1276" w:type="dxa"/>
            <w:tcBorders>
              <w:top w:val="nil"/>
              <w:left w:val="single" w:sz="4" w:space="0" w:color="auto"/>
              <w:bottom w:val="single" w:sz="4" w:space="0" w:color="auto"/>
              <w:right w:val="nil"/>
            </w:tcBorders>
            <w:shd w:val="clear" w:color="auto" w:fill="auto"/>
            <w:vAlign w:val="center"/>
          </w:tcPr>
          <w:p w:rsidR="00392725" w:rsidRPr="0069466A" w:rsidRDefault="00392725" w:rsidP="00444961">
            <w:pPr>
              <w:widowControl/>
              <w:jc w:val="left"/>
              <w:rPr>
                <w:sz w:val="18"/>
              </w:rPr>
            </w:pPr>
          </w:p>
        </w:tc>
        <w:tc>
          <w:tcPr>
            <w:tcW w:w="1418"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5"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5" w:type="dxa"/>
            <w:tcBorders>
              <w:top w:val="nil"/>
              <w:left w:val="nil"/>
              <w:bottom w:val="nil"/>
              <w:right w:val="nil"/>
            </w:tcBorders>
            <w:shd w:val="clear" w:color="auto" w:fill="auto"/>
            <w:vAlign w:val="center"/>
          </w:tcPr>
          <w:p w:rsidR="00392725" w:rsidRPr="0069466A" w:rsidRDefault="00392725" w:rsidP="00444961">
            <w:pPr>
              <w:rPr>
                <w:sz w:val="18"/>
              </w:rPr>
            </w:pPr>
          </w:p>
        </w:tc>
      </w:tr>
      <w:tr w:rsidR="00392725" w:rsidRPr="0069466A" w:rsidTr="00444961">
        <w:trPr>
          <w:trHeight w:val="842"/>
        </w:trPr>
        <w:tc>
          <w:tcPr>
            <w:tcW w:w="1276" w:type="dxa"/>
            <w:shd w:val="clear" w:color="auto" w:fill="FFE599" w:themeFill="accent4" w:themeFillTint="66"/>
            <w:vAlign w:val="center"/>
          </w:tcPr>
          <w:p w:rsidR="00392725" w:rsidRDefault="00392725" w:rsidP="00444961">
            <w:pPr>
              <w:widowControl/>
              <w:jc w:val="left"/>
              <w:rPr>
                <w:sz w:val="18"/>
              </w:rPr>
            </w:pPr>
            <w:r w:rsidRPr="0069466A">
              <w:rPr>
                <w:rFonts w:hint="eastAsia"/>
                <w:sz w:val="18"/>
              </w:rPr>
              <w:t xml:space="preserve">-0.01 </w:t>
            </w:r>
          </w:p>
          <w:p w:rsidR="00392725" w:rsidRPr="0069466A" w:rsidRDefault="00392725" w:rsidP="00444961">
            <w:pPr>
              <w:widowControl/>
              <w:jc w:val="left"/>
              <w:rPr>
                <w:sz w:val="18"/>
              </w:rPr>
            </w:pPr>
            <w:r w:rsidRPr="0069466A">
              <w:rPr>
                <w:rFonts w:hint="eastAsia"/>
                <w:sz w:val="18"/>
              </w:rPr>
              <w:t>(-0.03, 0.02)</w:t>
            </w:r>
          </w:p>
        </w:tc>
        <w:tc>
          <w:tcPr>
            <w:tcW w:w="1276" w:type="dxa"/>
            <w:tcBorders>
              <w:top w:val="single" w:sz="4" w:space="0" w:color="auto"/>
              <w:right w:val="single" w:sz="4" w:space="0" w:color="auto"/>
            </w:tcBorders>
            <w:shd w:val="clear" w:color="auto" w:fill="BDD6EE" w:themeFill="accent1" w:themeFillTint="66"/>
          </w:tcPr>
          <w:p w:rsidR="00392725" w:rsidRPr="003E1A2F" w:rsidRDefault="00392725" w:rsidP="00444961">
            <w:pPr>
              <w:rPr>
                <w:sz w:val="18"/>
              </w:rPr>
            </w:pPr>
            <w:r>
              <w:rPr>
                <w:sz w:val="18"/>
              </w:rPr>
              <w:t>FE</w:t>
            </w:r>
          </w:p>
        </w:tc>
        <w:tc>
          <w:tcPr>
            <w:tcW w:w="1418" w:type="dxa"/>
            <w:tcBorders>
              <w:top w:val="nil"/>
              <w:left w:val="single" w:sz="4" w:space="0" w:color="auto"/>
              <w:bottom w:val="single" w:sz="4" w:space="0" w:color="auto"/>
              <w:right w:val="nil"/>
            </w:tcBorders>
            <w:shd w:val="clear" w:color="auto" w:fill="auto"/>
            <w:vAlign w:val="center"/>
          </w:tcPr>
          <w:p w:rsidR="00392725" w:rsidRPr="0069466A" w:rsidRDefault="00392725" w:rsidP="00444961">
            <w:pPr>
              <w:widowControl/>
              <w:jc w:val="left"/>
              <w:rPr>
                <w:sz w:val="18"/>
              </w:rPr>
            </w:pPr>
          </w:p>
        </w:tc>
        <w:tc>
          <w:tcPr>
            <w:tcW w:w="1275"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5" w:type="dxa"/>
            <w:tcBorders>
              <w:top w:val="nil"/>
              <w:left w:val="nil"/>
              <w:bottom w:val="nil"/>
              <w:right w:val="nil"/>
            </w:tcBorders>
            <w:shd w:val="clear" w:color="auto" w:fill="auto"/>
            <w:vAlign w:val="center"/>
          </w:tcPr>
          <w:p w:rsidR="00392725" w:rsidRPr="0069466A" w:rsidRDefault="00392725" w:rsidP="00444961">
            <w:pPr>
              <w:rPr>
                <w:sz w:val="18"/>
              </w:rPr>
            </w:pPr>
          </w:p>
        </w:tc>
      </w:tr>
      <w:tr w:rsidR="00392725" w:rsidRPr="0069466A" w:rsidTr="00444961">
        <w:trPr>
          <w:trHeight w:val="841"/>
        </w:trPr>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(-0.02, 0.04)</w:t>
            </w:r>
          </w:p>
        </w:tc>
        <w:tc>
          <w:tcPr>
            <w:tcW w:w="1276" w:type="dxa"/>
            <w:shd w:val="clear" w:color="auto" w:fill="FFE599" w:themeFill="accent4" w:themeFillTint="66"/>
            <w:vAlign w:val="center"/>
          </w:tcPr>
          <w:p w:rsidR="00392725" w:rsidRDefault="00392725" w:rsidP="00444961">
            <w:pPr>
              <w:widowControl/>
              <w:jc w:val="left"/>
              <w:rPr>
                <w:sz w:val="18"/>
              </w:rPr>
            </w:pPr>
            <w:r w:rsidRPr="0069466A">
              <w:rPr>
                <w:rFonts w:hint="eastAsia"/>
                <w:sz w:val="18"/>
              </w:rPr>
              <w:t xml:space="preserve">0.02 </w:t>
            </w:r>
          </w:p>
          <w:p w:rsidR="00392725" w:rsidRPr="0069466A" w:rsidRDefault="00392725" w:rsidP="00444961">
            <w:pPr>
              <w:widowControl/>
              <w:jc w:val="left"/>
              <w:rPr>
                <w:sz w:val="18"/>
              </w:rPr>
            </w:pPr>
            <w:r w:rsidRPr="0069466A">
              <w:rPr>
                <w:rFonts w:hint="eastAsia"/>
                <w:sz w:val="18"/>
              </w:rPr>
              <w:t>(-0.02, 0.06)</w:t>
            </w:r>
          </w:p>
        </w:tc>
        <w:tc>
          <w:tcPr>
            <w:tcW w:w="1418" w:type="dxa"/>
            <w:tcBorders>
              <w:top w:val="single" w:sz="4" w:space="0" w:color="auto"/>
              <w:right w:val="single" w:sz="4" w:space="0" w:color="auto"/>
            </w:tcBorders>
            <w:shd w:val="clear" w:color="auto" w:fill="BDD6EE" w:themeFill="accent1" w:themeFillTint="66"/>
          </w:tcPr>
          <w:p w:rsidR="00392725" w:rsidRPr="003E1A2F" w:rsidRDefault="00392725" w:rsidP="00444961">
            <w:pPr>
              <w:rPr>
                <w:sz w:val="18"/>
              </w:rPr>
            </w:pPr>
            <w:r>
              <w:rPr>
                <w:sz w:val="18"/>
              </w:rPr>
              <w:t>WBV</w:t>
            </w:r>
          </w:p>
        </w:tc>
        <w:tc>
          <w:tcPr>
            <w:tcW w:w="1275" w:type="dxa"/>
            <w:tcBorders>
              <w:top w:val="nil"/>
              <w:left w:val="single" w:sz="4" w:space="0" w:color="auto"/>
              <w:bottom w:val="single" w:sz="4" w:space="0" w:color="auto"/>
              <w:right w:val="nil"/>
            </w:tcBorders>
            <w:shd w:val="clear" w:color="auto" w:fill="auto"/>
            <w:vAlign w:val="center"/>
          </w:tcPr>
          <w:p w:rsidR="00392725" w:rsidRPr="0069466A" w:rsidRDefault="00392725" w:rsidP="00444961">
            <w:pPr>
              <w:widowControl/>
              <w:jc w:val="left"/>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5" w:type="dxa"/>
            <w:tcBorders>
              <w:top w:val="nil"/>
              <w:left w:val="nil"/>
              <w:bottom w:val="nil"/>
              <w:right w:val="nil"/>
            </w:tcBorders>
            <w:shd w:val="clear" w:color="auto" w:fill="auto"/>
            <w:vAlign w:val="center"/>
          </w:tcPr>
          <w:p w:rsidR="00392725" w:rsidRPr="0069466A" w:rsidRDefault="00392725" w:rsidP="00444961">
            <w:pPr>
              <w:rPr>
                <w:sz w:val="18"/>
              </w:rPr>
            </w:pPr>
          </w:p>
        </w:tc>
      </w:tr>
      <w:tr w:rsidR="00392725" w:rsidRPr="0069466A" w:rsidTr="00444961">
        <w:trPr>
          <w:trHeight w:val="839"/>
        </w:trPr>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-0.00 </w:t>
            </w:r>
          </w:p>
          <w:p w:rsidR="00392725" w:rsidRPr="0069466A" w:rsidRDefault="00392725" w:rsidP="00444961">
            <w:pPr>
              <w:rPr>
                <w:sz w:val="18"/>
              </w:rPr>
            </w:pPr>
            <w:r w:rsidRPr="0069466A">
              <w:rPr>
                <w:rFonts w:hint="eastAsia"/>
                <w:sz w:val="18"/>
              </w:rPr>
              <w:t>(-0.03, 0.02)</w:t>
            </w:r>
          </w:p>
        </w:tc>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(-0.03, 0.04)</w:t>
            </w:r>
          </w:p>
        </w:tc>
        <w:tc>
          <w:tcPr>
            <w:tcW w:w="1418" w:type="dxa"/>
            <w:shd w:val="clear" w:color="auto" w:fill="FFE599" w:themeFill="accent4" w:themeFillTint="66"/>
            <w:vAlign w:val="center"/>
          </w:tcPr>
          <w:p w:rsidR="00392725" w:rsidRDefault="00392725" w:rsidP="00444961">
            <w:pPr>
              <w:widowControl/>
              <w:jc w:val="left"/>
              <w:rPr>
                <w:sz w:val="18"/>
              </w:rPr>
            </w:pPr>
            <w:r w:rsidRPr="0069466A">
              <w:rPr>
                <w:rFonts w:hint="eastAsia"/>
                <w:sz w:val="18"/>
              </w:rPr>
              <w:t xml:space="preserve">-0.01 </w:t>
            </w:r>
          </w:p>
          <w:p w:rsidR="00392725" w:rsidRPr="0069466A" w:rsidRDefault="00392725" w:rsidP="00444961">
            <w:pPr>
              <w:widowControl/>
              <w:jc w:val="left"/>
              <w:rPr>
                <w:sz w:val="18"/>
              </w:rPr>
            </w:pPr>
            <w:r w:rsidRPr="0069466A">
              <w:rPr>
                <w:rFonts w:hint="eastAsia"/>
                <w:sz w:val="18"/>
              </w:rPr>
              <w:t>(-0.05, 0.03)</w:t>
            </w:r>
          </w:p>
        </w:tc>
        <w:tc>
          <w:tcPr>
            <w:tcW w:w="1275" w:type="dxa"/>
            <w:tcBorders>
              <w:top w:val="single" w:sz="4" w:space="0" w:color="auto"/>
              <w:right w:val="single" w:sz="4" w:space="0" w:color="auto"/>
            </w:tcBorders>
            <w:shd w:val="clear" w:color="auto" w:fill="BDD6EE" w:themeFill="accent1" w:themeFillTint="66"/>
          </w:tcPr>
          <w:p w:rsidR="00392725" w:rsidRPr="003E1A2F" w:rsidRDefault="00392725" w:rsidP="00444961">
            <w:pPr>
              <w:rPr>
                <w:sz w:val="18"/>
              </w:rPr>
            </w:pPr>
            <w:r>
              <w:rPr>
                <w:sz w:val="18"/>
              </w:rPr>
              <w:t>MIE</w:t>
            </w:r>
          </w:p>
        </w:tc>
        <w:tc>
          <w:tcPr>
            <w:tcW w:w="1276" w:type="dxa"/>
            <w:tcBorders>
              <w:top w:val="nil"/>
              <w:left w:val="single" w:sz="4" w:space="0" w:color="auto"/>
              <w:bottom w:val="single" w:sz="4" w:space="0" w:color="auto"/>
              <w:right w:val="nil"/>
            </w:tcBorders>
            <w:shd w:val="clear" w:color="auto" w:fill="auto"/>
            <w:vAlign w:val="center"/>
          </w:tcPr>
          <w:p w:rsidR="00392725" w:rsidRPr="0069466A" w:rsidRDefault="00392725" w:rsidP="00444961">
            <w:pPr>
              <w:widowControl/>
              <w:jc w:val="left"/>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5" w:type="dxa"/>
            <w:tcBorders>
              <w:top w:val="nil"/>
              <w:left w:val="nil"/>
              <w:bottom w:val="nil"/>
              <w:right w:val="nil"/>
            </w:tcBorders>
            <w:shd w:val="clear" w:color="auto" w:fill="auto"/>
            <w:vAlign w:val="center"/>
          </w:tcPr>
          <w:p w:rsidR="00392725" w:rsidRPr="0069466A" w:rsidRDefault="00392725" w:rsidP="00444961">
            <w:pPr>
              <w:rPr>
                <w:sz w:val="18"/>
              </w:rPr>
            </w:pPr>
          </w:p>
        </w:tc>
      </w:tr>
      <w:tr w:rsidR="00392725" w:rsidRPr="0069466A" w:rsidTr="00444961">
        <w:trPr>
          <w:trHeight w:val="836"/>
        </w:trPr>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-0.00 </w:t>
            </w:r>
          </w:p>
          <w:p w:rsidR="00392725" w:rsidRPr="0069466A" w:rsidRDefault="00392725" w:rsidP="00444961">
            <w:pPr>
              <w:rPr>
                <w:sz w:val="18"/>
              </w:rPr>
            </w:pPr>
            <w:r w:rsidRPr="0069466A">
              <w:rPr>
                <w:rFonts w:hint="eastAsia"/>
                <w:sz w:val="18"/>
              </w:rPr>
              <w:t>(-0.02, 0.02)</w:t>
            </w:r>
          </w:p>
        </w:tc>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(-0.03, 0.04)</w:t>
            </w:r>
          </w:p>
        </w:tc>
        <w:tc>
          <w:tcPr>
            <w:tcW w:w="1418"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(-0.05, 0.02)</w:t>
            </w:r>
          </w:p>
        </w:tc>
        <w:tc>
          <w:tcPr>
            <w:tcW w:w="1275" w:type="dxa"/>
            <w:shd w:val="clear" w:color="auto" w:fill="FFE599" w:themeFill="accent4" w:themeFillTint="66"/>
            <w:vAlign w:val="center"/>
          </w:tcPr>
          <w:p w:rsidR="00392725" w:rsidRDefault="00392725" w:rsidP="00444961">
            <w:pPr>
              <w:widowControl/>
              <w:jc w:val="left"/>
              <w:rPr>
                <w:sz w:val="18"/>
              </w:rPr>
            </w:pPr>
            <w:r w:rsidRPr="0069466A">
              <w:rPr>
                <w:rFonts w:hint="eastAsia"/>
                <w:sz w:val="18"/>
              </w:rPr>
              <w:t xml:space="preserve">0.00 </w:t>
            </w:r>
          </w:p>
          <w:p w:rsidR="00392725" w:rsidRPr="0069466A" w:rsidRDefault="00392725" w:rsidP="00444961">
            <w:pPr>
              <w:widowControl/>
              <w:jc w:val="left"/>
              <w:rPr>
                <w:sz w:val="18"/>
              </w:rPr>
            </w:pPr>
            <w:r w:rsidRPr="0069466A">
              <w:rPr>
                <w:rFonts w:hint="eastAsia"/>
                <w:sz w:val="18"/>
              </w:rPr>
              <w:t>(-0.03, 0.03)</w:t>
            </w:r>
          </w:p>
        </w:tc>
        <w:tc>
          <w:tcPr>
            <w:tcW w:w="1276" w:type="dxa"/>
            <w:tcBorders>
              <w:top w:val="single" w:sz="4" w:space="0" w:color="auto"/>
              <w:right w:val="single" w:sz="4" w:space="0" w:color="auto"/>
            </w:tcBorders>
            <w:shd w:val="clear" w:color="auto" w:fill="BDD6EE" w:themeFill="accent1" w:themeFillTint="66"/>
          </w:tcPr>
          <w:p w:rsidR="00392725" w:rsidRPr="003E1A2F" w:rsidRDefault="00392725" w:rsidP="00444961">
            <w:pPr>
              <w:rPr>
                <w:sz w:val="18"/>
              </w:rPr>
            </w:pPr>
            <w:r>
              <w:rPr>
                <w:sz w:val="18"/>
              </w:rPr>
              <w:t>LIE</w:t>
            </w:r>
          </w:p>
        </w:tc>
        <w:tc>
          <w:tcPr>
            <w:tcW w:w="1276" w:type="dxa"/>
            <w:tcBorders>
              <w:top w:val="nil"/>
              <w:left w:val="single" w:sz="4" w:space="0" w:color="auto"/>
              <w:bottom w:val="single" w:sz="4" w:space="0" w:color="auto"/>
              <w:right w:val="nil"/>
            </w:tcBorders>
            <w:shd w:val="clear" w:color="auto" w:fill="auto"/>
            <w:vAlign w:val="center"/>
          </w:tcPr>
          <w:p w:rsidR="00392725" w:rsidRPr="0069466A" w:rsidRDefault="00392725" w:rsidP="00444961">
            <w:pPr>
              <w:widowControl/>
              <w:jc w:val="left"/>
              <w:rPr>
                <w:sz w:val="18"/>
              </w:rPr>
            </w:pPr>
          </w:p>
        </w:tc>
        <w:tc>
          <w:tcPr>
            <w:tcW w:w="1276" w:type="dxa"/>
            <w:tcBorders>
              <w:top w:val="nil"/>
              <w:left w:val="nil"/>
              <w:bottom w:val="nil"/>
              <w:right w:val="nil"/>
            </w:tcBorders>
            <w:shd w:val="clear" w:color="auto" w:fill="auto"/>
            <w:vAlign w:val="center"/>
          </w:tcPr>
          <w:p w:rsidR="00392725" w:rsidRPr="0069466A" w:rsidRDefault="00392725" w:rsidP="00444961">
            <w:pPr>
              <w:rPr>
                <w:sz w:val="18"/>
              </w:rPr>
            </w:pPr>
          </w:p>
        </w:tc>
        <w:tc>
          <w:tcPr>
            <w:tcW w:w="1275" w:type="dxa"/>
            <w:tcBorders>
              <w:top w:val="nil"/>
              <w:left w:val="nil"/>
              <w:bottom w:val="nil"/>
              <w:right w:val="nil"/>
            </w:tcBorders>
            <w:shd w:val="clear" w:color="auto" w:fill="auto"/>
            <w:vAlign w:val="center"/>
          </w:tcPr>
          <w:p w:rsidR="00392725" w:rsidRPr="0069466A" w:rsidRDefault="00392725" w:rsidP="00444961">
            <w:pPr>
              <w:rPr>
                <w:sz w:val="18"/>
              </w:rPr>
            </w:pPr>
          </w:p>
        </w:tc>
      </w:tr>
      <w:tr w:rsidR="00392725" w:rsidRPr="0069466A" w:rsidTr="00444961">
        <w:trPr>
          <w:trHeight w:val="848"/>
        </w:trPr>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0.00 </w:t>
            </w:r>
          </w:p>
          <w:p w:rsidR="00392725" w:rsidRPr="0069466A" w:rsidRDefault="00392725" w:rsidP="00444961">
            <w:pPr>
              <w:rPr>
                <w:sz w:val="18"/>
              </w:rPr>
            </w:pPr>
            <w:r w:rsidRPr="0069466A">
              <w:rPr>
                <w:rFonts w:hint="eastAsia"/>
                <w:sz w:val="18"/>
              </w:rPr>
              <w:t>(-0.03, 0.03)</w:t>
            </w:r>
          </w:p>
        </w:tc>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(-0.03, 0.05)</w:t>
            </w:r>
          </w:p>
        </w:tc>
        <w:tc>
          <w:tcPr>
            <w:tcW w:w="1418"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(-0.04, 0.02)</w:t>
            </w:r>
          </w:p>
        </w:tc>
        <w:tc>
          <w:tcPr>
            <w:tcW w:w="1275" w:type="dxa"/>
            <w:shd w:val="clear" w:color="auto" w:fill="FFE599" w:themeFill="accent4" w:themeFillTint="66"/>
            <w:vAlign w:val="center"/>
          </w:tcPr>
          <w:p w:rsidR="00392725" w:rsidRDefault="00392725" w:rsidP="00444961">
            <w:pPr>
              <w:rPr>
                <w:sz w:val="18"/>
              </w:rPr>
            </w:pPr>
            <w:r w:rsidRPr="0069466A">
              <w:rPr>
                <w:rFonts w:hint="eastAsia"/>
                <w:sz w:val="18"/>
              </w:rPr>
              <w:t xml:space="preserve">0.00 </w:t>
            </w:r>
          </w:p>
          <w:p w:rsidR="00392725" w:rsidRPr="0069466A" w:rsidRDefault="00392725" w:rsidP="00444961">
            <w:pPr>
              <w:rPr>
                <w:sz w:val="18"/>
              </w:rPr>
            </w:pPr>
            <w:r w:rsidRPr="0069466A">
              <w:rPr>
                <w:rFonts w:hint="eastAsia"/>
                <w:sz w:val="18"/>
              </w:rPr>
              <w:t>(-0.04, 0.04)</w:t>
            </w:r>
          </w:p>
        </w:tc>
        <w:tc>
          <w:tcPr>
            <w:tcW w:w="1276" w:type="dxa"/>
            <w:shd w:val="clear" w:color="auto" w:fill="FFE599" w:themeFill="accent4" w:themeFillTint="66"/>
            <w:vAlign w:val="center"/>
          </w:tcPr>
          <w:p w:rsidR="00392725" w:rsidRDefault="00392725" w:rsidP="00444961">
            <w:pPr>
              <w:widowControl/>
              <w:jc w:val="left"/>
              <w:rPr>
                <w:sz w:val="18"/>
              </w:rPr>
            </w:pPr>
            <w:r w:rsidRPr="0069466A">
              <w:rPr>
                <w:rFonts w:hint="eastAsia"/>
                <w:sz w:val="18"/>
              </w:rPr>
              <w:t xml:space="preserve">0.00 </w:t>
            </w:r>
          </w:p>
          <w:p w:rsidR="00392725" w:rsidRPr="0069466A" w:rsidRDefault="00392725" w:rsidP="00444961">
            <w:pPr>
              <w:widowControl/>
              <w:jc w:val="left"/>
              <w:rPr>
                <w:sz w:val="18"/>
              </w:rPr>
            </w:pPr>
            <w:r w:rsidRPr="0069466A">
              <w:rPr>
                <w:rFonts w:hint="eastAsia"/>
                <w:sz w:val="18"/>
              </w:rPr>
              <w:t>(-0.03, 0.04)</w:t>
            </w:r>
          </w:p>
        </w:tc>
        <w:tc>
          <w:tcPr>
            <w:tcW w:w="1276" w:type="dxa"/>
            <w:tcBorders>
              <w:top w:val="single" w:sz="4" w:space="0" w:color="auto"/>
              <w:right w:val="single" w:sz="4" w:space="0" w:color="auto"/>
            </w:tcBorders>
            <w:shd w:val="clear" w:color="auto" w:fill="BDD6EE" w:themeFill="accent1" w:themeFillTint="66"/>
          </w:tcPr>
          <w:p w:rsidR="00392725" w:rsidRPr="003E1A2F" w:rsidRDefault="00392725" w:rsidP="00444961">
            <w:pPr>
              <w:rPr>
                <w:sz w:val="18"/>
              </w:rPr>
            </w:pPr>
            <w:r>
              <w:rPr>
                <w:sz w:val="18"/>
              </w:rPr>
              <w:t>MBE</w:t>
            </w:r>
          </w:p>
        </w:tc>
        <w:tc>
          <w:tcPr>
            <w:tcW w:w="1276" w:type="dxa"/>
            <w:tcBorders>
              <w:top w:val="nil"/>
              <w:left w:val="single" w:sz="4" w:space="0" w:color="auto"/>
              <w:bottom w:val="single" w:sz="4" w:space="0" w:color="auto"/>
              <w:right w:val="nil"/>
            </w:tcBorders>
            <w:shd w:val="clear" w:color="auto" w:fill="auto"/>
            <w:vAlign w:val="center"/>
          </w:tcPr>
          <w:p w:rsidR="00392725" w:rsidRPr="0069466A" w:rsidRDefault="00392725" w:rsidP="00444961">
            <w:pPr>
              <w:widowControl/>
              <w:jc w:val="left"/>
              <w:rPr>
                <w:sz w:val="18"/>
              </w:rPr>
            </w:pPr>
          </w:p>
        </w:tc>
        <w:tc>
          <w:tcPr>
            <w:tcW w:w="1275" w:type="dxa"/>
            <w:tcBorders>
              <w:top w:val="nil"/>
              <w:left w:val="nil"/>
              <w:bottom w:val="nil"/>
              <w:right w:val="nil"/>
            </w:tcBorders>
            <w:shd w:val="clear" w:color="auto" w:fill="auto"/>
            <w:vAlign w:val="center"/>
          </w:tcPr>
          <w:p w:rsidR="00392725" w:rsidRPr="0069466A" w:rsidRDefault="00392725" w:rsidP="00444961">
            <w:pPr>
              <w:rPr>
                <w:sz w:val="18"/>
              </w:rPr>
            </w:pPr>
          </w:p>
        </w:tc>
      </w:tr>
      <w:tr w:rsidR="00392725" w:rsidRPr="0069466A" w:rsidTr="00444961">
        <w:trPr>
          <w:trHeight w:val="704"/>
        </w:trPr>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(-0.02, 0.01)</w:t>
            </w:r>
          </w:p>
        </w:tc>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-0.00 </w:t>
            </w:r>
          </w:p>
          <w:p w:rsidR="00392725" w:rsidRPr="0069466A" w:rsidRDefault="00392725" w:rsidP="00444961">
            <w:pPr>
              <w:rPr>
                <w:sz w:val="18"/>
              </w:rPr>
            </w:pPr>
            <w:r w:rsidRPr="0069466A">
              <w:rPr>
                <w:rFonts w:hint="eastAsia"/>
                <w:sz w:val="18"/>
              </w:rPr>
              <w:t>(-0.03, 0.03)</w:t>
            </w:r>
          </w:p>
        </w:tc>
        <w:tc>
          <w:tcPr>
            <w:tcW w:w="1418" w:type="dxa"/>
            <w:shd w:val="clear" w:color="auto" w:fill="FFE599" w:themeFill="accent4" w:themeFillTint="66"/>
            <w:vAlign w:val="center"/>
          </w:tcPr>
          <w:p w:rsidR="00392725" w:rsidRDefault="00392725" w:rsidP="00444961">
            <w:pPr>
              <w:rPr>
                <w:sz w:val="18"/>
              </w:rPr>
            </w:pPr>
            <w:r w:rsidRPr="0069466A">
              <w:rPr>
                <w:rFonts w:hint="eastAsia"/>
                <w:sz w:val="18"/>
              </w:rPr>
              <w:t xml:space="preserve">-0.02 </w:t>
            </w:r>
          </w:p>
          <w:p w:rsidR="00392725" w:rsidRPr="0069466A" w:rsidRDefault="00392725" w:rsidP="00444961">
            <w:pPr>
              <w:rPr>
                <w:sz w:val="18"/>
              </w:rPr>
            </w:pPr>
            <w:r w:rsidRPr="0069466A">
              <w:rPr>
                <w:rFonts w:hint="eastAsia"/>
                <w:sz w:val="18"/>
              </w:rPr>
              <w:t>(-0.05, 0.01)</w:t>
            </w:r>
          </w:p>
        </w:tc>
        <w:tc>
          <w:tcPr>
            <w:tcW w:w="1275"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(-0.03, 0.02)</w:t>
            </w:r>
          </w:p>
        </w:tc>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(-0.03, 0.02)</w:t>
            </w:r>
          </w:p>
        </w:tc>
        <w:tc>
          <w:tcPr>
            <w:tcW w:w="1276" w:type="dxa"/>
            <w:shd w:val="clear" w:color="auto" w:fill="FFE599" w:themeFill="accent4" w:themeFillTint="66"/>
            <w:vAlign w:val="center"/>
          </w:tcPr>
          <w:p w:rsidR="00392725" w:rsidRDefault="00392725" w:rsidP="00444961">
            <w:pPr>
              <w:widowControl/>
              <w:jc w:val="left"/>
              <w:rPr>
                <w:sz w:val="18"/>
              </w:rPr>
            </w:pPr>
            <w:r w:rsidRPr="0069466A">
              <w:rPr>
                <w:rFonts w:hint="eastAsia"/>
                <w:sz w:val="18"/>
              </w:rPr>
              <w:t>-0.01</w:t>
            </w:r>
          </w:p>
          <w:p w:rsidR="00392725" w:rsidRPr="0069466A" w:rsidRDefault="00392725" w:rsidP="00444961">
            <w:pPr>
              <w:widowControl/>
              <w:jc w:val="left"/>
              <w:rPr>
                <w:sz w:val="18"/>
              </w:rPr>
            </w:pPr>
            <w:r w:rsidRPr="0069466A">
              <w:rPr>
                <w:rFonts w:hint="eastAsia"/>
                <w:sz w:val="18"/>
              </w:rPr>
              <w:t>(-0.04, 0.03)</w:t>
            </w:r>
          </w:p>
        </w:tc>
        <w:tc>
          <w:tcPr>
            <w:tcW w:w="1276" w:type="dxa"/>
            <w:tcBorders>
              <w:top w:val="single" w:sz="4" w:space="0" w:color="auto"/>
              <w:right w:val="single" w:sz="4" w:space="0" w:color="auto"/>
            </w:tcBorders>
            <w:shd w:val="clear" w:color="auto" w:fill="BDD6EE" w:themeFill="accent1" w:themeFillTint="66"/>
          </w:tcPr>
          <w:p w:rsidR="00392725" w:rsidRPr="003E1A2F" w:rsidRDefault="00392725" w:rsidP="00444961">
            <w:pPr>
              <w:rPr>
                <w:sz w:val="18"/>
              </w:rPr>
            </w:pPr>
            <w:r>
              <w:rPr>
                <w:sz w:val="18"/>
              </w:rPr>
              <w:t>RT</w:t>
            </w:r>
          </w:p>
        </w:tc>
        <w:tc>
          <w:tcPr>
            <w:tcW w:w="1275" w:type="dxa"/>
            <w:tcBorders>
              <w:top w:val="nil"/>
              <w:left w:val="single" w:sz="4" w:space="0" w:color="auto"/>
              <w:bottom w:val="single" w:sz="4" w:space="0" w:color="auto"/>
              <w:right w:val="nil"/>
            </w:tcBorders>
            <w:shd w:val="clear" w:color="auto" w:fill="auto"/>
          </w:tcPr>
          <w:p w:rsidR="00392725" w:rsidRPr="003E1A2F" w:rsidRDefault="00392725" w:rsidP="00444961">
            <w:pPr>
              <w:widowControl/>
              <w:rPr>
                <w:sz w:val="18"/>
              </w:rPr>
            </w:pPr>
          </w:p>
        </w:tc>
      </w:tr>
      <w:tr w:rsidR="00392725" w:rsidRPr="0069466A" w:rsidTr="00444961">
        <w:trPr>
          <w:trHeight w:val="700"/>
        </w:trPr>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-0.02 </w:t>
            </w:r>
          </w:p>
          <w:p w:rsidR="00392725" w:rsidRPr="0069466A" w:rsidRDefault="00392725" w:rsidP="00444961">
            <w:pPr>
              <w:rPr>
                <w:sz w:val="18"/>
              </w:rPr>
            </w:pPr>
            <w:r w:rsidRPr="0069466A">
              <w:rPr>
                <w:rFonts w:hint="eastAsia"/>
                <w:sz w:val="18"/>
              </w:rPr>
              <w:t>(-0.04, 0.00)</w:t>
            </w:r>
          </w:p>
        </w:tc>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(-0.04, 0.02)</w:t>
            </w:r>
          </w:p>
        </w:tc>
        <w:tc>
          <w:tcPr>
            <w:tcW w:w="1418" w:type="dxa"/>
            <w:shd w:val="clear" w:color="auto" w:fill="FFE599" w:themeFill="accent4" w:themeFillTint="66"/>
            <w:vAlign w:val="center"/>
          </w:tcPr>
          <w:p w:rsidR="00392725" w:rsidRDefault="00392725" w:rsidP="00444961">
            <w:pPr>
              <w:rPr>
                <w:sz w:val="18"/>
              </w:rPr>
            </w:pPr>
            <w:r w:rsidRPr="0069466A">
              <w:rPr>
                <w:rFonts w:hint="eastAsia"/>
                <w:sz w:val="18"/>
              </w:rPr>
              <w:t xml:space="preserve">-0.03 </w:t>
            </w:r>
          </w:p>
          <w:p w:rsidR="00392725" w:rsidRPr="0069466A" w:rsidRDefault="00392725" w:rsidP="00444961">
            <w:pPr>
              <w:rPr>
                <w:sz w:val="18"/>
              </w:rPr>
            </w:pPr>
            <w:r w:rsidRPr="0069466A">
              <w:rPr>
                <w:rFonts w:hint="eastAsia"/>
                <w:sz w:val="18"/>
              </w:rPr>
              <w:t>(-0.06, 0.01)</w:t>
            </w:r>
          </w:p>
        </w:tc>
        <w:tc>
          <w:tcPr>
            <w:tcW w:w="1275" w:type="dxa"/>
            <w:shd w:val="clear" w:color="auto" w:fill="FFE599" w:themeFill="accent4" w:themeFillTint="66"/>
            <w:vAlign w:val="center"/>
          </w:tcPr>
          <w:p w:rsidR="00392725" w:rsidRDefault="00392725" w:rsidP="00444961">
            <w:pPr>
              <w:rPr>
                <w:sz w:val="18"/>
              </w:rPr>
            </w:pPr>
            <w:r w:rsidRPr="0069466A">
              <w:rPr>
                <w:rFonts w:hint="eastAsia"/>
                <w:sz w:val="18"/>
              </w:rPr>
              <w:t xml:space="preserve">-0.01 </w:t>
            </w:r>
          </w:p>
          <w:p w:rsidR="00392725" w:rsidRPr="0069466A" w:rsidRDefault="00392725" w:rsidP="00444961">
            <w:pPr>
              <w:rPr>
                <w:sz w:val="18"/>
              </w:rPr>
            </w:pPr>
            <w:r w:rsidRPr="0069466A">
              <w:rPr>
                <w:rFonts w:hint="eastAsia"/>
                <w:sz w:val="18"/>
              </w:rPr>
              <w:t>(-0.05, 0.02)</w:t>
            </w:r>
          </w:p>
        </w:tc>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-0.02 </w:t>
            </w:r>
          </w:p>
          <w:p w:rsidR="00392725" w:rsidRPr="0069466A" w:rsidRDefault="00392725" w:rsidP="00444961">
            <w:pPr>
              <w:rPr>
                <w:sz w:val="18"/>
              </w:rPr>
            </w:pPr>
            <w:r w:rsidRPr="0069466A">
              <w:rPr>
                <w:rFonts w:hint="eastAsia"/>
                <w:sz w:val="18"/>
              </w:rPr>
              <w:t>(-0.04, 0.01)</w:t>
            </w:r>
          </w:p>
        </w:tc>
        <w:tc>
          <w:tcPr>
            <w:tcW w:w="1276" w:type="dxa"/>
            <w:shd w:val="clear" w:color="auto" w:fill="FFE599" w:themeFill="accent4" w:themeFillTint="66"/>
            <w:vAlign w:val="center"/>
          </w:tcPr>
          <w:p w:rsidR="00392725" w:rsidRDefault="00392725" w:rsidP="00444961">
            <w:pPr>
              <w:rPr>
                <w:sz w:val="18"/>
              </w:rPr>
            </w:pPr>
            <w:r w:rsidRPr="0069466A">
              <w:rPr>
                <w:rFonts w:hint="eastAsia"/>
                <w:sz w:val="18"/>
              </w:rPr>
              <w:t xml:space="preserve">-0.02 </w:t>
            </w:r>
          </w:p>
          <w:p w:rsidR="00392725" w:rsidRPr="0069466A" w:rsidRDefault="00392725" w:rsidP="00444961">
            <w:pPr>
              <w:rPr>
                <w:sz w:val="18"/>
              </w:rPr>
            </w:pPr>
            <w:r w:rsidRPr="0069466A">
              <w:rPr>
                <w:rFonts w:hint="eastAsia"/>
                <w:sz w:val="18"/>
              </w:rPr>
              <w:t>(-0.05, 0.02)</w:t>
            </w:r>
          </w:p>
        </w:tc>
        <w:tc>
          <w:tcPr>
            <w:tcW w:w="1276" w:type="dxa"/>
            <w:shd w:val="clear" w:color="auto" w:fill="FFE599" w:themeFill="accent4" w:themeFillTint="66"/>
          </w:tcPr>
          <w:p w:rsidR="00392725" w:rsidRDefault="00392725" w:rsidP="00444961">
            <w:pPr>
              <w:widowControl/>
              <w:rPr>
                <w:sz w:val="18"/>
              </w:rPr>
            </w:pPr>
            <w:r w:rsidRPr="0069466A">
              <w:rPr>
                <w:rFonts w:hint="eastAsia"/>
                <w:sz w:val="18"/>
              </w:rPr>
              <w:t xml:space="preserve">-0.01 </w:t>
            </w:r>
          </w:p>
          <w:p w:rsidR="00392725" w:rsidRPr="003E1A2F" w:rsidRDefault="00392725" w:rsidP="00444961">
            <w:pPr>
              <w:widowControl/>
              <w:rPr>
                <w:sz w:val="18"/>
              </w:rPr>
            </w:pPr>
            <w:r w:rsidRPr="0069466A">
              <w:rPr>
                <w:rFonts w:hint="eastAsia"/>
                <w:sz w:val="18"/>
              </w:rPr>
              <w:t>(-0.04, 0.02)</w:t>
            </w:r>
          </w:p>
        </w:tc>
        <w:tc>
          <w:tcPr>
            <w:tcW w:w="1275" w:type="dxa"/>
            <w:tcBorders>
              <w:top w:val="single" w:sz="4" w:space="0" w:color="auto"/>
            </w:tcBorders>
            <w:shd w:val="clear" w:color="auto" w:fill="BDD6EE" w:themeFill="accent1" w:themeFillTint="66"/>
          </w:tcPr>
          <w:p w:rsidR="00392725" w:rsidRPr="003E1A2F" w:rsidRDefault="00392725" w:rsidP="00444961">
            <w:pPr>
              <w:rPr>
                <w:sz w:val="18"/>
              </w:rPr>
            </w:pPr>
            <w:r>
              <w:rPr>
                <w:sz w:val="18"/>
              </w:rPr>
              <w:t>ME</w:t>
            </w:r>
          </w:p>
        </w:tc>
      </w:tr>
    </w:tbl>
    <w:p w:rsidR="000A1BD4" w:rsidRDefault="000A1BD4" w:rsidP="002A5715">
      <w:pPr>
        <w:autoSpaceDE w:val="0"/>
        <w:autoSpaceDN w:val="0"/>
        <w:adjustRightInd w:val="0"/>
        <w:jc w:val="left"/>
        <w:rPr>
          <w:rFonts w:ascii="Times New Roman" w:hAnsi="Times New Roman" w:cs="Times New Roman"/>
          <w:b/>
          <w:color w:val="000000"/>
          <w:sz w:val="24"/>
          <w:szCs w:val="24"/>
        </w:rPr>
      </w:pPr>
    </w:p>
    <w:p w:rsidR="000A1BD4" w:rsidRDefault="000A1BD4">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392725" w:rsidRPr="00444961" w:rsidRDefault="000A1BD4" w:rsidP="00172ABA">
      <w:pPr>
        <w:pStyle w:val="2"/>
        <w:rPr>
          <w:rFonts w:ascii="Times New Roman" w:hAnsi="Times New Roman" w:cs="Times New Roman"/>
          <w:sz w:val="24"/>
          <w:szCs w:val="24"/>
        </w:rPr>
      </w:pPr>
      <w:bookmarkStart w:id="69" w:name="_Toc74521945"/>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4F4696" w:rsidRPr="00444961">
        <w:rPr>
          <w:rFonts w:ascii="Times New Roman" w:hAnsi="Times New Roman" w:cs="Times New Roman"/>
          <w:sz w:val="24"/>
          <w:szCs w:val="24"/>
        </w:rPr>
        <w:t>1</w:t>
      </w:r>
      <w:r w:rsidR="002E1C7F" w:rsidRPr="00444961">
        <w:rPr>
          <w:rFonts w:ascii="Times New Roman" w:hAnsi="Times New Roman" w:cs="Times New Roman"/>
          <w:sz w:val="24"/>
          <w:szCs w:val="24"/>
        </w:rPr>
        <w:t>7</w:t>
      </w:r>
      <w:r w:rsidRPr="00444961">
        <w:rPr>
          <w:rFonts w:ascii="Times New Roman" w:hAnsi="Times New Roman" w:cs="Times New Roman"/>
          <w:sz w:val="24"/>
          <w:szCs w:val="24"/>
        </w:rPr>
        <w:t xml:space="preserve">: Cumulative ranking plots to show comparative effectiveness of treatments from a BMD outcome at </w:t>
      </w:r>
      <w:r w:rsidR="003670A7" w:rsidRPr="00444961">
        <w:rPr>
          <w:rFonts w:ascii="Times New Roman" w:hAnsi="Times New Roman" w:cs="Times New Roman"/>
          <w:sz w:val="24"/>
          <w:szCs w:val="24"/>
        </w:rPr>
        <w:t>(A) LS, (B) FN, and (C) FN</w:t>
      </w:r>
      <w:r w:rsidRPr="00444961">
        <w:rPr>
          <w:rFonts w:ascii="Times New Roman" w:hAnsi="Times New Roman" w:cs="Times New Roman"/>
          <w:sz w:val="24"/>
          <w:szCs w:val="24"/>
        </w:rPr>
        <w:t xml:space="preserve"> network meta-analysis </w:t>
      </w:r>
      <w:r w:rsidRPr="00444961">
        <w:rPr>
          <w:rFonts w:ascii="Times New Roman" w:hAnsi="Times New Roman" w:cs="Times New Roman" w:hint="eastAsia"/>
          <w:sz w:val="24"/>
          <w:szCs w:val="24"/>
        </w:rPr>
        <w:t>when</w:t>
      </w:r>
      <w:r w:rsidRPr="00444961">
        <w:rPr>
          <w:rFonts w:ascii="Times New Roman" w:hAnsi="Times New Roman" w:cs="Times New Roman"/>
          <w:sz w:val="24"/>
          <w:szCs w:val="24"/>
        </w:rPr>
        <w:t xml:space="preserve"> exercise intervention with duration no more than eight months</w:t>
      </w:r>
      <w:bookmarkEnd w:id="69"/>
    </w:p>
    <w:p w:rsidR="000A1BD4" w:rsidRPr="00444961" w:rsidRDefault="003670A7" w:rsidP="002A5715">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A.</w:t>
      </w:r>
    </w:p>
    <w:p w:rsidR="000A1BD4" w:rsidRDefault="000A1BD4" w:rsidP="003670A7">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205742" cy="31489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 ≤8-ranking.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2669" cy="3171240"/>
                    </a:xfrm>
                    <a:prstGeom prst="rect">
                      <a:avLst/>
                    </a:prstGeom>
                  </pic:spPr>
                </pic:pic>
              </a:graphicData>
            </a:graphic>
          </wp:inline>
        </w:drawing>
      </w:r>
    </w:p>
    <w:p w:rsidR="00DC1DFB" w:rsidRDefault="003670A7" w:rsidP="002A5715">
      <w:pPr>
        <w:autoSpaceDE w:val="0"/>
        <w:autoSpaceDN w:val="0"/>
        <w:adjustRightInd w:val="0"/>
        <w:jc w:val="left"/>
        <w:rPr>
          <w:rFonts w:ascii="Times New Roman" w:hAnsi="Times New Roman" w:cs="Times New Roman"/>
          <w:b/>
          <w:color w:val="000000"/>
          <w:sz w:val="24"/>
          <w:szCs w:val="24"/>
        </w:rPr>
      </w:pPr>
      <w:r w:rsidRPr="00444961">
        <w:rPr>
          <w:rFonts w:ascii="Times New Roman" w:hAnsi="Times New Roman" w:cs="Times New Roman"/>
          <w:color w:val="000000"/>
          <w:sz w:val="20"/>
          <w:szCs w:val="20"/>
        </w:rPr>
        <w:t>B</w:t>
      </w:r>
      <w:r w:rsidRPr="003670A7">
        <w:rPr>
          <w:rFonts w:ascii="Times New Roman" w:hAnsi="Times New Roman" w:cs="Times New Roman"/>
          <w:color w:val="000000"/>
          <w:sz w:val="24"/>
          <w:szCs w:val="24"/>
        </w:rPr>
        <w:t>.</w:t>
      </w:r>
      <w:r w:rsidR="00DC1DFB">
        <w:rPr>
          <w:rFonts w:ascii="Times New Roman" w:hAnsi="Times New Roman" w:cs="Times New Roman"/>
          <w:b/>
          <w:noProof/>
          <w:color w:val="000000"/>
          <w:sz w:val="24"/>
          <w:szCs w:val="24"/>
        </w:rPr>
        <w:drawing>
          <wp:inline distT="0" distB="0" distL="0" distR="0">
            <wp:extent cx="5237987" cy="3811509"/>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N ≤8-ranking.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45681" cy="3817107"/>
                    </a:xfrm>
                    <a:prstGeom prst="rect">
                      <a:avLst/>
                    </a:prstGeom>
                  </pic:spPr>
                </pic:pic>
              </a:graphicData>
            </a:graphic>
          </wp:inline>
        </w:drawing>
      </w:r>
    </w:p>
    <w:p w:rsidR="00FB532F" w:rsidRPr="00444961" w:rsidRDefault="00DC1DFB" w:rsidP="00444961">
      <w:pPr>
        <w:widowControl/>
        <w:jc w:val="left"/>
        <w:rPr>
          <w:rFonts w:ascii="Times New Roman" w:hAnsi="Times New Roman" w:cs="Times New Roman"/>
          <w:color w:val="000000"/>
          <w:sz w:val="20"/>
          <w:szCs w:val="20"/>
        </w:rPr>
      </w:pPr>
      <w:r>
        <w:rPr>
          <w:rFonts w:ascii="Times New Roman" w:hAnsi="Times New Roman" w:cs="Times New Roman"/>
          <w:b/>
          <w:color w:val="000000"/>
          <w:sz w:val="24"/>
          <w:szCs w:val="24"/>
        </w:rPr>
        <w:br w:type="page"/>
      </w:r>
      <w:r w:rsidR="003670A7" w:rsidRPr="00444961">
        <w:rPr>
          <w:rFonts w:ascii="Times New Roman" w:hAnsi="Times New Roman" w:cs="Times New Roman" w:hint="eastAsia"/>
          <w:color w:val="000000"/>
          <w:sz w:val="20"/>
          <w:szCs w:val="20"/>
        </w:rPr>
        <w:lastRenderedPageBreak/>
        <w:t>C</w:t>
      </w:r>
      <w:r w:rsidR="003670A7" w:rsidRPr="00444961">
        <w:rPr>
          <w:rFonts w:ascii="Times New Roman" w:hAnsi="Times New Roman" w:cs="Times New Roman"/>
          <w:color w:val="000000"/>
          <w:sz w:val="20"/>
          <w:szCs w:val="20"/>
        </w:rPr>
        <w:t>.</w:t>
      </w:r>
    </w:p>
    <w:p w:rsidR="00DC1DFB" w:rsidRPr="00DC1DFB" w:rsidRDefault="00DC1DFB" w:rsidP="002A5715">
      <w:pPr>
        <w:autoSpaceDE w:val="0"/>
        <w:autoSpaceDN w:val="0"/>
        <w:adjustRightInd w:val="0"/>
        <w:jc w:val="left"/>
        <w:rPr>
          <w:rFonts w:ascii="Times New Roman" w:hAnsi="Times New Roman" w:cs="Times New Roman"/>
          <w:b/>
          <w:color w:val="000000"/>
          <w:sz w:val="24"/>
          <w:szCs w:val="24"/>
        </w:rPr>
        <w:sectPr w:rsidR="00DC1DFB" w:rsidRPr="00DC1DFB">
          <w:pgSz w:w="11906" w:h="16838"/>
          <w:pgMar w:top="1440" w:right="1800" w:bottom="1440" w:left="1800" w:header="851" w:footer="992" w:gutter="0"/>
          <w:cols w:space="425"/>
          <w:docGrid w:type="lines" w:linePitch="312"/>
        </w:sectPr>
      </w:pPr>
      <w:r>
        <w:rPr>
          <w:rFonts w:ascii="Times New Roman" w:hAnsi="Times New Roman" w:cs="Times New Roman" w:hint="eastAsia"/>
          <w:b/>
          <w:noProof/>
          <w:color w:val="000000"/>
          <w:sz w:val="24"/>
          <w:szCs w:val="24"/>
        </w:rPr>
        <w:drawing>
          <wp:inline distT="0" distB="0" distL="0" distR="0">
            <wp:extent cx="5274310" cy="4092167"/>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 ≤8-ranking.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5023" cy="4092720"/>
                    </a:xfrm>
                    <a:prstGeom prst="rect">
                      <a:avLst/>
                    </a:prstGeom>
                  </pic:spPr>
                </pic:pic>
              </a:graphicData>
            </a:graphic>
          </wp:inline>
        </w:drawing>
      </w:r>
    </w:p>
    <w:tbl>
      <w:tblPr>
        <w:tblStyle w:val="a3"/>
        <w:tblpPr w:leftFromText="180" w:rightFromText="180" w:vertAnchor="page" w:horzAnchor="margin" w:tblpXSpec="center" w:tblpY="3465"/>
        <w:tblW w:w="10915" w:type="dxa"/>
        <w:tblLook w:val="04A0" w:firstRow="1" w:lastRow="0" w:firstColumn="1" w:lastColumn="0" w:noHBand="0" w:noVBand="1"/>
      </w:tblPr>
      <w:tblGrid>
        <w:gridCol w:w="852"/>
        <w:gridCol w:w="1133"/>
        <w:gridCol w:w="992"/>
        <w:gridCol w:w="1134"/>
        <w:gridCol w:w="1134"/>
        <w:gridCol w:w="1134"/>
        <w:gridCol w:w="1134"/>
        <w:gridCol w:w="1134"/>
        <w:gridCol w:w="1134"/>
        <w:gridCol w:w="1134"/>
      </w:tblGrid>
      <w:tr w:rsidR="00DC1DFB" w:rsidRPr="006010FD" w:rsidTr="00444961">
        <w:trPr>
          <w:trHeight w:val="699"/>
        </w:trPr>
        <w:tc>
          <w:tcPr>
            <w:tcW w:w="852" w:type="dxa"/>
            <w:tcBorders>
              <w:bottom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lastRenderedPageBreak/>
              <w:t>Control</w:t>
            </w:r>
          </w:p>
        </w:tc>
        <w:tc>
          <w:tcPr>
            <w:tcW w:w="1133" w:type="dxa"/>
            <w:tcBorders>
              <w:bottom w:val="single" w:sz="4" w:space="0" w:color="auto"/>
            </w:tcBorders>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 xml:space="preserve">-0.01 </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(-0.02, -0.00)</w:t>
            </w:r>
          </w:p>
        </w:tc>
        <w:tc>
          <w:tcPr>
            <w:tcW w:w="992" w:type="dxa"/>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 xml:space="preserve">0.01 </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(0.00, 0.02)</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 xml:space="preserve">-0.01 </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(-0.03,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-0.00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 xml:space="preserve">-0.03 </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(-0.06,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-0.00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(-0.02,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(-0.02,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-0.01</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(-0.02, -0.00)</w:t>
            </w:r>
          </w:p>
        </w:tc>
      </w:tr>
      <w:tr w:rsidR="00DC1DFB" w:rsidRPr="006010FD" w:rsidTr="00444961">
        <w:trPr>
          <w:trHeight w:val="699"/>
        </w:trPr>
        <w:tc>
          <w:tcPr>
            <w:tcW w:w="852" w:type="dxa"/>
            <w:tcBorders>
              <w:top w:val="single" w:sz="4" w:space="0" w:color="auto"/>
              <w:left w:val="nil"/>
              <w:bottom w:val="nil"/>
              <w:right w:val="single" w:sz="4" w:space="0" w:color="auto"/>
            </w:tcBorders>
            <w:shd w:val="clear" w:color="auto" w:fill="auto"/>
          </w:tcPr>
          <w:p w:rsidR="00DC1DFB" w:rsidRPr="006010FD" w:rsidRDefault="00DC1DFB" w:rsidP="00444961">
            <w:pPr>
              <w:rPr>
                <w:rFonts w:ascii="Times New Roman" w:hAnsi="Times New Roman" w:cs="Times New Roman"/>
                <w:sz w:val="16"/>
                <w:szCs w:val="16"/>
              </w:rPr>
            </w:pPr>
          </w:p>
        </w:tc>
        <w:tc>
          <w:tcPr>
            <w:tcW w:w="1133" w:type="dxa"/>
            <w:tcBorders>
              <w:left w:val="single" w:sz="4" w:space="0" w:color="auto"/>
              <w:bottom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ME</w:t>
            </w:r>
          </w:p>
        </w:tc>
        <w:tc>
          <w:tcPr>
            <w:tcW w:w="992" w:type="dxa"/>
            <w:tcBorders>
              <w:bottom w:val="single" w:sz="4" w:space="0" w:color="auto"/>
            </w:tcBorders>
            <w:shd w:val="clear" w:color="auto" w:fill="FFE599" w:themeFill="accent4" w:themeFillTint="66"/>
            <w:vAlign w:val="center"/>
          </w:tcPr>
          <w:p w:rsidR="00DC1DFB" w:rsidRPr="006010FD" w:rsidRDefault="00DC1DFB" w:rsidP="00444961">
            <w:pPr>
              <w:widowControl/>
              <w:jc w:val="left"/>
              <w:rPr>
                <w:rFonts w:ascii="Times New Roman" w:hAnsi="Times New Roman" w:cs="Times New Roman"/>
                <w:b/>
                <w:sz w:val="16"/>
                <w:szCs w:val="16"/>
              </w:rPr>
            </w:pPr>
            <w:r w:rsidRPr="006010FD">
              <w:rPr>
                <w:rFonts w:ascii="Times New Roman" w:hAnsi="Times New Roman" w:cs="Times New Roman"/>
                <w:b/>
                <w:sz w:val="16"/>
                <w:szCs w:val="16"/>
              </w:rPr>
              <w:t xml:space="preserve">0.02 </w:t>
            </w:r>
          </w:p>
          <w:p w:rsidR="00DC1DFB" w:rsidRPr="006010FD" w:rsidRDefault="00DC1DFB" w:rsidP="00444961">
            <w:pPr>
              <w:widowControl/>
              <w:jc w:val="left"/>
              <w:rPr>
                <w:rFonts w:ascii="Times New Roman" w:hAnsi="Times New Roman" w:cs="Times New Roman"/>
                <w:b/>
                <w:sz w:val="16"/>
                <w:szCs w:val="16"/>
              </w:rPr>
            </w:pPr>
            <w:r w:rsidRPr="006010FD">
              <w:rPr>
                <w:rFonts w:ascii="Times New Roman" w:hAnsi="Times New Roman" w:cs="Times New Roman"/>
                <w:b/>
                <w:sz w:val="16"/>
                <w:szCs w:val="16"/>
              </w:rPr>
              <w:t>(0.01, 0.02)</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(-0.02,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(-0.00, 0.02)</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-0.02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(-0.06,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0.02)</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-0.00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0.00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-0.00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0.01)</w:t>
            </w:r>
          </w:p>
        </w:tc>
      </w:tr>
      <w:tr w:rsidR="00DC1DFB" w:rsidRPr="006010FD" w:rsidTr="00444961">
        <w:trPr>
          <w:trHeight w:val="695"/>
        </w:trPr>
        <w:tc>
          <w:tcPr>
            <w:tcW w:w="85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3" w:type="dxa"/>
            <w:tcBorders>
              <w:top w:val="single" w:sz="4" w:space="0" w:color="auto"/>
              <w:left w:val="nil"/>
              <w:bottom w:val="nil"/>
              <w:right w:val="single" w:sz="4" w:space="0" w:color="auto"/>
            </w:tcBorders>
            <w:shd w:val="clear" w:color="auto" w:fill="auto"/>
          </w:tcPr>
          <w:p w:rsidR="00DC1DFB" w:rsidRPr="006010FD" w:rsidRDefault="00DC1DFB" w:rsidP="00444961">
            <w:pPr>
              <w:rPr>
                <w:rFonts w:ascii="Times New Roman" w:hAnsi="Times New Roman" w:cs="Times New Roman"/>
                <w:sz w:val="16"/>
                <w:szCs w:val="16"/>
              </w:rPr>
            </w:pPr>
          </w:p>
        </w:tc>
        <w:tc>
          <w:tcPr>
            <w:tcW w:w="992" w:type="dxa"/>
            <w:tcBorders>
              <w:left w:val="single" w:sz="4" w:space="0" w:color="auto"/>
              <w:bottom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WE</w:t>
            </w:r>
          </w:p>
        </w:tc>
        <w:tc>
          <w:tcPr>
            <w:tcW w:w="1134" w:type="dxa"/>
            <w:tcBorders>
              <w:bottom w:val="single" w:sz="4" w:space="0" w:color="auto"/>
            </w:tcBorders>
            <w:shd w:val="clear" w:color="auto" w:fill="FFE599" w:themeFill="accent4" w:themeFillTint="66"/>
            <w:vAlign w:val="center"/>
          </w:tcPr>
          <w:p w:rsidR="00DC1DFB" w:rsidRPr="006010FD" w:rsidRDefault="00DC1DFB" w:rsidP="00444961">
            <w:pPr>
              <w:widowControl/>
              <w:jc w:val="left"/>
              <w:rPr>
                <w:rFonts w:ascii="Times New Roman" w:hAnsi="Times New Roman" w:cs="Times New Roman"/>
                <w:b/>
                <w:sz w:val="16"/>
                <w:szCs w:val="16"/>
              </w:rPr>
            </w:pPr>
            <w:r w:rsidRPr="006010FD">
              <w:rPr>
                <w:rFonts w:ascii="Times New Roman" w:hAnsi="Times New Roman" w:cs="Times New Roman"/>
                <w:b/>
                <w:sz w:val="16"/>
                <w:szCs w:val="16"/>
              </w:rPr>
              <w:t xml:space="preserve">-0.02 </w:t>
            </w:r>
          </w:p>
          <w:p w:rsidR="00DC1DFB" w:rsidRPr="006010FD" w:rsidRDefault="00DC1DFB" w:rsidP="00444961">
            <w:pPr>
              <w:widowControl/>
              <w:jc w:val="left"/>
              <w:rPr>
                <w:rFonts w:ascii="Times New Roman" w:hAnsi="Times New Roman" w:cs="Times New Roman"/>
                <w:b/>
                <w:sz w:val="16"/>
                <w:szCs w:val="16"/>
              </w:rPr>
            </w:pPr>
            <w:r w:rsidRPr="006010FD">
              <w:rPr>
                <w:rFonts w:ascii="Times New Roman" w:hAnsi="Times New Roman" w:cs="Times New Roman"/>
                <w:b/>
                <w:sz w:val="16"/>
                <w:szCs w:val="16"/>
              </w:rPr>
              <w:t>(-0.04,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 xml:space="preserve">-0.01 </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(-0.02,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 xml:space="preserve">-0.04 </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(-0.07,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(-0.02,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 xml:space="preserve">-0.02 </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(-0.03,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 xml:space="preserve">-0.02 </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(-0.03,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 xml:space="preserve">-0.02 </w:t>
            </w:r>
          </w:p>
          <w:p w:rsidR="00DC1DFB" w:rsidRPr="006010FD" w:rsidRDefault="00DC1DFB" w:rsidP="00444961">
            <w:pPr>
              <w:rPr>
                <w:rFonts w:ascii="Times New Roman" w:hAnsi="Times New Roman" w:cs="Times New Roman"/>
                <w:b/>
                <w:sz w:val="16"/>
                <w:szCs w:val="16"/>
              </w:rPr>
            </w:pPr>
            <w:r w:rsidRPr="006010FD">
              <w:rPr>
                <w:rFonts w:ascii="Times New Roman" w:hAnsi="Times New Roman" w:cs="Times New Roman"/>
                <w:b/>
                <w:sz w:val="16"/>
                <w:szCs w:val="16"/>
              </w:rPr>
              <w:t>(-0.03, -0.01)</w:t>
            </w:r>
          </w:p>
        </w:tc>
      </w:tr>
      <w:tr w:rsidR="00DC1DFB" w:rsidRPr="006010FD" w:rsidTr="00444961">
        <w:trPr>
          <w:trHeight w:val="704"/>
        </w:trPr>
        <w:tc>
          <w:tcPr>
            <w:tcW w:w="85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3"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992" w:type="dxa"/>
            <w:tcBorders>
              <w:top w:val="single" w:sz="4" w:space="0" w:color="auto"/>
              <w:left w:val="nil"/>
              <w:bottom w:val="nil"/>
              <w:right w:val="single" w:sz="4" w:space="0" w:color="auto"/>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FE</w:t>
            </w:r>
          </w:p>
        </w:tc>
        <w:tc>
          <w:tcPr>
            <w:tcW w:w="1134" w:type="dxa"/>
            <w:tcBorders>
              <w:bottom w:val="single" w:sz="4" w:space="0" w:color="auto"/>
            </w:tcBorders>
            <w:shd w:val="clear" w:color="auto" w:fill="FFE599" w:themeFill="accent4" w:themeFillTint="66"/>
            <w:vAlign w:val="center"/>
          </w:tcPr>
          <w:p w:rsidR="00DC1DFB" w:rsidRPr="006010FD" w:rsidRDefault="00DC1DFB" w:rsidP="00444961">
            <w:pPr>
              <w:widowControl/>
              <w:jc w:val="left"/>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widowControl/>
              <w:jc w:val="left"/>
              <w:rPr>
                <w:rFonts w:ascii="Times New Roman" w:hAnsi="Times New Roman" w:cs="Times New Roman"/>
                <w:sz w:val="16"/>
                <w:szCs w:val="16"/>
              </w:rPr>
            </w:pPr>
            <w:r w:rsidRPr="006010FD">
              <w:rPr>
                <w:rFonts w:ascii="Times New Roman" w:hAnsi="Times New Roman" w:cs="Times New Roman"/>
                <w:sz w:val="16"/>
                <w:szCs w:val="16"/>
              </w:rPr>
              <w:t>(-0.00, 0.03)</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-0.02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(-0.05,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0.02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0.03)</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0.02)</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0.02)</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0.00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0.02)</w:t>
            </w:r>
          </w:p>
        </w:tc>
      </w:tr>
      <w:tr w:rsidR="00DC1DFB" w:rsidRPr="006010FD" w:rsidTr="00444961">
        <w:trPr>
          <w:trHeight w:val="700"/>
        </w:trPr>
        <w:tc>
          <w:tcPr>
            <w:tcW w:w="85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3"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WBV</w:t>
            </w:r>
          </w:p>
        </w:tc>
        <w:tc>
          <w:tcPr>
            <w:tcW w:w="1134" w:type="dxa"/>
            <w:tcBorders>
              <w:bottom w:val="single" w:sz="4" w:space="0" w:color="auto"/>
            </w:tcBorders>
            <w:shd w:val="clear" w:color="auto" w:fill="FFE599" w:themeFill="accent4" w:themeFillTint="66"/>
            <w:vAlign w:val="center"/>
          </w:tcPr>
          <w:p w:rsidR="00DC1DFB" w:rsidRPr="006010FD" w:rsidRDefault="00DC1DFB" w:rsidP="00444961">
            <w:pPr>
              <w:widowControl/>
              <w:jc w:val="left"/>
              <w:rPr>
                <w:rFonts w:ascii="Times New Roman" w:hAnsi="Times New Roman" w:cs="Times New Roman"/>
                <w:b/>
                <w:sz w:val="16"/>
                <w:szCs w:val="16"/>
              </w:rPr>
            </w:pPr>
            <w:r w:rsidRPr="006010FD">
              <w:rPr>
                <w:rFonts w:ascii="Times New Roman" w:hAnsi="Times New Roman" w:cs="Times New Roman"/>
                <w:b/>
                <w:sz w:val="16"/>
                <w:szCs w:val="16"/>
              </w:rPr>
              <w:t xml:space="preserve">-0.03 </w:t>
            </w:r>
          </w:p>
          <w:p w:rsidR="00DC1DFB" w:rsidRPr="006010FD" w:rsidRDefault="00DC1DFB" w:rsidP="00444961">
            <w:pPr>
              <w:widowControl/>
              <w:jc w:val="left"/>
              <w:rPr>
                <w:rFonts w:ascii="Times New Roman" w:hAnsi="Times New Roman" w:cs="Times New Roman"/>
                <w:b/>
                <w:sz w:val="16"/>
                <w:szCs w:val="16"/>
              </w:rPr>
            </w:pPr>
            <w:r w:rsidRPr="006010FD">
              <w:rPr>
                <w:rFonts w:ascii="Times New Roman" w:hAnsi="Times New Roman" w:cs="Times New Roman"/>
                <w:b/>
                <w:sz w:val="16"/>
                <w:szCs w:val="16"/>
              </w:rPr>
              <w:t>(-0.07,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0.00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(-0.02, 0.00)</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(-0.02,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(-0.02, 0.00)</w:t>
            </w:r>
          </w:p>
        </w:tc>
      </w:tr>
      <w:tr w:rsidR="00DC1DFB" w:rsidRPr="006010FD" w:rsidTr="00444961">
        <w:trPr>
          <w:trHeight w:val="696"/>
        </w:trPr>
        <w:tc>
          <w:tcPr>
            <w:tcW w:w="85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3"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HIE</w:t>
            </w:r>
          </w:p>
        </w:tc>
        <w:tc>
          <w:tcPr>
            <w:tcW w:w="1134" w:type="dxa"/>
            <w:tcBorders>
              <w:bottom w:val="single" w:sz="4" w:space="0" w:color="auto"/>
            </w:tcBorders>
            <w:shd w:val="clear" w:color="auto" w:fill="FFE599" w:themeFill="accent4" w:themeFillTint="66"/>
            <w:vAlign w:val="center"/>
          </w:tcPr>
          <w:p w:rsidR="00DC1DFB" w:rsidRPr="006010FD" w:rsidRDefault="00DC1DFB" w:rsidP="00444961">
            <w:pPr>
              <w:widowControl/>
              <w:jc w:val="left"/>
              <w:rPr>
                <w:rFonts w:ascii="Times New Roman" w:hAnsi="Times New Roman" w:cs="Times New Roman"/>
                <w:b/>
                <w:sz w:val="16"/>
                <w:szCs w:val="16"/>
              </w:rPr>
            </w:pPr>
            <w:r w:rsidRPr="006010FD">
              <w:rPr>
                <w:rFonts w:ascii="Times New Roman" w:hAnsi="Times New Roman" w:cs="Times New Roman"/>
                <w:b/>
                <w:sz w:val="16"/>
                <w:szCs w:val="16"/>
              </w:rPr>
              <w:t xml:space="preserve">0.03 </w:t>
            </w:r>
          </w:p>
          <w:p w:rsidR="00DC1DFB" w:rsidRPr="006010FD" w:rsidRDefault="00DC1DFB" w:rsidP="00444961">
            <w:pPr>
              <w:widowControl/>
              <w:jc w:val="left"/>
              <w:rPr>
                <w:rFonts w:ascii="Times New Roman" w:hAnsi="Times New Roman" w:cs="Times New Roman"/>
                <w:b/>
                <w:sz w:val="16"/>
                <w:szCs w:val="16"/>
              </w:rPr>
            </w:pPr>
            <w:r w:rsidRPr="006010FD">
              <w:rPr>
                <w:rFonts w:ascii="Times New Roman" w:hAnsi="Times New Roman" w:cs="Times New Roman"/>
                <w:b/>
                <w:sz w:val="16"/>
                <w:szCs w:val="16"/>
              </w:rPr>
              <w:t>(0.00, 0.06)</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0.02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(-0.00, 0.06)</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0.03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(-0.00, 0.06)</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0.02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(-0.01, 0.05)</w:t>
            </w:r>
          </w:p>
        </w:tc>
      </w:tr>
      <w:tr w:rsidR="00DC1DFB" w:rsidRPr="006010FD" w:rsidTr="00444961">
        <w:trPr>
          <w:trHeight w:val="706"/>
        </w:trPr>
        <w:tc>
          <w:tcPr>
            <w:tcW w:w="85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3"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MIE</w:t>
            </w:r>
          </w:p>
        </w:tc>
        <w:tc>
          <w:tcPr>
            <w:tcW w:w="1134" w:type="dxa"/>
            <w:tcBorders>
              <w:bottom w:val="single" w:sz="4" w:space="0" w:color="auto"/>
            </w:tcBorders>
            <w:shd w:val="clear" w:color="auto" w:fill="FFE599" w:themeFill="accent4" w:themeFillTint="66"/>
            <w:vAlign w:val="center"/>
          </w:tcPr>
          <w:p w:rsidR="00DC1DFB" w:rsidRPr="006010FD" w:rsidRDefault="00DC1DFB" w:rsidP="00444961">
            <w:pPr>
              <w:widowControl/>
              <w:jc w:val="left"/>
              <w:rPr>
                <w:rFonts w:ascii="Times New Roman" w:hAnsi="Times New Roman" w:cs="Times New Roman"/>
                <w:sz w:val="16"/>
                <w:szCs w:val="16"/>
              </w:rPr>
            </w:pPr>
            <w:r w:rsidRPr="006010FD">
              <w:rPr>
                <w:rFonts w:ascii="Times New Roman" w:hAnsi="Times New Roman" w:cs="Times New Roman"/>
                <w:sz w:val="16"/>
                <w:szCs w:val="16"/>
              </w:rPr>
              <w:t>-0.01</w:t>
            </w:r>
          </w:p>
          <w:p w:rsidR="00DC1DFB" w:rsidRPr="006010FD" w:rsidRDefault="00DC1DFB" w:rsidP="00444961">
            <w:pPr>
              <w:widowControl/>
              <w:jc w:val="left"/>
              <w:rPr>
                <w:rFonts w:ascii="Times New Roman" w:hAnsi="Times New Roman" w:cs="Times New Roman"/>
                <w:sz w:val="16"/>
                <w:szCs w:val="16"/>
              </w:rPr>
            </w:pPr>
            <w:r w:rsidRPr="006010FD">
              <w:rPr>
                <w:rFonts w:ascii="Times New Roman" w:hAnsi="Times New Roman" w:cs="Times New Roman"/>
                <w:sz w:val="16"/>
                <w:szCs w:val="16"/>
              </w:rPr>
              <w:t>(-0.02,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(-0.02,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(-0.03, 0.00)</w:t>
            </w:r>
          </w:p>
        </w:tc>
      </w:tr>
      <w:tr w:rsidR="00DC1DFB" w:rsidRPr="006010FD" w:rsidTr="00444961">
        <w:trPr>
          <w:trHeight w:val="687"/>
        </w:trPr>
        <w:tc>
          <w:tcPr>
            <w:tcW w:w="85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3"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LIE</w:t>
            </w:r>
          </w:p>
        </w:tc>
        <w:tc>
          <w:tcPr>
            <w:tcW w:w="1134" w:type="dxa"/>
            <w:tcBorders>
              <w:bottom w:val="single" w:sz="4" w:space="0" w:color="auto"/>
            </w:tcBorders>
            <w:shd w:val="clear" w:color="auto" w:fill="FFE599" w:themeFill="accent4" w:themeFillTint="66"/>
            <w:vAlign w:val="center"/>
          </w:tcPr>
          <w:p w:rsidR="00DC1DFB" w:rsidRPr="006010FD" w:rsidRDefault="00DC1DFB" w:rsidP="00444961">
            <w:pPr>
              <w:widowControl/>
              <w:jc w:val="left"/>
              <w:rPr>
                <w:rFonts w:ascii="Times New Roman" w:hAnsi="Times New Roman" w:cs="Times New Roman"/>
                <w:sz w:val="16"/>
                <w:szCs w:val="16"/>
              </w:rPr>
            </w:pPr>
            <w:r w:rsidRPr="006010FD">
              <w:rPr>
                <w:rFonts w:ascii="Times New Roman" w:hAnsi="Times New Roman" w:cs="Times New Roman"/>
                <w:sz w:val="16"/>
                <w:szCs w:val="16"/>
              </w:rPr>
              <w:t xml:space="preserve">0.00 </w:t>
            </w:r>
          </w:p>
          <w:p w:rsidR="00DC1DFB" w:rsidRPr="006010FD" w:rsidRDefault="00DC1DFB" w:rsidP="00444961">
            <w:pPr>
              <w:widowControl/>
              <w:jc w:val="left"/>
              <w:rPr>
                <w:rFonts w:ascii="Times New Roman" w:hAnsi="Times New Roman" w:cs="Times New Roman"/>
                <w:sz w:val="16"/>
                <w:szCs w:val="16"/>
              </w:rPr>
            </w:pPr>
            <w:r w:rsidRPr="006010FD">
              <w:rPr>
                <w:rFonts w:ascii="Times New Roman" w:hAnsi="Times New Roman" w:cs="Times New Roman"/>
                <w:sz w:val="16"/>
                <w:szCs w:val="16"/>
              </w:rPr>
              <w:t>(-0.01, 0.01)</w:t>
            </w:r>
          </w:p>
        </w:tc>
        <w:tc>
          <w:tcPr>
            <w:tcW w:w="1134" w:type="dxa"/>
            <w:shd w:val="clear" w:color="auto" w:fill="FFE599" w:themeFill="accent4" w:themeFillTint="66"/>
            <w:vAlign w:val="center"/>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 xml:space="preserve">-0.00 </w:t>
            </w:r>
          </w:p>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(-0.02, 0.01)</w:t>
            </w:r>
          </w:p>
        </w:tc>
      </w:tr>
      <w:tr w:rsidR="00DC1DFB" w:rsidRPr="006010FD" w:rsidTr="00444961">
        <w:trPr>
          <w:trHeight w:val="698"/>
        </w:trPr>
        <w:tc>
          <w:tcPr>
            <w:tcW w:w="85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3"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MBE</w:t>
            </w:r>
          </w:p>
        </w:tc>
        <w:tc>
          <w:tcPr>
            <w:tcW w:w="1134" w:type="dxa"/>
            <w:tcBorders>
              <w:bottom w:val="single" w:sz="4" w:space="0" w:color="auto"/>
            </w:tcBorders>
            <w:shd w:val="clear" w:color="auto" w:fill="FFE599" w:themeFill="accent4" w:themeFillTint="66"/>
          </w:tcPr>
          <w:p w:rsidR="00DC1DFB" w:rsidRPr="006010FD" w:rsidRDefault="00DC1DFB" w:rsidP="00444961">
            <w:pPr>
              <w:widowControl/>
              <w:rPr>
                <w:rFonts w:ascii="Times New Roman" w:hAnsi="Times New Roman" w:cs="Times New Roman"/>
                <w:sz w:val="16"/>
                <w:szCs w:val="16"/>
              </w:rPr>
            </w:pPr>
            <w:r w:rsidRPr="006010FD">
              <w:rPr>
                <w:rFonts w:ascii="Times New Roman" w:hAnsi="Times New Roman" w:cs="Times New Roman"/>
                <w:sz w:val="16"/>
                <w:szCs w:val="16"/>
              </w:rPr>
              <w:t xml:space="preserve">-0.01 </w:t>
            </w:r>
          </w:p>
          <w:p w:rsidR="00DC1DFB" w:rsidRPr="006010FD" w:rsidRDefault="00DC1DFB" w:rsidP="00444961">
            <w:pPr>
              <w:widowControl/>
              <w:rPr>
                <w:rFonts w:ascii="Times New Roman" w:hAnsi="Times New Roman" w:cs="Times New Roman"/>
                <w:sz w:val="16"/>
                <w:szCs w:val="16"/>
              </w:rPr>
            </w:pPr>
            <w:r w:rsidRPr="006010FD">
              <w:rPr>
                <w:rFonts w:ascii="Times New Roman" w:hAnsi="Times New Roman" w:cs="Times New Roman"/>
                <w:sz w:val="16"/>
                <w:szCs w:val="16"/>
              </w:rPr>
              <w:t>(-0.02, 0.01)</w:t>
            </w:r>
          </w:p>
        </w:tc>
      </w:tr>
      <w:tr w:rsidR="00DC1DFB" w:rsidRPr="006010FD" w:rsidTr="00444961">
        <w:trPr>
          <w:trHeight w:val="636"/>
        </w:trPr>
        <w:tc>
          <w:tcPr>
            <w:tcW w:w="85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3"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992"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DC1DFB" w:rsidRPr="006010FD" w:rsidRDefault="00DC1DFB" w:rsidP="00444961">
            <w:pPr>
              <w:rPr>
                <w:rFonts w:ascii="Times New Roman" w:hAnsi="Times New Roman" w:cs="Times New Roman"/>
                <w:sz w:val="16"/>
                <w:szCs w:val="16"/>
              </w:rPr>
            </w:pPr>
          </w:p>
        </w:tc>
        <w:tc>
          <w:tcPr>
            <w:tcW w:w="1134" w:type="dxa"/>
            <w:tcBorders>
              <w:left w:val="single" w:sz="4" w:space="0" w:color="auto"/>
            </w:tcBorders>
            <w:shd w:val="clear" w:color="auto" w:fill="BDD6EE" w:themeFill="accent1" w:themeFillTint="66"/>
          </w:tcPr>
          <w:p w:rsidR="00DC1DFB" w:rsidRPr="006010FD" w:rsidRDefault="00DC1DFB" w:rsidP="00444961">
            <w:pPr>
              <w:rPr>
                <w:rFonts w:ascii="Times New Roman" w:hAnsi="Times New Roman" w:cs="Times New Roman"/>
                <w:sz w:val="16"/>
                <w:szCs w:val="16"/>
              </w:rPr>
            </w:pPr>
            <w:r w:rsidRPr="006010FD">
              <w:rPr>
                <w:rFonts w:ascii="Times New Roman" w:hAnsi="Times New Roman" w:cs="Times New Roman"/>
                <w:sz w:val="16"/>
                <w:szCs w:val="16"/>
              </w:rPr>
              <w:t>RT</w:t>
            </w:r>
          </w:p>
        </w:tc>
      </w:tr>
    </w:tbl>
    <w:p w:rsidR="00DC1DFB" w:rsidRPr="00444961" w:rsidRDefault="00DC1DFB" w:rsidP="00172ABA">
      <w:pPr>
        <w:pStyle w:val="2"/>
        <w:rPr>
          <w:rFonts w:ascii="Times New Roman" w:hAnsi="Times New Roman" w:cs="Times New Roman"/>
          <w:sz w:val="24"/>
          <w:szCs w:val="24"/>
        </w:rPr>
      </w:pPr>
      <w:bookmarkStart w:id="70" w:name="_Toc74521946"/>
      <w:r w:rsidRPr="00444961">
        <w:rPr>
          <w:rFonts w:ascii="Times New Roman" w:hAnsi="Times New Roman" w:cs="Times New Roman" w:hint="eastAsia"/>
          <w:sz w:val="24"/>
          <w:szCs w:val="24"/>
        </w:rPr>
        <w:t>A</w:t>
      </w:r>
      <w:r w:rsidRPr="00444961">
        <w:rPr>
          <w:rFonts w:ascii="Times New Roman" w:hAnsi="Times New Roman" w:cs="Times New Roman"/>
          <w:sz w:val="24"/>
          <w:szCs w:val="24"/>
        </w:rPr>
        <w:t>ppendix 1</w:t>
      </w:r>
      <w:r w:rsidR="002E1C7F" w:rsidRPr="00444961">
        <w:rPr>
          <w:rFonts w:ascii="Times New Roman" w:hAnsi="Times New Roman" w:cs="Times New Roman"/>
          <w:sz w:val="24"/>
          <w:szCs w:val="24"/>
        </w:rPr>
        <w:t>8</w:t>
      </w:r>
      <w:r w:rsidRPr="00444961">
        <w:rPr>
          <w:rFonts w:ascii="Times New Roman" w:hAnsi="Times New Roman" w:cs="Times New Roman"/>
          <w:sz w:val="24"/>
          <w:szCs w:val="24"/>
        </w:rPr>
        <w:t xml:space="preserve">.1: Relative effect estimates for the contrasts between the different interventions and control arms on BMD at LS </w:t>
      </w:r>
      <w:r w:rsidRPr="00444961">
        <w:rPr>
          <w:rFonts w:ascii="Times New Roman" w:hAnsi="Times New Roman" w:cs="Times New Roman" w:hint="eastAsia"/>
          <w:sz w:val="24"/>
          <w:szCs w:val="24"/>
        </w:rPr>
        <w:t>when</w:t>
      </w:r>
      <w:r w:rsidRPr="00444961">
        <w:rPr>
          <w:rFonts w:ascii="Times New Roman" w:hAnsi="Times New Roman" w:cs="Times New Roman"/>
          <w:sz w:val="24"/>
          <w:szCs w:val="24"/>
        </w:rPr>
        <w:t xml:space="preserve"> exercise intervention with</w:t>
      </w:r>
      <w:r w:rsidRPr="008D2D76">
        <w:t xml:space="preserve"> </w:t>
      </w:r>
      <w:r w:rsidRPr="00444961">
        <w:rPr>
          <w:rFonts w:ascii="Times New Roman" w:hAnsi="Times New Roman" w:cs="Times New Roman"/>
          <w:sz w:val="24"/>
          <w:szCs w:val="24"/>
        </w:rPr>
        <w:t>duration between 9 to 18 months</w:t>
      </w:r>
      <w:bookmarkEnd w:id="70"/>
    </w:p>
    <w:p w:rsidR="00DC1DFB" w:rsidRDefault="00DC1DFB">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C1DFB" w:rsidRPr="00444961" w:rsidRDefault="00DC1DFB" w:rsidP="00172ABA">
      <w:pPr>
        <w:pStyle w:val="2"/>
        <w:rPr>
          <w:rFonts w:ascii="Times New Roman" w:hAnsi="Times New Roman" w:cs="Times New Roman"/>
          <w:sz w:val="24"/>
          <w:szCs w:val="24"/>
        </w:rPr>
      </w:pPr>
      <w:bookmarkStart w:id="71" w:name="_Toc74521947"/>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ppendix 1</w:t>
      </w:r>
      <w:r w:rsidR="002E1C7F" w:rsidRPr="00444961">
        <w:rPr>
          <w:rFonts w:ascii="Times New Roman" w:hAnsi="Times New Roman" w:cs="Times New Roman"/>
          <w:sz w:val="24"/>
          <w:szCs w:val="24"/>
        </w:rPr>
        <w:t>8</w:t>
      </w:r>
      <w:r w:rsidRPr="00444961">
        <w:rPr>
          <w:rFonts w:ascii="Times New Roman" w:hAnsi="Times New Roman" w:cs="Times New Roman"/>
          <w:sz w:val="24"/>
          <w:szCs w:val="24"/>
        </w:rPr>
        <w:t xml:space="preserve">.2: Relative effect estimates for the contrasts between the different interventions and control arms on BMD at FN </w:t>
      </w:r>
      <w:r w:rsidRPr="00444961">
        <w:rPr>
          <w:rFonts w:ascii="Times New Roman" w:hAnsi="Times New Roman" w:cs="Times New Roman" w:hint="eastAsia"/>
          <w:sz w:val="24"/>
          <w:szCs w:val="24"/>
        </w:rPr>
        <w:t>when</w:t>
      </w:r>
      <w:r w:rsidRPr="00444961">
        <w:rPr>
          <w:rFonts w:ascii="Times New Roman" w:hAnsi="Times New Roman" w:cs="Times New Roman"/>
          <w:sz w:val="24"/>
          <w:szCs w:val="24"/>
        </w:rPr>
        <w:t xml:space="preserve"> exercise intervention with</w:t>
      </w:r>
      <w:r w:rsidRPr="008D2D76">
        <w:t xml:space="preserve"> </w:t>
      </w:r>
      <w:r w:rsidRPr="00444961">
        <w:rPr>
          <w:rFonts w:ascii="Times New Roman" w:hAnsi="Times New Roman" w:cs="Times New Roman"/>
          <w:sz w:val="24"/>
          <w:szCs w:val="24"/>
        </w:rPr>
        <w:t>duration between 9 to 18 months</w:t>
      </w:r>
      <w:bookmarkEnd w:id="71"/>
    </w:p>
    <w:tbl>
      <w:tblPr>
        <w:tblStyle w:val="a3"/>
        <w:tblpPr w:leftFromText="180" w:rightFromText="180" w:vertAnchor="page" w:horzAnchor="margin" w:tblpXSpec="center" w:tblpY="3994"/>
        <w:tblW w:w="11482" w:type="dxa"/>
        <w:tblLook w:val="04A0" w:firstRow="1" w:lastRow="0" w:firstColumn="1" w:lastColumn="0" w:noHBand="0" w:noVBand="1"/>
      </w:tblPr>
      <w:tblGrid>
        <w:gridCol w:w="1276"/>
        <w:gridCol w:w="1134"/>
        <w:gridCol w:w="1134"/>
        <w:gridCol w:w="1134"/>
        <w:gridCol w:w="1134"/>
        <w:gridCol w:w="1134"/>
        <w:gridCol w:w="1134"/>
        <w:gridCol w:w="1134"/>
        <w:gridCol w:w="1134"/>
        <w:gridCol w:w="1134"/>
      </w:tblGrid>
      <w:tr w:rsidR="005E787A" w:rsidRPr="00AE6D54" w:rsidTr="00444961">
        <w:trPr>
          <w:trHeight w:val="699"/>
        </w:trPr>
        <w:tc>
          <w:tcPr>
            <w:tcW w:w="1276" w:type="dxa"/>
            <w:tcBorders>
              <w:bottom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Control</w:t>
            </w:r>
          </w:p>
        </w:tc>
        <w:tc>
          <w:tcPr>
            <w:tcW w:w="1134" w:type="dxa"/>
            <w:tcBorders>
              <w:bottom w:val="single" w:sz="4" w:space="0" w:color="auto"/>
            </w:tcBorders>
            <w:shd w:val="clear" w:color="auto" w:fill="FFE599" w:themeFill="accent4" w:themeFillTint="66"/>
            <w:vAlign w:val="center"/>
          </w:tcPr>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(-0.01, 0.02)</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(-0.03, 0.02)</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(-0.04, 0.04)</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0.02)</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b/>
                <w:sz w:val="16"/>
                <w:szCs w:val="16"/>
              </w:rPr>
            </w:pPr>
            <w:r w:rsidRPr="00AE6D54">
              <w:rPr>
                <w:rFonts w:ascii="Times New Roman" w:hAnsi="Times New Roman" w:cs="Times New Roman"/>
                <w:b/>
                <w:sz w:val="16"/>
                <w:szCs w:val="16"/>
              </w:rPr>
              <w:t xml:space="preserve">-0.02 </w:t>
            </w:r>
          </w:p>
          <w:p w:rsidR="005E787A" w:rsidRPr="00AE6D54" w:rsidRDefault="005E787A" w:rsidP="00444961">
            <w:pPr>
              <w:rPr>
                <w:rFonts w:ascii="Times New Roman" w:hAnsi="Times New Roman" w:cs="Times New Roman"/>
                <w:b/>
                <w:sz w:val="16"/>
                <w:szCs w:val="16"/>
              </w:rPr>
            </w:pPr>
            <w:r w:rsidRPr="00AE6D54">
              <w:rPr>
                <w:rFonts w:ascii="Times New Roman" w:hAnsi="Times New Roman" w:cs="Times New Roman"/>
                <w:b/>
                <w:sz w:val="16"/>
                <w:szCs w:val="16"/>
              </w:rPr>
              <w:t>(-0.03, -0.00)</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0.00)</w:t>
            </w:r>
          </w:p>
        </w:tc>
      </w:tr>
      <w:tr w:rsidR="005E787A" w:rsidRPr="00AE6D54" w:rsidTr="00444961">
        <w:trPr>
          <w:trHeight w:val="827"/>
        </w:trPr>
        <w:tc>
          <w:tcPr>
            <w:tcW w:w="1276" w:type="dxa"/>
            <w:tcBorders>
              <w:top w:val="single" w:sz="4" w:space="0" w:color="auto"/>
              <w:left w:val="nil"/>
              <w:bottom w:val="nil"/>
              <w:right w:val="single" w:sz="4" w:space="0" w:color="auto"/>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ME</w:t>
            </w:r>
          </w:p>
        </w:tc>
        <w:tc>
          <w:tcPr>
            <w:tcW w:w="1134" w:type="dxa"/>
            <w:tcBorders>
              <w:bottom w:val="single" w:sz="4" w:space="0" w:color="auto"/>
            </w:tcBorders>
            <w:shd w:val="clear" w:color="auto" w:fill="FFE599" w:themeFill="accent4" w:themeFillTint="66"/>
            <w:vAlign w:val="center"/>
          </w:tcPr>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(-0.01, 0.03)</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0.03)</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(-0.01, 0.03)</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(-0.04, 0.05)</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(-0.01, 0.03)</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0.03)</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(-0.03, 0.01)</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0.02)</w:t>
            </w:r>
          </w:p>
        </w:tc>
      </w:tr>
      <w:tr w:rsidR="005E787A" w:rsidRPr="00AE6D54" w:rsidTr="00444961">
        <w:trPr>
          <w:trHeight w:val="710"/>
        </w:trPr>
        <w:tc>
          <w:tcPr>
            <w:tcW w:w="1276"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WE</w:t>
            </w:r>
          </w:p>
        </w:tc>
        <w:tc>
          <w:tcPr>
            <w:tcW w:w="1134" w:type="dxa"/>
            <w:tcBorders>
              <w:bottom w:val="single" w:sz="4" w:space="0" w:color="auto"/>
            </w:tcBorders>
            <w:shd w:val="clear" w:color="auto" w:fill="FFE599" w:themeFill="accent4" w:themeFillTint="66"/>
            <w:vAlign w:val="center"/>
          </w:tcPr>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(-0.04, 0.02)</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(-0.05, 0.04)</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0.02)</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(-0.03, 0.02)</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-0.02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(-0.05, 0.00)</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(-0.04, 0.01)</w:t>
            </w:r>
          </w:p>
        </w:tc>
      </w:tr>
      <w:tr w:rsidR="005E787A" w:rsidRPr="00AE6D54" w:rsidTr="00444961">
        <w:trPr>
          <w:trHeight w:val="691"/>
        </w:trPr>
        <w:tc>
          <w:tcPr>
            <w:tcW w:w="1276"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FE</w:t>
            </w:r>
          </w:p>
        </w:tc>
        <w:tc>
          <w:tcPr>
            <w:tcW w:w="1134" w:type="dxa"/>
            <w:tcBorders>
              <w:bottom w:val="single" w:sz="4" w:space="0" w:color="auto"/>
            </w:tcBorders>
            <w:shd w:val="clear" w:color="auto" w:fill="FFE599" w:themeFill="accent4" w:themeFillTint="66"/>
            <w:vAlign w:val="center"/>
          </w:tcPr>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(-0.03, 0.03)</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(-0.04, 0.05)</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0.04)</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(-0.03, 0.03)</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(-0.04, 0.02)</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(-0.03, 0.02)</w:t>
            </w:r>
          </w:p>
        </w:tc>
      </w:tr>
      <w:tr w:rsidR="005E787A" w:rsidRPr="00AE6D54" w:rsidTr="00444961">
        <w:trPr>
          <w:trHeight w:val="702"/>
        </w:trPr>
        <w:tc>
          <w:tcPr>
            <w:tcW w:w="1276"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WBV</w:t>
            </w:r>
          </w:p>
        </w:tc>
        <w:tc>
          <w:tcPr>
            <w:tcW w:w="1134" w:type="dxa"/>
            <w:tcBorders>
              <w:bottom w:val="single" w:sz="4" w:space="0" w:color="auto"/>
            </w:tcBorders>
            <w:shd w:val="clear" w:color="auto" w:fill="FFE599" w:themeFill="accent4" w:themeFillTint="66"/>
            <w:vAlign w:val="center"/>
          </w:tcPr>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(-0.04, 0.04)</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(-0.02, 0.03)</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(-0.03, 0.02)</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-0.02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(-0.04, 0.01)</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(-0.03, 0.01)</w:t>
            </w:r>
          </w:p>
        </w:tc>
      </w:tr>
      <w:tr w:rsidR="005E787A" w:rsidRPr="00AE6D54" w:rsidTr="00444961">
        <w:trPr>
          <w:trHeight w:val="712"/>
        </w:trPr>
        <w:tc>
          <w:tcPr>
            <w:tcW w:w="1276"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HIE</w:t>
            </w:r>
          </w:p>
        </w:tc>
        <w:tc>
          <w:tcPr>
            <w:tcW w:w="1134" w:type="dxa"/>
            <w:tcBorders>
              <w:bottom w:val="single" w:sz="4" w:space="0" w:color="auto"/>
            </w:tcBorders>
            <w:shd w:val="clear" w:color="auto" w:fill="FFE599" w:themeFill="accent4" w:themeFillTint="66"/>
            <w:vAlign w:val="center"/>
          </w:tcPr>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(-0.04, 0.05)</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(-0.04, 0.04)</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-0.02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(-0.06, 0.03)</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(-0.05, 0.03)</w:t>
            </w:r>
          </w:p>
        </w:tc>
      </w:tr>
      <w:tr w:rsidR="005E787A" w:rsidRPr="00AE6D54" w:rsidTr="00444961">
        <w:trPr>
          <w:trHeight w:val="693"/>
        </w:trPr>
        <w:tc>
          <w:tcPr>
            <w:tcW w:w="1276"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MIE</w:t>
            </w:r>
          </w:p>
        </w:tc>
        <w:tc>
          <w:tcPr>
            <w:tcW w:w="1134" w:type="dxa"/>
            <w:tcBorders>
              <w:bottom w:val="single" w:sz="4" w:space="0" w:color="auto"/>
            </w:tcBorders>
            <w:shd w:val="clear" w:color="auto" w:fill="FFE599" w:themeFill="accent4" w:themeFillTint="66"/>
            <w:vAlign w:val="center"/>
          </w:tcPr>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 xml:space="preserve">-0.00 </w:t>
            </w:r>
          </w:p>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(-0.03, 0.02)</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-0.02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(-0.04, 0.00)</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(-0.03, 0.01)</w:t>
            </w:r>
          </w:p>
        </w:tc>
      </w:tr>
      <w:tr w:rsidR="005E787A" w:rsidRPr="00AE6D54" w:rsidTr="00444961">
        <w:trPr>
          <w:trHeight w:val="703"/>
        </w:trPr>
        <w:tc>
          <w:tcPr>
            <w:tcW w:w="1276"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LIE</w:t>
            </w:r>
          </w:p>
        </w:tc>
        <w:tc>
          <w:tcPr>
            <w:tcW w:w="1134" w:type="dxa"/>
            <w:tcBorders>
              <w:bottom w:val="single" w:sz="4" w:space="0" w:color="auto"/>
            </w:tcBorders>
            <w:shd w:val="clear" w:color="auto" w:fill="FFE599" w:themeFill="accent4" w:themeFillTint="66"/>
            <w:vAlign w:val="center"/>
          </w:tcPr>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 xml:space="preserve">-0.02 </w:t>
            </w:r>
          </w:p>
          <w:p w:rsidR="005E787A" w:rsidRPr="00AE6D54" w:rsidRDefault="005E787A" w:rsidP="00444961">
            <w:pPr>
              <w:widowControl/>
              <w:jc w:val="left"/>
              <w:rPr>
                <w:rFonts w:ascii="Times New Roman" w:hAnsi="Times New Roman" w:cs="Times New Roman"/>
                <w:sz w:val="16"/>
                <w:szCs w:val="16"/>
              </w:rPr>
            </w:pPr>
            <w:r w:rsidRPr="00AE6D54">
              <w:rPr>
                <w:rFonts w:ascii="Times New Roman" w:hAnsi="Times New Roman" w:cs="Times New Roman"/>
                <w:sz w:val="16"/>
                <w:szCs w:val="16"/>
              </w:rPr>
              <w:t>(-0.04, 0.01)</w:t>
            </w:r>
          </w:p>
        </w:tc>
        <w:tc>
          <w:tcPr>
            <w:tcW w:w="1134" w:type="dxa"/>
            <w:shd w:val="clear" w:color="auto" w:fill="FFE599" w:themeFill="accent4" w:themeFillTint="66"/>
            <w:vAlign w:val="center"/>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(-0.03, 0.01)</w:t>
            </w:r>
          </w:p>
        </w:tc>
      </w:tr>
      <w:tr w:rsidR="005E787A" w:rsidRPr="00AE6D54" w:rsidTr="00444961">
        <w:trPr>
          <w:trHeight w:val="686"/>
        </w:trPr>
        <w:tc>
          <w:tcPr>
            <w:tcW w:w="1276"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left w:val="single" w:sz="4" w:space="0" w:color="auto"/>
              <w:bottom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MBE</w:t>
            </w:r>
          </w:p>
        </w:tc>
        <w:tc>
          <w:tcPr>
            <w:tcW w:w="1134" w:type="dxa"/>
            <w:tcBorders>
              <w:bottom w:val="single" w:sz="4" w:space="0" w:color="auto"/>
            </w:tcBorders>
            <w:shd w:val="clear" w:color="auto" w:fill="FFE599" w:themeFill="accent4" w:themeFillTint="66"/>
          </w:tcPr>
          <w:p w:rsidR="005E787A" w:rsidRPr="00AE6D54" w:rsidRDefault="005E787A" w:rsidP="00444961">
            <w:pPr>
              <w:widowControl/>
              <w:rPr>
                <w:rFonts w:ascii="Times New Roman" w:hAnsi="Times New Roman" w:cs="Times New Roman"/>
                <w:sz w:val="16"/>
                <w:szCs w:val="16"/>
              </w:rPr>
            </w:pPr>
            <w:r w:rsidRPr="00AE6D54">
              <w:rPr>
                <w:rFonts w:ascii="Times New Roman" w:hAnsi="Times New Roman" w:cs="Times New Roman"/>
                <w:sz w:val="16"/>
                <w:szCs w:val="16"/>
              </w:rPr>
              <w:t xml:space="preserve">0.01 </w:t>
            </w:r>
          </w:p>
          <w:p w:rsidR="005E787A" w:rsidRPr="00AE6D54" w:rsidRDefault="005E787A" w:rsidP="00444961">
            <w:pPr>
              <w:widowControl/>
              <w:rPr>
                <w:rFonts w:ascii="Times New Roman" w:hAnsi="Times New Roman" w:cs="Times New Roman"/>
                <w:sz w:val="16"/>
                <w:szCs w:val="16"/>
              </w:rPr>
            </w:pPr>
            <w:r w:rsidRPr="00AE6D54">
              <w:rPr>
                <w:rFonts w:ascii="Times New Roman" w:hAnsi="Times New Roman" w:cs="Times New Roman"/>
                <w:sz w:val="16"/>
                <w:szCs w:val="16"/>
              </w:rPr>
              <w:t>(-0.01, 0.03)</w:t>
            </w:r>
          </w:p>
        </w:tc>
      </w:tr>
      <w:tr w:rsidR="005E787A" w:rsidRPr="00AE6D54" w:rsidTr="00444961">
        <w:trPr>
          <w:trHeight w:val="710"/>
        </w:trPr>
        <w:tc>
          <w:tcPr>
            <w:tcW w:w="1276"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AE6D54" w:rsidRDefault="005E787A" w:rsidP="00444961">
            <w:pPr>
              <w:rPr>
                <w:rFonts w:ascii="Times New Roman" w:hAnsi="Times New Roman" w:cs="Times New Roman"/>
                <w:sz w:val="16"/>
                <w:szCs w:val="16"/>
              </w:rPr>
            </w:pPr>
          </w:p>
        </w:tc>
        <w:tc>
          <w:tcPr>
            <w:tcW w:w="1134" w:type="dxa"/>
            <w:tcBorders>
              <w:left w:val="single" w:sz="4" w:space="0" w:color="auto"/>
            </w:tcBorders>
            <w:shd w:val="clear" w:color="auto" w:fill="BDD6EE" w:themeFill="accent1" w:themeFillTint="66"/>
          </w:tcPr>
          <w:p w:rsidR="005E787A" w:rsidRPr="00AE6D54" w:rsidRDefault="005E787A" w:rsidP="00444961">
            <w:pPr>
              <w:rPr>
                <w:rFonts w:ascii="Times New Roman" w:hAnsi="Times New Roman" w:cs="Times New Roman"/>
                <w:sz w:val="16"/>
                <w:szCs w:val="16"/>
              </w:rPr>
            </w:pPr>
            <w:r w:rsidRPr="00AE6D54">
              <w:rPr>
                <w:rFonts w:ascii="Times New Roman" w:hAnsi="Times New Roman" w:cs="Times New Roman"/>
                <w:sz w:val="16"/>
                <w:szCs w:val="16"/>
              </w:rPr>
              <w:t>RT</w:t>
            </w:r>
          </w:p>
        </w:tc>
      </w:tr>
    </w:tbl>
    <w:p w:rsidR="005E787A" w:rsidRDefault="005E787A" w:rsidP="00DC1DFB">
      <w:pPr>
        <w:autoSpaceDE w:val="0"/>
        <w:autoSpaceDN w:val="0"/>
        <w:adjustRightInd w:val="0"/>
        <w:jc w:val="left"/>
        <w:rPr>
          <w:rFonts w:ascii="Times New Roman" w:hAnsi="Times New Roman" w:cs="Times New Roman"/>
          <w:b/>
          <w:color w:val="000000"/>
          <w:sz w:val="24"/>
          <w:szCs w:val="24"/>
        </w:rPr>
      </w:pPr>
    </w:p>
    <w:p w:rsidR="005E787A" w:rsidRDefault="005E787A">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5E787A" w:rsidRPr="00444961" w:rsidRDefault="005E787A" w:rsidP="00172ABA">
      <w:pPr>
        <w:pStyle w:val="2"/>
        <w:rPr>
          <w:rFonts w:ascii="Times New Roman" w:hAnsi="Times New Roman" w:cs="Times New Roman"/>
          <w:sz w:val="24"/>
          <w:szCs w:val="24"/>
        </w:rPr>
      </w:pPr>
      <w:bookmarkStart w:id="72" w:name="_Toc74521948"/>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ppendix 1</w:t>
      </w:r>
      <w:r w:rsidR="002E1C7F" w:rsidRPr="00444961">
        <w:rPr>
          <w:rFonts w:ascii="Times New Roman" w:hAnsi="Times New Roman" w:cs="Times New Roman"/>
          <w:sz w:val="24"/>
          <w:szCs w:val="24"/>
        </w:rPr>
        <w:t>8</w:t>
      </w:r>
      <w:r w:rsidRPr="00444961">
        <w:rPr>
          <w:rFonts w:ascii="Times New Roman" w:hAnsi="Times New Roman" w:cs="Times New Roman"/>
          <w:sz w:val="24"/>
          <w:szCs w:val="24"/>
        </w:rPr>
        <w:t xml:space="preserve">.3: Relative effect estimates for the contrasts between the different interventions and control arms on BMD at TH </w:t>
      </w:r>
      <w:r w:rsidRPr="00444961">
        <w:rPr>
          <w:rFonts w:ascii="Times New Roman" w:hAnsi="Times New Roman" w:cs="Times New Roman" w:hint="eastAsia"/>
          <w:sz w:val="24"/>
          <w:szCs w:val="24"/>
        </w:rPr>
        <w:t>when</w:t>
      </w:r>
      <w:r w:rsidRPr="00444961">
        <w:rPr>
          <w:rFonts w:ascii="Times New Roman" w:hAnsi="Times New Roman" w:cs="Times New Roman"/>
          <w:sz w:val="24"/>
          <w:szCs w:val="24"/>
        </w:rPr>
        <w:t xml:space="preserve"> exercise intervention with duration between 9 to 18 months</w:t>
      </w:r>
      <w:bookmarkEnd w:id="72"/>
    </w:p>
    <w:p w:rsidR="00DC1DFB" w:rsidRPr="005E787A" w:rsidRDefault="00DC1DFB" w:rsidP="00DC1DFB">
      <w:pPr>
        <w:autoSpaceDE w:val="0"/>
        <w:autoSpaceDN w:val="0"/>
        <w:adjustRightInd w:val="0"/>
        <w:jc w:val="left"/>
        <w:rPr>
          <w:rFonts w:ascii="Times New Roman" w:hAnsi="Times New Roman" w:cs="Times New Roman"/>
          <w:b/>
          <w:color w:val="000000"/>
          <w:sz w:val="24"/>
          <w:szCs w:val="24"/>
        </w:rPr>
      </w:pPr>
    </w:p>
    <w:tbl>
      <w:tblPr>
        <w:tblStyle w:val="a3"/>
        <w:tblpPr w:leftFromText="180" w:rightFromText="180" w:vertAnchor="page" w:horzAnchor="margin" w:tblpY="3908"/>
        <w:tblW w:w="8784" w:type="dxa"/>
        <w:tblLook w:val="04A0" w:firstRow="1" w:lastRow="0" w:firstColumn="1" w:lastColumn="0" w:noHBand="0" w:noVBand="1"/>
      </w:tblPr>
      <w:tblGrid>
        <w:gridCol w:w="846"/>
        <w:gridCol w:w="1134"/>
        <w:gridCol w:w="1134"/>
        <w:gridCol w:w="1134"/>
        <w:gridCol w:w="1134"/>
        <w:gridCol w:w="1134"/>
        <w:gridCol w:w="1134"/>
        <w:gridCol w:w="1134"/>
      </w:tblGrid>
      <w:tr w:rsidR="005E787A" w:rsidRPr="00DE1CA2" w:rsidTr="00444961">
        <w:trPr>
          <w:trHeight w:val="841"/>
        </w:trPr>
        <w:tc>
          <w:tcPr>
            <w:tcW w:w="846" w:type="dxa"/>
            <w:tcBorders>
              <w:bottom w:val="single" w:sz="4" w:space="0" w:color="auto"/>
            </w:tcBorders>
            <w:shd w:val="clear" w:color="auto" w:fill="BDD6EE" w:themeFill="accent1" w:themeFillTint="66"/>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Control</w:t>
            </w:r>
          </w:p>
        </w:tc>
        <w:tc>
          <w:tcPr>
            <w:tcW w:w="1134" w:type="dxa"/>
            <w:tcBorders>
              <w:bottom w:val="single" w:sz="4" w:space="0" w:color="auto"/>
            </w:tcBorders>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0.00)</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0.00)</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b/>
                <w:sz w:val="16"/>
                <w:szCs w:val="16"/>
              </w:rPr>
            </w:pPr>
            <w:r w:rsidRPr="00DE1CA2">
              <w:rPr>
                <w:rFonts w:ascii="Times New Roman" w:hAnsi="Times New Roman" w:cs="Times New Roman"/>
                <w:b/>
                <w:sz w:val="16"/>
                <w:szCs w:val="16"/>
              </w:rPr>
              <w:t xml:space="preserve">-0.01 </w:t>
            </w:r>
          </w:p>
          <w:p w:rsidR="005E787A" w:rsidRPr="00DE1CA2" w:rsidRDefault="005E787A" w:rsidP="00444961">
            <w:pPr>
              <w:rPr>
                <w:rFonts w:ascii="Times New Roman" w:hAnsi="Times New Roman" w:cs="Times New Roman"/>
                <w:b/>
                <w:sz w:val="16"/>
                <w:szCs w:val="16"/>
              </w:rPr>
            </w:pPr>
            <w:r w:rsidRPr="00DE1CA2">
              <w:rPr>
                <w:rFonts w:ascii="Times New Roman" w:hAnsi="Times New Roman" w:cs="Times New Roman"/>
                <w:b/>
                <w:sz w:val="16"/>
                <w:szCs w:val="16"/>
              </w:rPr>
              <w:t>(-0.02, -0.00)</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0.00)</w:t>
            </w:r>
          </w:p>
        </w:tc>
      </w:tr>
      <w:tr w:rsidR="005E787A" w:rsidRPr="00DE1CA2" w:rsidTr="00444961">
        <w:trPr>
          <w:trHeight w:val="842"/>
        </w:trPr>
        <w:tc>
          <w:tcPr>
            <w:tcW w:w="846" w:type="dxa"/>
            <w:tcBorders>
              <w:top w:val="single" w:sz="4" w:space="0" w:color="auto"/>
              <w:left w:val="nil"/>
              <w:bottom w:val="nil"/>
              <w:right w:val="single" w:sz="4" w:space="0" w:color="auto"/>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left w:val="single" w:sz="4" w:space="0" w:color="auto"/>
            </w:tcBorders>
            <w:shd w:val="clear" w:color="auto" w:fill="BDD6EE" w:themeFill="accent1" w:themeFillTint="66"/>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WE</w:t>
            </w:r>
          </w:p>
        </w:tc>
        <w:tc>
          <w:tcPr>
            <w:tcW w:w="1134" w:type="dxa"/>
            <w:tcBorders>
              <w:bottom w:val="single" w:sz="4" w:space="0" w:color="auto"/>
            </w:tcBorders>
            <w:shd w:val="clear" w:color="auto" w:fill="FFE599" w:themeFill="accent4" w:themeFillTint="66"/>
            <w:vAlign w:val="center"/>
          </w:tcPr>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0.02)</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0.02)</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0.00)</w:t>
            </w:r>
          </w:p>
        </w:tc>
      </w:tr>
      <w:tr w:rsidR="005E787A" w:rsidRPr="00DE1CA2" w:rsidTr="00444961">
        <w:trPr>
          <w:trHeight w:val="840"/>
        </w:trPr>
        <w:tc>
          <w:tcPr>
            <w:tcW w:w="846"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left w:val="nil"/>
              <w:bottom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bottom w:val="single" w:sz="4" w:space="0" w:color="auto"/>
            </w:tcBorders>
            <w:shd w:val="clear" w:color="auto" w:fill="BDD6EE" w:themeFill="accent1" w:themeFillTint="66"/>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FE</w:t>
            </w:r>
          </w:p>
        </w:tc>
        <w:tc>
          <w:tcPr>
            <w:tcW w:w="1134" w:type="dxa"/>
            <w:tcBorders>
              <w:bottom w:val="single" w:sz="4" w:space="0" w:color="auto"/>
            </w:tcBorders>
            <w:shd w:val="clear" w:color="auto" w:fill="FFE599" w:themeFill="accent4" w:themeFillTint="66"/>
            <w:vAlign w:val="center"/>
          </w:tcPr>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(-0.01, 0.02)</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0.02)</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0.02)</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0.02)</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0.01)</w:t>
            </w:r>
          </w:p>
        </w:tc>
      </w:tr>
      <w:tr w:rsidR="005E787A" w:rsidRPr="00DE1CA2" w:rsidTr="00444961">
        <w:trPr>
          <w:trHeight w:val="837"/>
        </w:trPr>
        <w:tc>
          <w:tcPr>
            <w:tcW w:w="846"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left w:val="single" w:sz="4" w:space="0" w:color="auto"/>
            </w:tcBorders>
            <w:shd w:val="clear" w:color="auto" w:fill="BDD6EE" w:themeFill="accent1" w:themeFillTint="66"/>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WBV</w:t>
            </w:r>
          </w:p>
        </w:tc>
        <w:tc>
          <w:tcPr>
            <w:tcW w:w="1134" w:type="dxa"/>
            <w:tcBorders>
              <w:bottom w:val="single" w:sz="4" w:space="0" w:color="auto"/>
            </w:tcBorders>
            <w:shd w:val="clear" w:color="auto" w:fill="FFE599" w:themeFill="accent4" w:themeFillTint="66"/>
            <w:vAlign w:val="center"/>
          </w:tcPr>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-0.00</w:t>
            </w:r>
          </w:p>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(-0.01,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0.00)</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0.00)</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0.00)</w:t>
            </w:r>
          </w:p>
        </w:tc>
      </w:tr>
      <w:tr w:rsidR="005E787A" w:rsidRPr="00DE1CA2" w:rsidTr="00444961">
        <w:trPr>
          <w:trHeight w:val="835"/>
        </w:trPr>
        <w:tc>
          <w:tcPr>
            <w:tcW w:w="846"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left w:val="nil"/>
              <w:bottom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bottom w:val="single" w:sz="4" w:space="0" w:color="auto"/>
            </w:tcBorders>
            <w:shd w:val="clear" w:color="auto" w:fill="BDD6EE" w:themeFill="accent1" w:themeFillTint="66"/>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LIE</w:t>
            </w:r>
          </w:p>
        </w:tc>
        <w:tc>
          <w:tcPr>
            <w:tcW w:w="1134" w:type="dxa"/>
            <w:tcBorders>
              <w:bottom w:val="single" w:sz="4" w:space="0" w:color="auto"/>
            </w:tcBorders>
            <w:shd w:val="clear" w:color="auto" w:fill="FFE599" w:themeFill="accent4" w:themeFillTint="66"/>
            <w:vAlign w:val="center"/>
          </w:tcPr>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-0.01</w:t>
            </w:r>
          </w:p>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-0.01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(-0.02, 0.01)</w:t>
            </w:r>
          </w:p>
        </w:tc>
      </w:tr>
      <w:tr w:rsidR="005E787A" w:rsidRPr="00DE1CA2" w:rsidTr="00444961">
        <w:trPr>
          <w:trHeight w:val="847"/>
        </w:trPr>
        <w:tc>
          <w:tcPr>
            <w:tcW w:w="846"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left w:val="single" w:sz="4" w:space="0" w:color="auto"/>
            </w:tcBorders>
            <w:shd w:val="clear" w:color="auto" w:fill="BDD6EE" w:themeFill="accent1" w:themeFillTint="66"/>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MBE</w:t>
            </w:r>
          </w:p>
        </w:tc>
        <w:tc>
          <w:tcPr>
            <w:tcW w:w="1134" w:type="dxa"/>
            <w:tcBorders>
              <w:bottom w:val="single" w:sz="4" w:space="0" w:color="auto"/>
            </w:tcBorders>
            <w:shd w:val="clear" w:color="auto" w:fill="FFE599" w:themeFill="accent4" w:themeFillTint="66"/>
            <w:vAlign w:val="center"/>
          </w:tcPr>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widowControl/>
              <w:jc w:val="left"/>
              <w:rPr>
                <w:rFonts w:ascii="Times New Roman" w:hAnsi="Times New Roman" w:cs="Times New Roman"/>
                <w:sz w:val="16"/>
                <w:szCs w:val="16"/>
              </w:rPr>
            </w:pPr>
            <w:r w:rsidRPr="00DE1CA2">
              <w:rPr>
                <w:rFonts w:ascii="Times New Roman" w:hAnsi="Times New Roman" w:cs="Times New Roman"/>
                <w:sz w:val="16"/>
                <w:szCs w:val="16"/>
              </w:rPr>
              <w:t>(-0.01, 0.01)</w:t>
            </w:r>
          </w:p>
        </w:tc>
        <w:tc>
          <w:tcPr>
            <w:tcW w:w="1134" w:type="dxa"/>
            <w:shd w:val="clear" w:color="auto" w:fill="FFE599" w:themeFill="accent4" w:themeFillTint="66"/>
            <w:vAlign w:val="center"/>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(-0.01, 0.01)</w:t>
            </w:r>
          </w:p>
        </w:tc>
      </w:tr>
      <w:tr w:rsidR="005E787A" w:rsidRPr="00DE1CA2" w:rsidTr="00444961">
        <w:trPr>
          <w:trHeight w:val="845"/>
        </w:trPr>
        <w:tc>
          <w:tcPr>
            <w:tcW w:w="846"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left w:val="nil"/>
              <w:bottom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bottom w:val="single" w:sz="4" w:space="0" w:color="auto"/>
            </w:tcBorders>
            <w:shd w:val="clear" w:color="auto" w:fill="BDD6EE" w:themeFill="accent1" w:themeFillTint="66"/>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RT</w:t>
            </w:r>
          </w:p>
        </w:tc>
        <w:tc>
          <w:tcPr>
            <w:tcW w:w="1134" w:type="dxa"/>
            <w:tcBorders>
              <w:bottom w:val="single" w:sz="4" w:space="0" w:color="auto"/>
            </w:tcBorders>
            <w:shd w:val="clear" w:color="auto" w:fill="FFE599" w:themeFill="accent4" w:themeFillTint="66"/>
          </w:tcPr>
          <w:p w:rsidR="005E787A" w:rsidRPr="00DE1CA2" w:rsidRDefault="005E787A" w:rsidP="00444961">
            <w:pPr>
              <w:widowControl/>
              <w:rPr>
                <w:rFonts w:ascii="Times New Roman" w:hAnsi="Times New Roman" w:cs="Times New Roman"/>
                <w:sz w:val="16"/>
                <w:szCs w:val="16"/>
              </w:rPr>
            </w:pPr>
            <w:r w:rsidRPr="00DE1CA2">
              <w:rPr>
                <w:rFonts w:ascii="Times New Roman" w:hAnsi="Times New Roman" w:cs="Times New Roman"/>
                <w:sz w:val="16"/>
                <w:szCs w:val="16"/>
              </w:rPr>
              <w:t xml:space="preserve">0.00 </w:t>
            </w:r>
          </w:p>
          <w:p w:rsidR="005E787A" w:rsidRPr="00DE1CA2" w:rsidRDefault="005E787A" w:rsidP="00444961">
            <w:pPr>
              <w:widowControl/>
              <w:rPr>
                <w:rFonts w:ascii="Times New Roman" w:hAnsi="Times New Roman" w:cs="Times New Roman"/>
                <w:sz w:val="16"/>
                <w:szCs w:val="16"/>
              </w:rPr>
            </w:pPr>
            <w:r w:rsidRPr="00DE1CA2">
              <w:rPr>
                <w:rFonts w:ascii="Times New Roman" w:hAnsi="Times New Roman" w:cs="Times New Roman"/>
                <w:sz w:val="16"/>
                <w:szCs w:val="16"/>
              </w:rPr>
              <w:t>(-0.01, 0.01)</w:t>
            </w:r>
          </w:p>
        </w:tc>
      </w:tr>
      <w:tr w:rsidR="005E787A" w:rsidRPr="00DE1CA2" w:rsidTr="00444961">
        <w:trPr>
          <w:trHeight w:val="843"/>
        </w:trPr>
        <w:tc>
          <w:tcPr>
            <w:tcW w:w="846"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nil"/>
              <w:left w:val="nil"/>
              <w:bottom w:val="nil"/>
              <w:right w:val="nil"/>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top w:val="single" w:sz="4" w:space="0" w:color="auto"/>
              <w:left w:val="nil"/>
              <w:bottom w:val="nil"/>
              <w:right w:val="single" w:sz="4" w:space="0" w:color="auto"/>
            </w:tcBorders>
            <w:shd w:val="clear" w:color="auto" w:fill="auto"/>
          </w:tcPr>
          <w:p w:rsidR="005E787A" w:rsidRPr="00DE1CA2" w:rsidRDefault="005E787A" w:rsidP="00444961">
            <w:pPr>
              <w:rPr>
                <w:rFonts w:ascii="Times New Roman" w:hAnsi="Times New Roman" w:cs="Times New Roman"/>
                <w:sz w:val="16"/>
                <w:szCs w:val="16"/>
              </w:rPr>
            </w:pPr>
          </w:p>
        </w:tc>
        <w:tc>
          <w:tcPr>
            <w:tcW w:w="1134" w:type="dxa"/>
            <w:tcBorders>
              <w:left w:val="single" w:sz="4" w:space="0" w:color="auto"/>
            </w:tcBorders>
            <w:shd w:val="clear" w:color="auto" w:fill="BDD6EE" w:themeFill="accent1" w:themeFillTint="66"/>
          </w:tcPr>
          <w:p w:rsidR="005E787A" w:rsidRPr="00DE1CA2" w:rsidRDefault="005E787A" w:rsidP="00444961">
            <w:pPr>
              <w:rPr>
                <w:rFonts w:ascii="Times New Roman" w:hAnsi="Times New Roman" w:cs="Times New Roman"/>
                <w:sz w:val="16"/>
                <w:szCs w:val="16"/>
              </w:rPr>
            </w:pPr>
            <w:r w:rsidRPr="00DE1CA2">
              <w:rPr>
                <w:rFonts w:ascii="Times New Roman" w:hAnsi="Times New Roman" w:cs="Times New Roman"/>
                <w:sz w:val="16"/>
                <w:szCs w:val="16"/>
              </w:rPr>
              <w:t>ME</w:t>
            </w:r>
          </w:p>
        </w:tc>
      </w:tr>
    </w:tbl>
    <w:p w:rsidR="005E787A" w:rsidRDefault="005E787A" w:rsidP="002A5715">
      <w:pPr>
        <w:autoSpaceDE w:val="0"/>
        <w:autoSpaceDN w:val="0"/>
        <w:adjustRightInd w:val="0"/>
        <w:jc w:val="left"/>
        <w:rPr>
          <w:rFonts w:ascii="Times New Roman" w:hAnsi="Times New Roman" w:cs="Times New Roman"/>
          <w:b/>
          <w:color w:val="000000"/>
          <w:sz w:val="24"/>
          <w:szCs w:val="24"/>
        </w:rPr>
      </w:pPr>
    </w:p>
    <w:p w:rsidR="005E787A" w:rsidRDefault="005E787A">
      <w:pPr>
        <w:widowControl/>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5E787A" w:rsidRPr="00444961" w:rsidRDefault="005E787A" w:rsidP="00172ABA">
      <w:pPr>
        <w:pStyle w:val="2"/>
        <w:rPr>
          <w:rFonts w:ascii="Times New Roman" w:hAnsi="Times New Roman" w:cs="Times New Roman"/>
          <w:sz w:val="24"/>
          <w:szCs w:val="24"/>
        </w:rPr>
      </w:pPr>
      <w:bookmarkStart w:id="73" w:name="_Toc74521949"/>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4F4696" w:rsidRPr="00444961">
        <w:rPr>
          <w:rFonts w:ascii="Times New Roman" w:hAnsi="Times New Roman" w:cs="Times New Roman"/>
          <w:sz w:val="24"/>
          <w:szCs w:val="24"/>
        </w:rPr>
        <w:t>1</w:t>
      </w:r>
      <w:r w:rsidR="002E1C7F" w:rsidRPr="00444961">
        <w:rPr>
          <w:rFonts w:ascii="Times New Roman" w:hAnsi="Times New Roman" w:cs="Times New Roman"/>
          <w:sz w:val="24"/>
          <w:szCs w:val="24"/>
        </w:rPr>
        <w:t>9</w:t>
      </w:r>
      <w:r w:rsidRPr="00444961">
        <w:rPr>
          <w:rFonts w:ascii="Times New Roman" w:hAnsi="Times New Roman" w:cs="Times New Roman"/>
          <w:sz w:val="24"/>
          <w:szCs w:val="24"/>
        </w:rPr>
        <w:t xml:space="preserve">: Cumulative ranking plots to show comparative effectiveness of treatments from a BMD outcome at </w:t>
      </w:r>
      <w:r w:rsidR="003670A7" w:rsidRPr="00444961">
        <w:rPr>
          <w:rFonts w:ascii="Times New Roman" w:hAnsi="Times New Roman" w:cs="Times New Roman"/>
          <w:sz w:val="24"/>
          <w:szCs w:val="24"/>
        </w:rPr>
        <w:t>(A) LS, (B) FN, and (C) FN</w:t>
      </w:r>
      <w:r w:rsidRPr="00444961">
        <w:rPr>
          <w:rFonts w:ascii="Times New Roman" w:hAnsi="Times New Roman" w:cs="Times New Roman"/>
          <w:sz w:val="24"/>
          <w:szCs w:val="24"/>
        </w:rPr>
        <w:t xml:space="preserve"> network meta-analysis </w:t>
      </w:r>
      <w:r w:rsidRPr="00444961">
        <w:rPr>
          <w:rFonts w:ascii="Times New Roman" w:hAnsi="Times New Roman" w:cs="Times New Roman" w:hint="eastAsia"/>
          <w:sz w:val="24"/>
          <w:szCs w:val="24"/>
        </w:rPr>
        <w:t>when</w:t>
      </w:r>
      <w:r w:rsidRPr="00444961">
        <w:rPr>
          <w:rFonts w:ascii="Times New Roman" w:hAnsi="Times New Roman" w:cs="Times New Roman"/>
          <w:sz w:val="24"/>
          <w:szCs w:val="24"/>
        </w:rPr>
        <w:t xml:space="preserve"> exercise intervention with duration </w:t>
      </w:r>
      <w:r w:rsidR="00A40784" w:rsidRPr="00444961">
        <w:rPr>
          <w:rFonts w:ascii="Times New Roman" w:hAnsi="Times New Roman" w:cs="Times New Roman"/>
          <w:sz w:val="24"/>
          <w:szCs w:val="24"/>
        </w:rPr>
        <w:t>between 9 to 18 months</w:t>
      </w:r>
      <w:bookmarkEnd w:id="73"/>
    </w:p>
    <w:p w:rsidR="00A40784" w:rsidRPr="00444961" w:rsidRDefault="003670A7" w:rsidP="005E787A">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A.</w:t>
      </w:r>
    </w:p>
    <w:p w:rsidR="003670A7" w:rsidRDefault="00A40784" w:rsidP="003670A7">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hint="eastAsia"/>
          <w:b/>
          <w:noProof/>
          <w:color w:val="000000"/>
          <w:sz w:val="24"/>
          <w:szCs w:val="24"/>
        </w:rPr>
        <w:drawing>
          <wp:inline distT="0" distB="0" distL="0" distR="0">
            <wp:extent cx="5106154" cy="33229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S 9-18-ranking.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45982" cy="3348874"/>
                    </a:xfrm>
                    <a:prstGeom prst="rect">
                      <a:avLst/>
                    </a:prstGeom>
                  </pic:spPr>
                </pic:pic>
              </a:graphicData>
            </a:graphic>
          </wp:inline>
        </w:drawing>
      </w:r>
      <w:r w:rsidRPr="00F7342E">
        <w:rPr>
          <w:rFonts w:ascii="Times New Roman" w:hAnsi="Times New Roman" w:cs="Times New Roman"/>
          <w:b/>
          <w:color w:val="000000"/>
          <w:sz w:val="24"/>
          <w:szCs w:val="24"/>
        </w:rPr>
        <w:t xml:space="preserve"> </w:t>
      </w:r>
    </w:p>
    <w:p w:rsidR="00A40784" w:rsidRPr="00444961" w:rsidRDefault="003670A7" w:rsidP="00A40784">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B.</w:t>
      </w:r>
    </w:p>
    <w:p w:rsidR="00A40784" w:rsidRDefault="00A40784" w:rsidP="002A5715">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hint="eastAsia"/>
          <w:b/>
          <w:noProof/>
          <w:color w:val="000000"/>
          <w:sz w:val="24"/>
          <w:szCs w:val="24"/>
        </w:rPr>
        <w:drawing>
          <wp:inline distT="0" distB="0" distL="0" distR="0">
            <wp:extent cx="5175777" cy="3766241"/>
            <wp:effectExtent l="0" t="0" r="635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N 9-18-ranking.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2170" cy="3770893"/>
                    </a:xfrm>
                    <a:prstGeom prst="rect">
                      <a:avLst/>
                    </a:prstGeom>
                  </pic:spPr>
                </pic:pic>
              </a:graphicData>
            </a:graphic>
          </wp:inline>
        </w:drawing>
      </w:r>
    </w:p>
    <w:p w:rsidR="00A40784" w:rsidRPr="00444961" w:rsidRDefault="00A40784" w:rsidP="00444961">
      <w:pPr>
        <w:widowControl/>
        <w:jc w:val="left"/>
        <w:rPr>
          <w:rFonts w:ascii="Times New Roman" w:hAnsi="Times New Roman" w:cs="Times New Roman"/>
          <w:color w:val="000000"/>
          <w:sz w:val="20"/>
          <w:szCs w:val="20"/>
        </w:rPr>
      </w:pPr>
      <w:r>
        <w:rPr>
          <w:rFonts w:ascii="Times New Roman" w:hAnsi="Times New Roman" w:cs="Times New Roman"/>
          <w:b/>
          <w:color w:val="000000"/>
          <w:sz w:val="24"/>
          <w:szCs w:val="24"/>
        </w:rPr>
        <w:br w:type="page"/>
      </w:r>
      <w:r w:rsidR="003670A7" w:rsidRPr="00444961">
        <w:rPr>
          <w:rFonts w:ascii="Times New Roman" w:hAnsi="Times New Roman" w:cs="Times New Roman" w:hint="eastAsia"/>
          <w:color w:val="000000"/>
          <w:sz w:val="20"/>
          <w:szCs w:val="20"/>
        </w:rPr>
        <w:lastRenderedPageBreak/>
        <w:t>C</w:t>
      </w:r>
      <w:r w:rsidR="003670A7" w:rsidRPr="00444961">
        <w:rPr>
          <w:rFonts w:ascii="Times New Roman" w:hAnsi="Times New Roman" w:cs="Times New Roman"/>
          <w:color w:val="000000"/>
          <w:sz w:val="20"/>
          <w:szCs w:val="20"/>
        </w:rPr>
        <w:t>.</w:t>
      </w:r>
    </w:p>
    <w:p w:rsidR="00EE3DB5" w:rsidRDefault="00A40784" w:rsidP="002A5715">
      <w:pPr>
        <w:autoSpaceDE w:val="0"/>
        <w:autoSpaceDN w:val="0"/>
        <w:adjustRightInd w:val="0"/>
        <w:jc w:val="left"/>
        <w:rPr>
          <w:rFonts w:ascii="Times New Roman" w:hAnsi="Times New Roman" w:cs="Times New Roman"/>
          <w:b/>
          <w:color w:val="000000"/>
          <w:sz w:val="24"/>
          <w:szCs w:val="24"/>
        </w:rPr>
        <w:sectPr w:rsidR="00EE3DB5">
          <w:pgSz w:w="11906" w:h="16838"/>
          <w:pgMar w:top="1440" w:right="1800" w:bottom="1440" w:left="1800" w:header="851" w:footer="992" w:gutter="0"/>
          <w:cols w:space="425"/>
          <w:docGrid w:type="lines" w:linePitch="312"/>
        </w:sectPr>
      </w:pPr>
      <w:r>
        <w:rPr>
          <w:rFonts w:ascii="Times New Roman" w:hAnsi="Times New Roman" w:cs="Times New Roman" w:hint="eastAsia"/>
          <w:b/>
          <w:noProof/>
          <w:color w:val="000000"/>
          <w:sz w:val="24"/>
          <w:szCs w:val="24"/>
        </w:rPr>
        <w:drawing>
          <wp:inline distT="0" distB="0" distL="0" distR="0">
            <wp:extent cx="5274310" cy="38379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 9-18-ranking.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837940"/>
                    </a:xfrm>
                    <a:prstGeom prst="rect">
                      <a:avLst/>
                    </a:prstGeom>
                  </pic:spPr>
                </pic:pic>
              </a:graphicData>
            </a:graphic>
          </wp:inline>
        </w:drawing>
      </w:r>
    </w:p>
    <w:p w:rsidR="00E5606B" w:rsidRPr="00444961" w:rsidRDefault="00E5606B" w:rsidP="00172ABA">
      <w:pPr>
        <w:pStyle w:val="2"/>
        <w:rPr>
          <w:rFonts w:ascii="Times New Roman" w:hAnsi="Times New Roman" w:cs="Times New Roman"/>
          <w:sz w:val="24"/>
          <w:szCs w:val="24"/>
        </w:rPr>
      </w:pPr>
      <w:bookmarkStart w:id="74" w:name="_Toc74521950"/>
      <w:bookmarkStart w:id="75" w:name="_GoBack"/>
      <w:bookmarkEnd w:id="75"/>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ppendix 20: Summary of certainty of evidence for network meta-analysis in studies examining the effects of physical exercise in postmenopausal women for BMD at LS, FN, and TH.</w:t>
      </w:r>
      <w:bookmarkEnd w:id="74"/>
    </w:p>
    <w:tbl>
      <w:tblPr>
        <w:tblStyle w:val="a3"/>
        <w:tblpPr w:leftFromText="180" w:rightFromText="180" w:vertAnchor="page" w:horzAnchor="margin" w:tblpY="4050"/>
        <w:tblW w:w="0" w:type="auto"/>
        <w:tblLook w:val="04A0" w:firstRow="1" w:lastRow="0" w:firstColumn="1" w:lastColumn="0" w:noHBand="0" w:noVBand="1"/>
      </w:tblPr>
      <w:tblGrid>
        <w:gridCol w:w="2263"/>
        <w:gridCol w:w="2694"/>
        <w:gridCol w:w="3339"/>
      </w:tblGrid>
      <w:tr w:rsidR="00E5606B" w:rsidTr="00444961">
        <w:trPr>
          <w:trHeight w:val="699"/>
        </w:trPr>
        <w:tc>
          <w:tcPr>
            <w:tcW w:w="2263"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Outcome</w:t>
            </w:r>
          </w:p>
        </w:tc>
        <w:tc>
          <w:tcPr>
            <w:tcW w:w="2694"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Certainty of evidence</w:t>
            </w:r>
          </w:p>
        </w:tc>
        <w:tc>
          <w:tcPr>
            <w:tcW w:w="3339"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Reason for downgrade</w:t>
            </w:r>
          </w:p>
        </w:tc>
      </w:tr>
      <w:tr w:rsidR="00E5606B" w:rsidTr="00444961">
        <w:trPr>
          <w:trHeight w:val="794"/>
        </w:trPr>
        <w:tc>
          <w:tcPr>
            <w:tcW w:w="2263"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 xml:space="preserve">BMD at LS </w:t>
            </w:r>
          </w:p>
        </w:tc>
        <w:tc>
          <w:tcPr>
            <w:tcW w:w="2694"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Very low</w:t>
            </w:r>
          </w:p>
        </w:tc>
        <w:tc>
          <w:tcPr>
            <w:tcW w:w="3339"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Imprecision, incoherence</w:t>
            </w:r>
          </w:p>
        </w:tc>
      </w:tr>
      <w:tr w:rsidR="00E5606B" w:rsidTr="00444961">
        <w:trPr>
          <w:trHeight w:val="753"/>
        </w:trPr>
        <w:tc>
          <w:tcPr>
            <w:tcW w:w="2263"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BMD at FN</w:t>
            </w:r>
          </w:p>
        </w:tc>
        <w:tc>
          <w:tcPr>
            <w:tcW w:w="2694"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Low</w:t>
            </w:r>
          </w:p>
        </w:tc>
        <w:tc>
          <w:tcPr>
            <w:tcW w:w="3339"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Imprecision</w:t>
            </w:r>
          </w:p>
        </w:tc>
      </w:tr>
      <w:tr w:rsidR="00E5606B" w:rsidTr="00444961">
        <w:trPr>
          <w:trHeight w:val="819"/>
        </w:trPr>
        <w:tc>
          <w:tcPr>
            <w:tcW w:w="2263"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BMD at TH</w:t>
            </w:r>
          </w:p>
        </w:tc>
        <w:tc>
          <w:tcPr>
            <w:tcW w:w="2694"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Very low</w:t>
            </w:r>
          </w:p>
        </w:tc>
        <w:tc>
          <w:tcPr>
            <w:tcW w:w="3339" w:type="dxa"/>
          </w:tcPr>
          <w:p w:rsidR="00E5606B" w:rsidRPr="005B44DF" w:rsidRDefault="00E5606B" w:rsidP="00444961">
            <w:pPr>
              <w:rPr>
                <w:rFonts w:ascii="Times New Roman" w:hAnsi="Times New Roman" w:cs="Times New Roman"/>
                <w:sz w:val="16"/>
                <w:szCs w:val="16"/>
              </w:rPr>
            </w:pPr>
            <w:r w:rsidRPr="005B44DF">
              <w:rPr>
                <w:rFonts w:ascii="Times New Roman" w:hAnsi="Times New Roman" w:cs="Times New Roman"/>
                <w:sz w:val="16"/>
                <w:szCs w:val="16"/>
              </w:rPr>
              <w:t>Within-study bias, reporting bias, imprecision</w:t>
            </w:r>
          </w:p>
        </w:tc>
      </w:tr>
    </w:tbl>
    <w:p w:rsidR="00E5606B" w:rsidRPr="00E5606B" w:rsidRDefault="00E5606B" w:rsidP="002A5715">
      <w:pPr>
        <w:autoSpaceDE w:val="0"/>
        <w:autoSpaceDN w:val="0"/>
        <w:adjustRightInd w:val="0"/>
        <w:jc w:val="left"/>
        <w:rPr>
          <w:rFonts w:ascii="Times New Roman" w:hAnsi="Times New Roman" w:cs="Times New Roman"/>
          <w:b/>
          <w:color w:val="000000"/>
          <w:sz w:val="24"/>
          <w:szCs w:val="24"/>
        </w:rPr>
        <w:sectPr w:rsidR="00E5606B" w:rsidRPr="00E5606B">
          <w:pgSz w:w="11906" w:h="16838"/>
          <w:pgMar w:top="1440" w:right="1800" w:bottom="1440" w:left="1800" w:header="851" w:footer="992" w:gutter="0"/>
          <w:cols w:space="425"/>
          <w:docGrid w:type="lines" w:linePitch="312"/>
        </w:sectPr>
      </w:pPr>
    </w:p>
    <w:p w:rsidR="008D2D76" w:rsidRPr="00444961" w:rsidRDefault="00EE3DB5" w:rsidP="00172ABA">
      <w:pPr>
        <w:pStyle w:val="2"/>
        <w:rPr>
          <w:rFonts w:ascii="Times New Roman" w:hAnsi="Times New Roman" w:cs="Times New Roman"/>
          <w:sz w:val="24"/>
          <w:szCs w:val="24"/>
        </w:rPr>
      </w:pPr>
      <w:bookmarkStart w:id="76" w:name="_Toc74521951"/>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E5606B" w:rsidRPr="00444961">
        <w:rPr>
          <w:rFonts w:ascii="Times New Roman" w:hAnsi="Times New Roman" w:cs="Times New Roman"/>
          <w:sz w:val="24"/>
          <w:szCs w:val="24"/>
        </w:rPr>
        <w:t>21</w:t>
      </w:r>
      <w:r w:rsidR="00F8018D" w:rsidRPr="00444961">
        <w:rPr>
          <w:rFonts w:ascii="Times New Roman" w:hAnsi="Times New Roman" w:cs="Times New Roman"/>
          <w:sz w:val="24"/>
          <w:szCs w:val="24"/>
        </w:rPr>
        <w:t>.1</w:t>
      </w:r>
      <w:r w:rsidR="00E5606B" w:rsidRPr="00444961">
        <w:rPr>
          <w:rFonts w:ascii="Times New Roman" w:hAnsi="Times New Roman" w:cs="Times New Roman"/>
          <w:sz w:val="24"/>
          <w:szCs w:val="24"/>
        </w:rPr>
        <w:t>:</w:t>
      </w:r>
      <w:r w:rsidR="00F8018D" w:rsidRPr="00444961">
        <w:rPr>
          <w:rFonts w:ascii="Times New Roman" w:hAnsi="Times New Roman" w:cs="Times New Roman"/>
          <w:sz w:val="24"/>
          <w:szCs w:val="24"/>
        </w:rPr>
        <w:t xml:space="preserve"> Details on the CINeMA assessment of each pairwise comparisons for BMD at LS</w:t>
      </w:r>
      <w:bookmarkEnd w:id="76"/>
    </w:p>
    <w:tbl>
      <w:tblPr>
        <w:tblW w:w="5718" w:type="pct"/>
        <w:tblInd w:w="-284" w:type="dxa"/>
        <w:tblBorders>
          <w:top w:val="single" w:sz="4" w:space="0" w:color="auto"/>
          <w:bottom w:val="single" w:sz="4" w:space="0" w:color="auto"/>
        </w:tblBorders>
        <w:tblLayout w:type="fixed"/>
        <w:tblLook w:val="04A0" w:firstRow="1" w:lastRow="0" w:firstColumn="1" w:lastColumn="0" w:noHBand="0" w:noVBand="1"/>
      </w:tblPr>
      <w:tblGrid>
        <w:gridCol w:w="1113"/>
        <w:gridCol w:w="872"/>
        <w:gridCol w:w="1187"/>
        <w:gridCol w:w="1085"/>
        <w:gridCol w:w="992"/>
        <w:gridCol w:w="992"/>
        <w:gridCol w:w="1132"/>
        <w:gridCol w:w="1132"/>
        <w:gridCol w:w="994"/>
      </w:tblGrid>
      <w:tr w:rsidR="00DB5AB5" w:rsidRPr="00935A6D" w:rsidTr="00DB5AB5">
        <w:trPr>
          <w:trHeight w:val="280"/>
        </w:trPr>
        <w:tc>
          <w:tcPr>
            <w:tcW w:w="586" w:type="pct"/>
            <w:tcBorders>
              <w:top w:val="single" w:sz="4" w:space="0" w:color="auto"/>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Comparison</w:t>
            </w:r>
          </w:p>
        </w:tc>
        <w:tc>
          <w:tcPr>
            <w:tcW w:w="459" w:type="pct"/>
            <w:tcBorders>
              <w:top w:val="single" w:sz="4" w:space="0" w:color="auto"/>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Number of studies</w:t>
            </w:r>
          </w:p>
        </w:tc>
        <w:tc>
          <w:tcPr>
            <w:tcW w:w="625" w:type="pct"/>
            <w:tcBorders>
              <w:top w:val="single" w:sz="4" w:space="0" w:color="auto"/>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Within-study bias</w:t>
            </w:r>
          </w:p>
        </w:tc>
        <w:tc>
          <w:tcPr>
            <w:tcW w:w="571" w:type="pct"/>
            <w:tcBorders>
              <w:top w:val="single" w:sz="4" w:space="0" w:color="auto"/>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Reporting bias</w:t>
            </w:r>
          </w:p>
        </w:tc>
        <w:tc>
          <w:tcPr>
            <w:tcW w:w="522" w:type="pct"/>
            <w:tcBorders>
              <w:top w:val="single" w:sz="4" w:space="0" w:color="auto"/>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Indirectness</w:t>
            </w:r>
          </w:p>
        </w:tc>
        <w:tc>
          <w:tcPr>
            <w:tcW w:w="522" w:type="pct"/>
            <w:tcBorders>
              <w:top w:val="single" w:sz="4" w:space="0" w:color="auto"/>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Imprecision</w:t>
            </w:r>
          </w:p>
        </w:tc>
        <w:tc>
          <w:tcPr>
            <w:tcW w:w="596" w:type="pct"/>
            <w:tcBorders>
              <w:top w:val="single" w:sz="4" w:space="0" w:color="auto"/>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Heterogeneity</w:t>
            </w:r>
          </w:p>
        </w:tc>
        <w:tc>
          <w:tcPr>
            <w:tcW w:w="596" w:type="pct"/>
            <w:tcBorders>
              <w:top w:val="single" w:sz="4" w:space="0" w:color="auto"/>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Incoherence</w:t>
            </w:r>
          </w:p>
        </w:tc>
        <w:tc>
          <w:tcPr>
            <w:tcW w:w="523" w:type="pct"/>
            <w:tcBorders>
              <w:top w:val="single" w:sz="4" w:space="0" w:color="auto"/>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Confidence rating</w:t>
            </w:r>
          </w:p>
        </w:tc>
      </w:tr>
      <w:tr w:rsidR="00F8018D" w:rsidRPr="00935A6D" w:rsidTr="00DB5AB5">
        <w:trPr>
          <w:trHeight w:val="280"/>
        </w:trPr>
        <w:tc>
          <w:tcPr>
            <w:tcW w:w="586" w:type="pct"/>
            <w:tcBorders>
              <w:top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FE:ME</w:t>
            </w:r>
          </w:p>
        </w:tc>
        <w:tc>
          <w:tcPr>
            <w:tcW w:w="459" w:type="pct"/>
            <w:tcBorders>
              <w:top w:val="single" w:sz="4" w:space="0" w:color="auto"/>
            </w:tcBorders>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tcBorders>
              <w:top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71" w:type="pct"/>
            <w:tcBorders>
              <w:top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tcBorders>
              <w:top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tcBorders>
              <w:top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tcBorders>
              <w:top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tcBorders>
              <w:top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tcBorders>
              <w:top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FE:PRT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HIE:LIE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control:HIE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LIE:PRT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LIE:WBV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control:LIE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6</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MBE:RT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MBE:WBV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control:MBE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7</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ME:MIE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ME:PRT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ME:WBV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ME:WE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5</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Moderate</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control:ME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14</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Moderate</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MIE:RT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MIE:WE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control:MIE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5</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lastRenderedPageBreak/>
              <w:t>PRT:WBV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control:PRT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13</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Moderate</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control:WBE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WBV:WE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9</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FE:HIE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FE:LIE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FE:MBE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FE:MIE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FE:WBE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FE:WE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control:FE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HIE:MBE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HIE:ME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HIE:MIE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HIE:PRT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HIE:RT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HIE:WBE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HIE:WBV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lastRenderedPageBreak/>
              <w:t>HIE:WE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LIE:MBE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LIE:ME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LIE:MIE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LIE:RT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LIE:WBE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LIE:WE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MBE:ME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MBE:MIE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MBE:PRT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MBE:WBE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MBE:WE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ME:RT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ME:WBE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MIE:PRT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MIE:WBE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MIE:WBV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PRT:RT</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PRT:WBE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PRT:WE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RT:WBE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RT:WBV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lastRenderedPageBreak/>
              <w:t>RT:WE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WBE:WBV</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WBE:WE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F8018D" w:rsidRPr="00935A6D" w:rsidTr="00DB5AB5">
        <w:trPr>
          <w:trHeight w:val="280"/>
        </w:trPr>
        <w:tc>
          <w:tcPr>
            <w:tcW w:w="58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control:WE</w:t>
            </w:r>
          </w:p>
        </w:tc>
        <w:tc>
          <w:tcPr>
            <w:tcW w:w="459"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62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571"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bl>
    <w:p w:rsidR="00F8018D" w:rsidRDefault="00F8018D" w:rsidP="002A5715">
      <w:pPr>
        <w:autoSpaceDE w:val="0"/>
        <w:autoSpaceDN w:val="0"/>
        <w:adjustRightInd w:val="0"/>
        <w:jc w:val="left"/>
        <w:rPr>
          <w:rFonts w:ascii="Times New Roman" w:hAnsi="Times New Roman" w:cs="Times New Roman"/>
          <w:b/>
          <w:color w:val="000000"/>
          <w:sz w:val="24"/>
          <w:szCs w:val="24"/>
        </w:rPr>
        <w:sectPr w:rsidR="00F8018D">
          <w:pgSz w:w="11906" w:h="16838"/>
          <w:pgMar w:top="1440" w:right="1800" w:bottom="1440" w:left="1800" w:header="851" w:footer="992" w:gutter="0"/>
          <w:cols w:space="425"/>
          <w:docGrid w:type="lines" w:linePitch="312"/>
        </w:sectPr>
      </w:pPr>
    </w:p>
    <w:p w:rsidR="00F8018D" w:rsidRPr="00444961" w:rsidRDefault="00F8018D" w:rsidP="00172ABA">
      <w:pPr>
        <w:pStyle w:val="2"/>
        <w:rPr>
          <w:rFonts w:ascii="Times New Roman" w:hAnsi="Times New Roman" w:cs="Times New Roman"/>
          <w:sz w:val="24"/>
          <w:szCs w:val="24"/>
        </w:rPr>
      </w:pPr>
      <w:bookmarkStart w:id="77" w:name="_Toc74521952"/>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E5606B" w:rsidRPr="00444961">
        <w:rPr>
          <w:rFonts w:ascii="Times New Roman" w:hAnsi="Times New Roman" w:cs="Times New Roman"/>
          <w:sz w:val="24"/>
          <w:szCs w:val="24"/>
        </w:rPr>
        <w:t>21</w:t>
      </w:r>
      <w:r w:rsidRPr="00444961">
        <w:rPr>
          <w:rFonts w:ascii="Times New Roman" w:hAnsi="Times New Roman" w:cs="Times New Roman"/>
          <w:sz w:val="24"/>
          <w:szCs w:val="24"/>
        </w:rPr>
        <w:t>.</w:t>
      </w:r>
      <w:r w:rsidR="00DB5AB5" w:rsidRPr="00444961">
        <w:rPr>
          <w:rFonts w:ascii="Times New Roman" w:hAnsi="Times New Roman" w:cs="Times New Roman"/>
          <w:sz w:val="24"/>
          <w:szCs w:val="24"/>
        </w:rPr>
        <w:t>2</w:t>
      </w:r>
      <w:r w:rsidR="00E5606B" w:rsidRPr="00444961">
        <w:rPr>
          <w:rFonts w:ascii="Times New Roman" w:hAnsi="Times New Roman" w:cs="Times New Roman"/>
          <w:sz w:val="24"/>
          <w:szCs w:val="24"/>
        </w:rPr>
        <w:t>:</w:t>
      </w:r>
      <w:r w:rsidRPr="00444961">
        <w:rPr>
          <w:rFonts w:ascii="Times New Roman" w:hAnsi="Times New Roman" w:cs="Times New Roman"/>
          <w:sz w:val="24"/>
          <w:szCs w:val="24"/>
        </w:rPr>
        <w:t xml:space="preserve"> Details on the CINeMA assessment of each pairwise comparisons for BMD at FN</w:t>
      </w:r>
      <w:bookmarkEnd w:id="77"/>
    </w:p>
    <w:tbl>
      <w:tblPr>
        <w:tblW w:w="5718" w:type="pct"/>
        <w:tblInd w:w="-709" w:type="dxa"/>
        <w:tblBorders>
          <w:top w:val="single" w:sz="4" w:space="0" w:color="auto"/>
          <w:bottom w:val="single" w:sz="4" w:space="0" w:color="auto"/>
        </w:tblBorders>
        <w:tblLayout w:type="fixed"/>
        <w:tblLook w:val="04A0" w:firstRow="1" w:lastRow="0" w:firstColumn="1" w:lastColumn="0" w:noHBand="0" w:noVBand="1"/>
      </w:tblPr>
      <w:tblGrid>
        <w:gridCol w:w="1092"/>
        <w:gridCol w:w="899"/>
        <w:gridCol w:w="992"/>
        <w:gridCol w:w="1225"/>
        <w:gridCol w:w="1043"/>
        <w:gridCol w:w="992"/>
        <w:gridCol w:w="1134"/>
        <w:gridCol w:w="1132"/>
        <w:gridCol w:w="990"/>
      </w:tblGrid>
      <w:tr w:rsidR="00DB5AB5" w:rsidRPr="00935A6D" w:rsidTr="00DB5AB5">
        <w:trPr>
          <w:trHeight w:val="280"/>
        </w:trPr>
        <w:tc>
          <w:tcPr>
            <w:tcW w:w="575" w:type="pct"/>
            <w:tcBorders>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Comparison</w:t>
            </w:r>
          </w:p>
        </w:tc>
        <w:tc>
          <w:tcPr>
            <w:tcW w:w="473" w:type="pct"/>
            <w:tcBorders>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Number of studies</w:t>
            </w:r>
          </w:p>
        </w:tc>
        <w:tc>
          <w:tcPr>
            <w:tcW w:w="522" w:type="pct"/>
            <w:tcBorders>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Within-study bias</w:t>
            </w:r>
          </w:p>
        </w:tc>
        <w:tc>
          <w:tcPr>
            <w:tcW w:w="645" w:type="pct"/>
            <w:tcBorders>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Reporting bias</w:t>
            </w:r>
          </w:p>
        </w:tc>
        <w:tc>
          <w:tcPr>
            <w:tcW w:w="549" w:type="pct"/>
            <w:tcBorders>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Indirectness</w:t>
            </w:r>
          </w:p>
        </w:tc>
        <w:tc>
          <w:tcPr>
            <w:tcW w:w="522" w:type="pct"/>
            <w:tcBorders>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Imprecision</w:t>
            </w:r>
          </w:p>
        </w:tc>
        <w:tc>
          <w:tcPr>
            <w:tcW w:w="597" w:type="pct"/>
            <w:tcBorders>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Heterogeneity</w:t>
            </w:r>
          </w:p>
        </w:tc>
        <w:tc>
          <w:tcPr>
            <w:tcW w:w="596" w:type="pct"/>
            <w:tcBorders>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Incoherence</w:t>
            </w:r>
          </w:p>
        </w:tc>
        <w:tc>
          <w:tcPr>
            <w:tcW w:w="523" w:type="pct"/>
            <w:tcBorders>
              <w:bottom w:val="single" w:sz="4" w:space="0" w:color="auto"/>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Confidence rating</w:t>
            </w:r>
          </w:p>
        </w:tc>
      </w:tr>
      <w:tr w:rsidR="00DB5AB5" w:rsidRPr="00935A6D" w:rsidTr="00DB5AB5">
        <w:trPr>
          <w:trHeight w:val="280"/>
        </w:trPr>
        <w:tc>
          <w:tcPr>
            <w:tcW w:w="575" w:type="pct"/>
            <w:tcBorders>
              <w:top w:val="single" w:sz="4" w:space="0" w:color="auto"/>
              <w:bottom w:val="nil"/>
            </w:tcBorders>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1:03</w:t>
            </w:r>
          </w:p>
        </w:tc>
        <w:tc>
          <w:tcPr>
            <w:tcW w:w="473" w:type="pct"/>
            <w:tcBorders>
              <w:top w:val="single" w:sz="4" w:space="0" w:color="auto"/>
              <w:bottom w:val="nil"/>
            </w:tcBorders>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22" w:type="pct"/>
            <w:tcBorders>
              <w:top w:val="single" w:sz="4" w:space="0" w:color="auto"/>
              <w:bottom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tcBorders>
              <w:top w:val="single" w:sz="4" w:space="0" w:color="auto"/>
              <w:bottom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tcBorders>
              <w:top w:val="single" w:sz="4" w:space="0" w:color="auto"/>
              <w:bottom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tcBorders>
              <w:top w:val="single" w:sz="4" w:space="0" w:color="auto"/>
              <w:bottom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tcBorders>
              <w:top w:val="single" w:sz="4" w:space="0" w:color="auto"/>
              <w:bottom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tcBorders>
              <w:top w:val="single" w:sz="4" w:space="0" w:color="auto"/>
              <w:bottom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tcBorders>
              <w:top w:val="single" w:sz="4" w:space="0" w:color="auto"/>
              <w:bottom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tcBorders>
              <w:top w:val="nil"/>
            </w:tcBorders>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1:04</w:t>
            </w:r>
          </w:p>
        </w:tc>
        <w:tc>
          <w:tcPr>
            <w:tcW w:w="473" w:type="pct"/>
            <w:tcBorders>
              <w:top w:val="nil"/>
            </w:tcBorders>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6</w:t>
            </w:r>
          </w:p>
        </w:tc>
        <w:tc>
          <w:tcPr>
            <w:tcW w:w="522" w:type="pct"/>
            <w:tcBorders>
              <w:top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645" w:type="pct"/>
            <w:tcBorders>
              <w:top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tcBorders>
              <w:top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tcBorders>
              <w:top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7" w:type="pct"/>
            <w:tcBorders>
              <w:top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tcBorders>
              <w:top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tcBorders>
              <w:top w:val="nil"/>
            </w:tcBorders>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1:05</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1:06</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5</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1:07</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8</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6</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1:11</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15</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1:12</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9</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2:04</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2:06</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4:07</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10:06</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11:03</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11:06</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11:07</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lastRenderedPageBreak/>
              <w:t>12:02</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12:03</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1:02</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2:03</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2:05</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2:07</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10:02</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11:02</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3:04</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3:05</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3:06</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3:07</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10:03</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4:05</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4:06</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10:04</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11:04</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lastRenderedPageBreak/>
              <w:t>12:04</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5:06</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5:07</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5:08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5:09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10:05</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11:05</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12:05</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6:07</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6:08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6:09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12:06</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7:08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7:09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10:07</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12:07</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8:09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12:08</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lastRenderedPageBreak/>
              <w:t>12:09</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10:11</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10:12</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DB5AB5" w:rsidRPr="00935A6D" w:rsidTr="00DB5AB5">
        <w:trPr>
          <w:trHeight w:val="280"/>
        </w:trPr>
        <w:tc>
          <w:tcPr>
            <w:tcW w:w="575"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11:12</w:t>
            </w:r>
          </w:p>
        </w:tc>
        <w:tc>
          <w:tcPr>
            <w:tcW w:w="473" w:type="pct"/>
            <w:shd w:val="clear" w:color="auto" w:fill="auto"/>
            <w:noWrap/>
            <w:vAlign w:val="center"/>
            <w:hideMark/>
          </w:tcPr>
          <w:p w:rsidR="00F8018D" w:rsidRPr="00935A6D" w:rsidRDefault="00F8018D" w:rsidP="00DB5AB5">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645"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Undetected</w:t>
            </w:r>
          </w:p>
        </w:tc>
        <w:tc>
          <w:tcPr>
            <w:tcW w:w="549"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7"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F8018D" w:rsidRPr="00935A6D" w:rsidRDefault="00F8018D" w:rsidP="00DB5AB5">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bl>
    <w:p w:rsidR="00F8018D" w:rsidRDefault="00F8018D" w:rsidP="00F8018D">
      <w:pPr>
        <w:autoSpaceDE w:val="0"/>
        <w:autoSpaceDN w:val="0"/>
        <w:adjustRightInd w:val="0"/>
        <w:jc w:val="left"/>
        <w:rPr>
          <w:rFonts w:ascii="Times New Roman" w:hAnsi="Times New Roman" w:cs="Times New Roman"/>
          <w:b/>
          <w:color w:val="000000"/>
          <w:sz w:val="24"/>
          <w:szCs w:val="24"/>
        </w:rPr>
      </w:pPr>
    </w:p>
    <w:p w:rsidR="00DB5AB5" w:rsidRDefault="00DB5AB5" w:rsidP="002A5715">
      <w:pPr>
        <w:autoSpaceDE w:val="0"/>
        <w:autoSpaceDN w:val="0"/>
        <w:adjustRightInd w:val="0"/>
        <w:jc w:val="left"/>
        <w:rPr>
          <w:rFonts w:ascii="Times New Roman" w:hAnsi="Times New Roman" w:cs="Times New Roman"/>
          <w:b/>
          <w:color w:val="000000"/>
          <w:sz w:val="24"/>
          <w:szCs w:val="24"/>
        </w:rPr>
        <w:sectPr w:rsidR="00DB5AB5">
          <w:pgSz w:w="11906" w:h="16838"/>
          <w:pgMar w:top="1440" w:right="1800" w:bottom="1440" w:left="1800" w:header="851" w:footer="992" w:gutter="0"/>
          <w:cols w:space="425"/>
          <w:docGrid w:type="lines" w:linePitch="312"/>
        </w:sectPr>
      </w:pPr>
    </w:p>
    <w:p w:rsidR="00DB5AB5" w:rsidRPr="00444961" w:rsidRDefault="00DB5AB5" w:rsidP="00172ABA">
      <w:pPr>
        <w:pStyle w:val="2"/>
        <w:rPr>
          <w:rFonts w:ascii="Times New Roman" w:hAnsi="Times New Roman" w:cs="Times New Roman"/>
          <w:sz w:val="24"/>
          <w:szCs w:val="24"/>
        </w:rPr>
      </w:pPr>
      <w:bookmarkStart w:id="78" w:name="_Toc74521953"/>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E5606B" w:rsidRPr="00444961">
        <w:rPr>
          <w:rFonts w:ascii="Times New Roman" w:hAnsi="Times New Roman" w:cs="Times New Roman"/>
          <w:sz w:val="24"/>
          <w:szCs w:val="24"/>
        </w:rPr>
        <w:t>21</w:t>
      </w:r>
      <w:r w:rsidRPr="00444961">
        <w:rPr>
          <w:rFonts w:ascii="Times New Roman" w:hAnsi="Times New Roman" w:cs="Times New Roman"/>
          <w:sz w:val="24"/>
          <w:szCs w:val="24"/>
        </w:rPr>
        <w:t>.3</w:t>
      </w:r>
      <w:r w:rsidR="00E5606B" w:rsidRPr="00444961">
        <w:rPr>
          <w:rFonts w:ascii="Times New Roman" w:hAnsi="Times New Roman" w:cs="Times New Roman"/>
          <w:sz w:val="24"/>
          <w:szCs w:val="24"/>
        </w:rPr>
        <w:t>:</w:t>
      </w:r>
      <w:r w:rsidRPr="00444961">
        <w:rPr>
          <w:rFonts w:ascii="Times New Roman" w:hAnsi="Times New Roman" w:cs="Times New Roman"/>
          <w:sz w:val="24"/>
          <w:szCs w:val="24"/>
        </w:rPr>
        <w:t xml:space="preserve"> Details on the CINeMA assessment of each pairwise comparisons for BMD at TH</w:t>
      </w:r>
      <w:bookmarkEnd w:id="78"/>
    </w:p>
    <w:tbl>
      <w:tblPr>
        <w:tblW w:w="5718" w:type="pct"/>
        <w:tblInd w:w="-567" w:type="dxa"/>
        <w:tblBorders>
          <w:top w:val="single" w:sz="4" w:space="0" w:color="auto"/>
          <w:bottom w:val="single" w:sz="4" w:space="0" w:color="auto"/>
        </w:tblBorders>
        <w:tblLayout w:type="fixed"/>
        <w:tblLook w:val="04A0" w:firstRow="1" w:lastRow="0" w:firstColumn="1" w:lastColumn="0" w:noHBand="0" w:noVBand="1"/>
      </w:tblPr>
      <w:tblGrid>
        <w:gridCol w:w="1091"/>
        <w:gridCol w:w="1112"/>
        <w:gridCol w:w="1078"/>
        <w:gridCol w:w="923"/>
        <w:gridCol w:w="1045"/>
        <w:gridCol w:w="992"/>
        <w:gridCol w:w="1132"/>
        <w:gridCol w:w="1132"/>
        <w:gridCol w:w="994"/>
      </w:tblGrid>
      <w:tr w:rsidR="003E1524" w:rsidRPr="00935A6D" w:rsidTr="003E1524">
        <w:trPr>
          <w:trHeight w:val="280"/>
        </w:trPr>
        <w:tc>
          <w:tcPr>
            <w:tcW w:w="574" w:type="pct"/>
            <w:tcBorders>
              <w:top w:val="single" w:sz="4" w:space="0" w:color="auto"/>
              <w:bottom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Comparison</w:t>
            </w:r>
          </w:p>
        </w:tc>
        <w:tc>
          <w:tcPr>
            <w:tcW w:w="585" w:type="pct"/>
            <w:tcBorders>
              <w:top w:val="single" w:sz="4" w:space="0" w:color="auto"/>
              <w:bottom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Number of studies</w:t>
            </w:r>
          </w:p>
        </w:tc>
        <w:tc>
          <w:tcPr>
            <w:tcW w:w="567" w:type="pct"/>
            <w:tcBorders>
              <w:top w:val="single" w:sz="4" w:space="0" w:color="auto"/>
              <w:bottom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Within-study bias</w:t>
            </w:r>
          </w:p>
        </w:tc>
        <w:tc>
          <w:tcPr>
            <w:tcW w:w="486" w:type="pct"/>
            <w:tcBorders>
              <w:top w:val="single" w:sz="4" w:space="0" w:color="auto"/>
              <w:bottom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Reporting bias</w:t>
            </w:r>
          </w:p>
        </w:tc>
        <w:tc>
          <w:tcPr>
            <w:tcW w:w="550" w:type="pct"/>
            <w:tcBorders>
              <w:top w:val="single" w:sz="4" w:space="0" w:color="auto"/>
              <w:bottom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Indirectness</w:t>
            </w:r>
          </w:p>
        </w:tc>
        <w:tc>
          <w:tcPr>
            <w:tcW w:w="522" w:type="pct"/>
            <w:tcBorders>
              <w:top w:val="single" w:sz="4" w:space="0" w:color="auto"/>
              <w:bottom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Imprecision</w:t>
            </w:r>
          </w:p>
        </w:tc>
        <w:tc>
          <w:tcPr>
            <w:tcW w:w="596" w:type="pct"/>
            <w:tcBorders>
              <w:top w:val="single" w:sz="4" w:space="0" w:color="auto"/>
              <w:bottom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Heterogeneity</w:t>
            </w:r>
          </w:p>
        </w:tc>
        <w:tc>
          <w:tcPr>
            <w:tcW w:w="596" w:type="pct"/>
            <w:tcBorders>
              <w:top w:val="single" w:sz="4" w:space="0" w:color="auto"/>
              <w:bottom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Incoherence</w:t>
            </w:r>
          </w:p>
        </w:tc>
        <w:tc>
          <w:tcPr>
            <w:tcW w:w="523" w:type="pct"/>
            <w:tcBorders>
              <w:top w:val="single" w:sz="4" w:space="0" w:color="auto"/>
              <w:bottom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Confidence rating</w:t>
            </w:r>
          </w:p>
        </w:tc>
      </w:tr>
      <w:tr w:rsidR="003E1524" w:rsidRPr="00935A6D" w:rsidTr="003E1524">
        <w:trPr>
          <w:trHeight w:val="280"/>
        </w:trPr>
        <w:tc>
          <w:tcPr>
            <w:tcW w:w="574" w:type="pct"/>
            <w:tcBorders>
              <w:top w:val="single" w:sz="4" w:space="0" w:color="auto"/>
            </w:tcBorders>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1:03</w:t>
            </w:r>
          </w:p>
        </w:tc>
        <w:tc>
          <w:tcPr>
            <w:tcW w:w="585" w:type="pct"/>
            <w:tcBorders>
              <w:top w:val="single" w:sz="4" w:space="0" w:color="auto"/>
            </w:tcBorders>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67" w:type="pct"/>
            <w:tcBorders>
              <w:top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tcBorders>
              <w:top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tcBorders>
              <w:top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tcBorders>
              <w:top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tcBorders>
              <w:top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tcBorders>
              <w:top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tcBorders>
              <w:top w:val="single" w:sz="4" w:space="0" w:color="auto"/>
            </w:tcBorders>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1:04</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1:06</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1:07</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1:08</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1:11</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8</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1:12</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5</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4:08</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11:03</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11:06</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12:02</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12:03</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1:02</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2:03</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2:04</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2:06</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lastRenderedPageBreak/>
              <w:t>2:07</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2:08</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2:09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10:02</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11:02</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3:04</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3:06</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3:07</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3:08</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3:09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10:03</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4:06</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4:07</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4:09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10:04</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11:04</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12:04</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6:07</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6:08</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6:09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10:06</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12:06</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lastRenderedPageBreak/>
              <w:t>7:08</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7:09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10:07</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11:07</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12:07</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8:09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10:08</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11:08</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12:08</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12:09</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10:11</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10:12</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r w:rsidR="003E1524" w:rsidRPr="00935A6D" w:rsidTr="003E1524">
        <w:trPr>
          <w:trHeight w:val="280"/>
        </w:trPr>
        <w:tc>
          <w:tcPr>
            <w:tcW w:w="574"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11:12</w:t>
            </w:r>
          </w:p>
        </w:tc>
        <w:tc>
          <w:tcPr>
            <w:tcW w:w="585" w:type="pct"/>
            <w:shd w:val="clear" w:color="auto" w:fill="auto"/>
            <w:noWrap/>
            <w:vAlign w:val="center"/>
            <w:hideMark/>
          </w:tcPr>
          <w:p w:rsidR="003E1524" w:rsidRPr="00935A6D" w:rsidRDefault="003E1524" w:rsidP="00E840E8">
            <w:pPr>
              <w:widowControl/>
              <w:jc w:val="righ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0</w:t>
            </w:r>
          </w:p>
        </w:tc>
        <w:tc>
          <w:tcPr>
            <w:tcW w:w="567"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Some concerns</w:t>
            </w:r>
          </w:p>
        </w:tc>
        <w:tc>
          <w:tcPr>
            <w:tcW w:w="48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Suspected</w:t>
            </w:r>
          </w:p>
        </w:tc>
        <w:tc>
          <w:tcPr>
            <w:tcW w:w="550"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2"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Major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96"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No concerns</w:t>
            </w:r>
          </w:p>
        </w:tc>
        <w:tc>
          <w:tcPr>
            <w:tcW w:w="523" w:type="pct"/>
            <w:shd w:val="clear" w:color="auto" w:fill="auto"/>
            <w:noWrap/>
            <w:vAlign w:val="center"/>
            <w:hideMark/>
          </w:tcPr>
          <w:p w:rsidR="003E1524" w:rsidRPr="00935A6D" w:rsidRDefault="003E1524" w:rsidP="00E840E8">
            <w:pPr>
              <w:widowControl/>
              <w:jc w:val="left"/>
              <w:rPr>
                <w:rFonts w:ascii="Times New Roman" w:eastAsia="等线" w:hAnsi="Times New Roman" w:cs="Times New Roman"/>
                <w:color w:val="000000"/>
                <w:kern w:val="0"/>
                <w:sz w:val="16"/>
                <w:szCs w:val="16"/>
              </w:rPr>
            </w:pPr>
            <w:r w:rsidRPr="00935A6D">
              <w:rPr>
                <w:rFonts w:ascii="Times New Roman" w:eastAsia="等线" w:hAnsi="Times New Roman" w:cs="Times New Roman"/>
                <w:color w:val="000000"/>
                <w:kern w:val="0"/>
                <w:sz w:val="16"/>
                <w:szCs w:val="16"/>
              </w:rPr>
              <w:t>Very low</w:t>
            </w:r>
          </w:p>
        </w:tc>
      </w:tr>
    </w:tbl>
    <w:p w:rsidR="006E0880" w:rsidRDefault="006E0880" w:rsidP="00DB5AB5">
      <w:pPr>
        <w:autoSpaceDE w:val="0"/>
        <w:autoSpaceDN w:val="0"/>
        <w:adjustRightInd w:val="0"/>
        <w:jc w:val="left"/>
        <w:rPr>
          <w:rFonts w:ascii="Times New Roman" w:hAnsi="Times New Roman" w:cs="Times New Roman"/>
          <w:b/>
          <w:color w:val="000000"/>
          <w:sz w:val="24"/>
          <w:szCs w:val="24"/>
        </w:rPr>
        <w:sectPr w:rsidR="006E0880">
          <w:pgSz w:w="11906" w:h="16838"/>
          <w:pgMar w:top="1440" w:right="1800" w:bottom="1440" w:left="1800" w:header="851" w:footer="992" w:gutter="0"/>
          <w:cols w:space="425"/>
          <w:docGrid w:type="lines" w:linePitch="312"/>
        </w:sectPr>
      </w:pPr>
    </w:p>
    <w:p w:rsidR="00F8018D" w:rsidRPr="00444961" w:rsidRDefault="006E0880" w:rsidP="00172ABA">
      <w:pPr>
        <w:pStyle w:val="2"/>
        <w:rPr>
          <w:rFonts w:ascii="Times New Roman" w:hAnsi="Times New Roman" w:cs="Times New Roman"/>
          <w:sz w:val="24"/>
          <w:szCs w:val="24"/>
        </w:rPr>
      </w:pPr>
      <w:bookmarkStart w:id="79" w:name="_Toc74521954"/>
      <w:r w:rsidRPr="00444961">
        <w:rPr>
          <w:rFonts w:ascii="Times New Roman" w:hAnsi="Times New Roman" w:cs="Times New Roman" w:hint="eastAsia"/>
          <w:sz w:val="24"/>
          <w:szCs w:val="24"/>
        </w:rPr>
        <w:lastRenderedPageBreak/>
        <w:t>A</w:t>
      </w:r>
      <w:r w:rsidRPr="00444961">
        <w:rPr>
          <w:rFonts w:ascii="Times New Roman" w:hAnsi="Times New Roman" w:cs="Times New Roman"/>
          <w:sz w:val="24"/>
          <w:szCs w:val="24"/>
        </w:rPr>
        <w:t xml:space="preserve">ppendix </w:t>
      </w:r>
      <w:r w:rsidR="00E5606B" w:rsidRPr="00444961">
        <w:rPr>
          <w:rFonts w:ascii="Times New Roman" w:hAnsi="Times New Roman" w:cs="Times New Roman"/>
          <w:sz w:val="24"/>
          <w:szCs w:val="24"/>
        </w:rPr>
        <w:t>22:</w:t>
      </w:r>
      <w:r w:rsidRPr="00444961">
        <w:rPr>
          <w:rFonts w:ascii="Times New Roman" w:hAnsi="Times New Roman" w:cs="Times New Roman"/>
          <w:sz w:val="24"/>
          <w:szCs w:val="24"/>
        </w:rPr>
        <w:t xml:space="preserve"> Funnel plot for the BMT at </w:t>
      </w:r>
      <w:r w:rsidR="003670A7" w:rsidRPr="00444961">
        <w:rPr>
          <w:rFonts w:ascii="Times New Roman" w:hAnsi="Times New Roman" w:cs="Times New Roman"/>
          <w:sz w:val="24"/>
          <w:szCs w:val="24"/>
        </w:rPr>
        <w:t>(A) LS, (B) FN, and (C) FN</w:t>
      </w:r>
      <w:r w:rsidRPr="00444961">
        <w:rPr>
          <w:rFonts w:ascii="Times New Roman" w:hAnsi="Times New Roman" w:cs="Times New Roman"/>
          <w:sz w:val="24"/>
          <w:szCs w:val="24"/>
        </w:rPr>
        <w:t xml:space="preserve"> network</w:t>
      </w:r>
      <w:bookmarkEnd w:id="79"/>
    </w:p>
    <w:p w:rsidR="003670A7" w:rsidRPr="00444961" w:rsidRDefault="003670A7" w:rsidP="002A5715">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t>A.</w:t>
      </w:r>
    </w:p>
    <w:p w:rsidR="006E0880" w:rsidRPr="006E0880" w:rsidRDefault="006E0880" w:rsidP="006E0880">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232903" cy="366649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 漏斗.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48276" cy="3677262"/>
                    </a:xfrm>
                    <a:prstGeom prst="rect">
                      <a:avLst/>
                    </a:prstGeom>
                  </pic:spPr>
                </pic:pic>
              </a:graphicData>
            </a:graphic>
          </wp:inline>
        </w:drawing>
      </w:r>
      <w:r w:rsidR="003670A7" w:rsidRPr="00444961">
        <w:rPr>
          <w:rFonts w:ascii="Times New Roman" w:hAnsi="Times New Roman" w:cs="Times New Roman"/>
          <w:color w:val="000000"/>
          <w:sz w:val="20"/>
          <w:szCs w:val="20"/>
        </w:rPr>
        <w:t>B.</w:t>
      </w:r>
    </w:p>
    <w:p w:rsidR="006E0880" w:rsidRDefault="006E0880" w:rsidP="002A5715">
      <w:pPr>
        <w:autoSpaceDE w:val="0"/>
        <w:autoSpaceDN w:val="0"/>
        <w:adjustRightInd w:val="0"/>
        <w:jc w:val="left"/>
        <w:rPr>
          <w:rFonts w:ascii="Times New Roman" w:hAnsi="Times New Roman" w:cs="Times New Roman"/>
          <w:b/>
          <w:color w:val="000000"/>
          <w:sz w:val="24"/>
          <w:szCs w:val="24"/>
        </w:rPr>
        <w:sectPr w:rsidR="006E0880">
          <w:pgSz w:w="11906" w:h="16838"/>
          <w:pgMar w:top="1440" w:right="1800" w:bottom="1440" w:left="1800" w:header="851" w:footer="992" w:gutter="0"/>
          <w:cols w:space="425"/>
          <w:docGrid w:type="lines" w:linePitch="312"/>
        </w:sectPr>
      </w:pPr>
      <w:r>
        <w:rPr>
          <w:rFonts w:ascii="Times New Roman" w:hAnsi="Times New Roman" w:cs="Times New Roman"/>
          <w:b/>
          <w:noProof/>
          <w:color w:val="000000"/>
          <w:sz w:val="24"/>
          <w:szCs w:val="24"/>
        </w:rPr>
        <w:drawing>
          <wp:inline distT="0" distB="0" distL="0" distR="0">
            <wp:extent cx="5349963" cy="389299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N-漏斗.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64323" cy="3903439"/>
                    </a:xfrm>
                    <a:prstGeom prst="rect">
                      <a:avLst/>
                    </a:prstGeom>
                  </pic:spPr>
                </pic:pic>
              </a:graphicData>
            </a:graphic>
          </wp:inline>
        </w:drawing>
      </w:r>
    </w:p>
    <w:p w:rsidR="006E0880" w:rsidRPr="00444961" w:rsidRDefault="003670A7" w:rsidP="006E0880">
      <w:pPr>
        <w:autoSpaceDE w:val="0"/>
        <w:autoSpaceDN w:val="0"/>
        <w:adjustRightInd w:val="0"/>
        <w:jc w:val="left"/>
        <w:rPr>
          <w:rFonts w:ascii="Times New Roman" w:hAnsi="Times New Roman" w:cs="Times New Roman"/>
          <w:color w:val="000000"/>
          <w:sz w:val="20"/>
          <w:szCs w:val="20"/>
        </w:rPr>
      </w:pPr>
      <w:r w:rsidRPr="00444961">
        <w:rPr>
          <w:rFonts w:ascii="Times New Roman" w:hAnsi="Times New Roman" w:cs="Times New Roman"/>
          <w:color w:val="000000"/>
          <w:sz w:val="20"/>
          <w:szCs w:val="20"/>
        </w:rPr>
        <w:lastRenderedPageBreak/>
        <w:t>C.</w:t>
      </w:r>
    </w:p>
    <w:p w:rsidR="00E840E8" w:rsidRDefault="006E0880" w:rsidP="002A5715">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274310" cy="38379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 漏斗.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837940"/>
                    </a:xfrm>
                    <a:prstGeom prst="rect">
                      <a:avLst/>
                    </a:prstGeom>
                  </pic:spPr>
                </pic:pic>
              </a:graphicData>
            </a:graphic>
          </wp:inline>
        </w:drawing>
      </w:r>
    </w:p>
    <w:p w:rsidR="004F4696" w:rsidRDefault="004F4696" w:rsidP="002A5715">
      <w:pPr>
        <w:autoSpaceDE w:val="0"/>
        <w:autoSpaceDN w:val="0"/>
        <w:adjustRightInd w:val="0"/>
        <w:jc w:val="left"/>
        <w:rPr>
          <w:rFonts w:ascii="Times New Roman" w:hAnsi="Times New Roman" w:cs="Times New Roman"/>
          <w:b/>
          <w:color w:val="000000"/>
          <w:sz w:val="24"/>
          <w:szCs w:val="24"/>
        </w:rPr>
        <w:sectPr w:rsidR="004F4696">
          <w:pgSz w:w="11906" w:h="16838"/>
          <w:pgMar w:top="1440" w:right="1800" w:bottom="1440" w:left="1800" w:header="851" w:footer="992" w:gutter="0"/>
          <w:cols w:space="425"/>
          <w:docGrid w:type="lines" w:linePitch="312"/>
        </w:sectPr>
      </w:pPr>
    </w:p>
    <w:p w:rsidR="00E840E8" w:rsidRPr="00444961" w:rsidRDefault="004F4696" w:rsidP="00172ABA">
      <w:pPr>
        <w:pStyle w:val="2"/>
        <w:rPr>
          <w:rFonts w:ascii="Times New Roman" w:hAnsi="Times New Roman" w:cs="Times New Roman"/>
          <w:sz w:val="24"/>
          <w:szCs w:val="24"/>
        </w:rPr>
      </w:pPr>
      <w:bookmarkStart w:id="80" w:name="_Toc74521955"/>
      <w:r w:rsidRPr="00444961">
        <w:rPr>
          <w:rFonts w:ascii="Times New Roman" w:hAnsi="Times New Roman" w:cs="Times New Roman" w:hint="eastAsia"/>
          <w:sz w:val="24"/>
          <w:szCs w:val="24"/>
        </w:rPr>
        <w:lastRenderedPageBreak/>
        <w:t>Reference</w:t>
      </w:r>
      <w:bookmarkEnd w:id="80"/>
    </w:p>
    <w:p w:rsidR="0051730B" w:rsidRPr="0051730B" w:rsidRDefault="00E840E8" w:rsidP="0051730B">
      <w:pPr>
        <w:pStyle w:val="EndNoteBibliography"/>
      </w:pPr>
      <w:r>
        <w:rPr>
          <w:rFonts w:ascii="Times New Roman" w:hAnsi="Times New Roman" w:cs="Times New Roman"/>
          <w:b/>
          <w:color w:val="000000"/>
          <w:sz w:val="24"/>
          <w:szCs w:val="24"/>
        </w:rPr>
        <w:fldChar w:fldCharType="begin"/>
      </w:r>
      <w:r>
        <w:rPr>
          <w:rFonts w:ascii="Times New Roman" w:hAnsi="Times New Roman" w:cs="Times New Roman"/>
          <w:b/>
          <w:color w:val="000000"/>
          <w:sz w:val="24"/>
          <w:szCs w:val="24"/>
        </w:rPr>
        <w:instrText xml:space="preserve"> ADDIN EN.REFLIST </w:instrText>
      </w:r>
      <w:r>
        <w:rPr>
          <w:rFonts w:ascii="Times New Roman" w:hAnsi="Times New Roman" w:cs="Times New Roman"/>
          <w:b/>
          <w:color w:val="000000"/>
          <w:sz w:val="24"/>
          <w:szCs w:val="24"/>
        </w:rPr>
        <w:fldChar w:fldCharType="separate"/>
      </w:r>
      <w:r w:rsidR="0051730B" w:rsidRPr="0051730B">
        <w:t>1.</w:t>
      </w:r>
      <w:r w:rsidR="0051730B" w:rsidRPr="0051730B">
        <w:tab/>
        <w:t>Sherrington C, Herbert RD, Maher CG, Moseley AM. PEDro. A database of randomized trials and systematic reviews in physiotherapy. Man Ther. 2000;</w:t>
      </w:r>
      <w:r w:rsidR="0051730B" w:rsidRPr="0051730B">
        <w:rPr>
          <w:b/>
        </w:rPr>
        <w:t>5</w:t>
      </w:r>
      <w:r w:rsidR="0051730B" w:rsidRPr="0051730B">
        <w:t>(4):223-226.</w:t>
      </w:r>
    </w:p>
    <w:p w:rsidR="0051730B" w:rsidRPr="0051730B" w:rsidRDefault="0051730B" w:rsidP="0051730B">
      <w:pPr>
        <w:pStyle w:val="EndNoteBibliography"/>
      </w:pPr>
      <w:r w:rsidRPr="0051730B">
        <w:t>2.</w:t>
      </w:r>
      <w:r w:rsidRPr="0051730B">
        <w:tab/>
        <w:t>Ribeiro de Avila V, Bento T, Gomes W, Leitao J, Fortuna de Sousa N. Functional Outcomes and Quality of Life After Ankle Fracture Surgically Treated: A Systematic Review. J Sport Rehabil. 2018;</w:t>
      </w:r>
      <w:r w:rsidRPr="0051730B">
        <w:rPr>
          <w:b/>
        </w:rPr>
        <w:t>27</w:t>
      </w:r>
      <w:r w:rsidRPr="0051730B">
        <w:t>(3):274-283.</w:t>
      </w:r>
    </w:p>
    <w:p w:rsidR="0051730B" w:rsidRPr="0051730B" w:rsidRDefault="0051730B" w:rsidP="0051730B">
      <w:pPr>
        <w:pStyle w:val="EndNoteBibliography"/>
      </w:pPr>
      <w:r w:rsidRPr="0051730B">
        <w:t>3.</w:t>
      </w:r>
      <w:r w:rsidRPr="0051730B">
        <w:tab/>
        <w:t>Higgins JPT TJ, Chandler J, Cumpston M, Li T, Page MJ, Welch VA (editors). Cochrane Handbook for Systematic Reviews of Interventions. 2nd Edition. Chichester (UK): John Wiley &amp; Sons. 2019.</w:t>
      </w:r>
    </w:p>
    <w:p w:rsidR="0051730B" w:rsidRPr="0051730B" w:rsidRDefault="0051730B" w:rsidP="0051730B">
      <w:pPr>
        <w:pStyle w:val="EndNoteBibliography"/>
      </w:pPr>
      <w:r w:rsidRPr="0051730B">
        <w:t>4.</w:t>
      </w:r>
      <w:r w:rsidRPr="0051730B">
        <w:tab/>
        <w:t>G L, A A. Assessing Evidence Inconsistency in Mixed Treatment Comparisons. J Am Statist Assoc. 2006;</w:t>
      </w:r>
      <w:r w:rsidRPr="0051730B">
        <w:rPr>
          <w:b/>
        </w:rPr>
        <w:t>101</w:t>
      </w:r>
      <w:r w:rsidRPr="0051730B">
        <w:t>:447-449.</w:t>
      </w:r>
    </w:p>
    <w:p w:rsidR="0051730B" w:rsidRPr="0051730B" w:rsidRDefault="0051730B" w:rsidP="0051730B">
      <w:pPr>
        <w:pStyle w:val="EndNoteBibliography"/>
      </w:pPr>
      <w:r w:rsidRPr="0051730B">
        <w:t>5.</w:t>
      </w:r>
      <w:r w:rsidRPr="0051730B">
        <w:tab/>
        <w:t>van Valkenhoef G, Dias S, Ades AE, Welton NJ. Automated generation of node-splitting models for assessment of inconsistency in network meta-analysis. Res Synth Methods. 2016;</w:t>
      </w:r>
      <w:r w:rsidRPr="0051730B">
        <w:rPr>
          <w:b/>
        </w:rPr>
        <w:t>7</w:t>
      </w:r>
      <w:r w:rsidRPr="0051730B">
        <w:t>(1):80-93.</w:t>
      </w:r>
    </w:p>
    <w:p w:rsidR="006E0880" w:rsidRPr="006E0880" w:rsidRDefault="00E840E8" w:rsidP="002A5715">
      <w:pPr>
        <w:autoSpaceDE w:val="0"/>
        <w:autoSpaceDN w:val="0"/>
        <w:adjustRightInd w:val="0"/>
        <w:jc w:val="left"/>
        <w:rPr>
          <w:rFonts w:ascii="Times New Roman" w:hAnsi="Times New Roman" w:cs="Times New Roman"/>
          <w:b/>
          <w:color w:val="000000"/>
          <w:sz w:val="24"/>
          <w:szCs w:val="24"/>
        </w:rPr>
      </w:pPr>
      <w:r>
        <w:rPr>
          <w:rFonts w:ascii="Times New Roman" w:hAnsi="Times New Roman" w:cs="Times New Roman"/>
          <w:b/>
          <w:color w:val="000000"/>
          <w:sz w:val="24"/>
          <w:szCs w:val="24"/>
        </w:rPr>
        <w:fldChar w:fldCharType="end"/>
      </w:r>
    </w:p>
    <w:sectPr w:rsidR="006E0880" w:rsidRPr="006E08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361" w:rsidRDefault="00CC1361" w:rsidP="00EE3DB5">
      <w:r>
        <w:separator/>
      </w:r>
    </w:p>
  </w:endnote>
  <w:endnote w:type="continuationSeparator" w:id="0">
    <w:p w:rsidR="00CC1361" w:rsidRDefault="00CC1361" w:rsidP="00EE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934842"/>
      <w:docPartObj>
        <w:docPartGallery w:val="Page Numbers (Bottom of Page)"/>
        <w:docPartUnique/>
      </w:docPartObj>
    </w:sdtPr>
    <w:sdtContent>
      <w:p w:rsidR="007C290F" w:rsidRDefault="007C290F">
        <w:pPr>
          <w:pStyle w:val="a6"/>
          <w:jc w:val="center"/>
        </w:pPr>
        <w:r>
          <w:fldChar w:fldCharType="begin"/>
        </w:r>
        <w:r>
          <w:instrText>PAGE   \* MERGEFORMAT</w:instrText>
        </w:r>
        <w:r>
          <w:fldChar w:fldCharType="separate"/>
        </w:r>
        <w:r w:rsidR="00FD0796" w:rsidRPr="00FD0796">
          <w:rPr>
            <w:noProof/>
            <w:lang w:val="zh-CN"/>
          </w:rPr>
          <w:t>56</w:t>
        </w:r>
        <w:r>
          <w:fldChar w:fldCharType="end"/>
        </w:r>
      </w:p>
    </w:sdtContent>
  </w:sdt>
  <w:p w:rsidR="007C290F" w:rsidRDefault="007C290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361" w:rsidRDefault="00CC1361" w:rsidP="00EE3DB5">
      <w:r>
        <w:separator/>
      </w:r>
    </w:p>
  </w:footnote>
  <w:footnote w:type="continuationSeparator" w:id="0">
    <w:p w:rsidR="00CC1361" w:rsidRDefault="00CC1361" w:rsidP="00EE3D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ancet&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p5r2s9pf5dtpex0dmv5a5ivx5ev2x5pavv&quot;&gt;exercise for op&lt;record-ids&gt;&lt;item&gt;3332&lt;/item&gt;&lt;item&gt;3355&lt;/item&gt;&lt;item&gt;3356&lt;/item&gt;&lt;item&gt;3357&lt;/item&gt;&lt;/record-ids&gt;&lt;/item&gt;&lt;/Libraries&gt;"/>
  </w:docVars>
  <w:rsids>
    <w:rsidRoot w:val="000D0F9A"/>
    <w:rsid w:val="000A1BD4"/>
    <w:rsid w:val="000A312B"/>
    <w:rsid w:val="000D0F9A"/>
    <w:rsid w:val="00104993"/>
    <w:rsid w:val="00172ABA"/>
    <w:rsid w:val="002219E5"/>
    <w:rsid w:val="002632D5"/>
    <w:rsid w:val="00284105"/>
    <w:rsid w:val="002A42CB"/>
    <w:rsid w:val="002A5715"/>
    <w:rsid w:val="002B751B"/>
    <w:rsid w:val="002C7AE5"/>
    <w:rsid w:val="002E1C7F"/>
    <w:rsid w:val="002E5241"/>
    <w:rsid w:val="002E7DFF"/>
    <w:rsid w:val="003670A7"/>
    <w:rsid w:val="00392725"/>
    <w:rsid w:val="003E1524"/>
    <w:rsid w:val="003E6C55"/>
    <w:rsid w:val="003F3DC2"/>
    <w:rsid w:val="00444961"/>
    <w:rsid w:val="004912EB"/>
    <w:rsid w:val="004F4696"/>
    <w:rsid w:val="0051730B"/>
    <w:rsid w:val="005513A0"/>
    <w:rsid w:val="005E787A"/>
    <w:rsid w:val="005E7F2A"/>
    <w:rsid w:val="00684772"/>
    <w:rsid w:val="006D0590"/>
    <w:rsid w:val="006E0880"/>
    <w:rsid w:val="006E2CD6"/>
    <w:rsid w:val="00710C65"/>
    <w:rsid w:val="00713861"/>
    <w:rsid w:val="007602BC"/>
    <w:rsid w:val="007A2FC9"/>
    <w:rsid w:val="007A3B9F"/>
    <w:rsid w:val="007C290F"/>
    <w:rsid w:val="007F7EED"/>
    <w:rsid w:val="00833882"/>
    <w:rsid w:val="00891993"/>
    <w:rsid w:val="00893F33"/>
    <w:rsid w:val="008D2D76"/>
    <w:rsid w:val="00902778"/>
    <w:rsid w:val="0090421C"/>
    <w:rsid w:val="00926BAF"/>
    <w:rsid w:val="00A40784"/>
    <w:rsid w:val="00B44CDF"/>
    <w:rsid w:val="00B95990"/>
    <w:rsid w:val="00C27154"/>
    <w:rsid w:val="00C350AE"/>
    <w:rsid w:val="00CC1361"/>
    <w:rsid w:val="00D4301F"/>
    <w:rsid w:val="00DB398B"/>
    <w:rsid w:val="00DB5AB5"/>
    <w:rsid w:val="00DC1DFB"/>
    <w:rsid w:val="00DC4C68"/>
    <w:rsid w:val="00DC5883"/>
    <w:rsid w:val="00E5606B"/>
    <w:rsid w:val="00E6180A"/>
    <w:rsid w:val="00E840E8"/>
    <w:rsid w:val="00EE3DB5"/>
    <w:rsid w:val="00F7218D"/>
    <w:rsid w:val="00F7342E"/>
    <w:rsid w:val="00F8018D"/>
    <w:rsid w:val="00FB532F"/>
    <w:rsid w:val="00FD0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CF9B4"/>
  <w15:chartTrackingRefBased/>
  <w15:docId w15:val="{3F3364B2-C2B5-4F5E-8700-F1C222837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18D"/>
    <w:pPr>
      <w:widowControl w:val="0"/>
      <w:jc w:val="both"/>
    </w:pPr>
  </w:style>
  <w:style w:type="paragraph" w:styleId="1">
    <w:name w:val="heading 1"/>
    <w:basedOn w:val="a"/>
    <w:next w:val="a"/>
    <w:link w:val="10"/>
    <w:uiPriority w:val="9"/>
    <w:qFormat/>
    <w:rsid w:val="00172AB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72AB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D0F9A"/>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D0F9A"/>
    <w:rPr>
      <w:rFonts w:ascii="等线" w:eastAsia="等线" w:hAnsi="等线"/>
      <w:noProof/>
      <w:sz w:val="20"/>
    </w:rPr>
  </w:style>
  <w:style w:type="paragraph" w:customStyle="1" w:styleId="EndNoteBibliography">
    <w:name w:val="EndNote Bibliography"/>
    <w:basedOn w:val="a"/>
    <w:link w:val="EndNoteBibliography0"/>
    <w:rsid w:val="000D0F9A"/>
    <w:rPr>
      <w:rFonts w:ascii="等线" w:eastAsia="等线" w:hAnsi="等线"/>
      <w:noProof/>
      <w:sz w:val="20"/>
    </w:rPr>
  </w:style>
  <w:style w:type="character" w:customStyle="1" w:styleId="EndNoteBibliography0">
    <w:name w:val="EndNote Bibliography 字符"/>
    <w:basedOn w:val="a0"/>
    <w:link w:val="EndNoteBibliography"/>
    <w:rsid w:val="000D0F9A"/>
    <w:rPr>
      <w:rFonts w:ascii="等线" w:eastAsia="等线" w:hAnsi="等线"/>
      <w:noProof/>
      <w:sz w:val="20"/>
    </w:rPr>
  </w:style>
  <w:style w:type="table" w:styleId="a3">
    <w:name w:val="Table Grid"/>
    <w:basedOn w:val="a1"/>
    <w:uiPriority w:val="39"/>
    <w:rsid w:val="00C27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E3DB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EE3DB5"/>
    <w:rPr>
      <w:sz w:val="18"/>
      <w:szCs w:val="18"/>
    </w:rPr>
  </w:style>
  <w:style w:type="paragraph" w:styleId="a6">
    <w:name w:val="footer"/>
    <w:basedOn w:val="a"/>
    <w:link w:val="a7"/>
    <w:uiPriority w:val="99"/>
    <w:unhideWhenUsed/>
    <w:rsid w:val="00EE3DB5"/>
    <w:pPr>
      <w:tabs>
        <w:tab w:val="center" w:pos="4153"/>
        <w:tab w:val="right" w:pos="8306"/>
      </w:tabs>
      <w:snapToGrid w:val="0"/>
      <w:jc w:val="left"/>
    </w:pPr>
    <w:rPr>
      <w:sz w:val="18"/>
      <w:szCs w:val="18"/>
    </w:rPr>
  </w:style>
  <w:style w:type="character" w:customStyle="1" w:styleId="a7">
    <w:name w:val="页脚 字符"/>
    <w:basedOn w:val="a0"/>
    <w:link w:val="a6"/>
    <w:uiPriority w:val="99"/>
    <w:rsid w:val="00EE3DB5"/>
    <w:rPr>
      <w:sz w:val="18"/>
      <w:szCs w:val="18"/>
    </w:rPr>
  </w:style>
  <w:style w:type="paragraph" w:customStyle="1" w:styleId="Default">
    <w:name w:val="Default"/>
    <w:rsid w:val="007602BC"/>
    <w:pPr>
      <w:widowControl w:val="0"/>
      <w:autoSpaceDE w:val="0"/>
      <w:autoSpaceDN w:val="0"/>
      <w:adjustRightInd w:val="0"/>
    </w:pPr>
    <w:rPr>
      <w:rFonts w:ascii="等线" w:eastAsia="等线" w:cs="等线"/>
      <w:color w:val="000000"/>
      <w:kern w:val="0"/>
      <w:sz w:val="24"/>
      <w:szCs w:val="24"/>
    </w:rPr>
  </w:style>
  <w:style w:type="character" w:customStyle="1" w:styleId="20">
    <w:name w:val="标题 2 字符"/>
    <w:basedOn w:val="a0"/>
    <w:link w:val="2"/>
    <w:uiPriority w:val="9"/>
    <w:rsid w:val="00172ABA"/>
    <w:rPr>
      <w:rFonts w:asciiTheme="majorHAnsi" w:eastAsiaTheme="majorEastAsia" w:hAnsiTheme="majorHAnsi" w:cstheme="majorBidi"/>
      <w:b/>
      <w:bCs/>
      <w:sz w:val="32"/>
      <w:szCs w:val="32"/>
    </w:rPr>
  </w:style>
  <w:style w:type="character" w:customStyle="1" w:styleId="10">
    <w:name w:val="标题 1 字符"/>
    <w:basedOn w:val="a0"/>
    <w:link w:val="1"/>
    <w:uiPriority w:val="9"/>
    <w:rsid w:val="00172ABA"/>
    <w:rPr>
      <w:b/>
      <w:bCs/>
      <w:kern w:val="44"/>
      <w:sz w:val="44"/>
      <w:szCs w:val="44"/>
    </w:rPr>
  </w:style>
  <w:style w:type="paragraph" w:styleId="TOC">
    <w:name w:val="TOC Heading"/>
    <w:basedOn w:val="1"/>
    <w:next w:val="a"/>
    <w:uiPriority w:val="39"/>
    <w:unhideWhenUsed/>
    <w:qFormat/>
    <w:rsid w:val="00172AB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172ABA"/>
    <w:pPr>
      <w:ind w:leftChars="200" w:left="420"/>
    </w:pPr>
  </w:style>
  <w:style w:type="character" w:styleId="a8">
    <w:name w:val="Hyperlink"/>
    <w:basedOn w:val="a0"/>
    <w:uiPriority w:val="99"/>
    <w:unhideWhenUsed/>
    <w:rsid w:val="00172A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ettings" Target="settings.xml"/><Relationship Id="rId21" Type="http://schemas.openxmlformats.org/officeDocument/2006/relationships/image" Target="media/image14.tiff"/><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94FDE-058A-40B1-88F3-07619F251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69</Pages>
  <Words>16664</Words>
  <Characters>94990</Characters>
  <Application>Microsoft Office Word</Application>
  <DocSecurity>0</DocSecurity>
  <Lines>791</Lines>
  <Paragraphs>222</Paragraphs>
  <ScaleCrop>false</ScaleCrop>
  <Company/>
  <LinksUpToDate>false</LinksUpToDate>
  <CharactersWithSpaces>111432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administer</dc:creator>
  <cp:keywords/>
  <dc:description/>
  <cp:lastModifiedBy>administer</cp:lastModifiedBy>
  <cp:revision>4</cp:revision>
  <cp:lastPrinted>2021-06-16T15:35:00Z</cp:lastPrinted>
  <dcterms:created xsi:type="dcterms:W3CDTF">2021-06-13T15:21:00Z</dcterms:created>
  <dcterms:modified xsi:type="dcterms:W3CDTF">2021-06-16T16:35:00Z</dcterms:modified>
</cp:coreProperties>
</file>