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DA8A" w14:textId="77777777" w:rsidR="009A5630" w:rsidRPr="00F85199" w:rsidRDefault="009A5630" w:rsidP="009A5630">
      <w:pPr>
        <w:pStyle w:val="ImageCaption"/>
      </w:pPr>
      <w:r w:rsidRPr="00F85199">
        <w:t>Figure 1: Flowchart describing participant recruitment in UK Biobank, Generation Scotland: Scottish Family Health Study and FinnGen</w:t>
      </w:r>
    </w:p>
    <w:p w14:paraId="705786F4" w14:textId="77777777" w:rsidR="009A5630" w:rsidRDefault="009A5630" w:rsidP="009A5630">
      <w:pPr>
        <w:pStyle w:val="ImageCaption"/>
      </w:pPr>
    </w:p>
    <w:p w14:paraId="721E43C8" w14:textId="2E8CF81D" w:rsidR="009A5630" w:rsidRPr="00F85199" w:rsidRDefault="009A5630" w:rsidP="009A5630">
      <w:pPr>
        <w:pStyle w:val="ImageCaption"/>
      </w:pPr>
      <w:r w:rsidRPr="00F85199">
        <w:t>Figure 2: Circular Manhattan plot for the association of genetic variants with gallstone disease (43,639 cases and 506,798 controls). Each variant is plotted based on chromosome and position on the X-axis and -log10 P values on the Y-axis. The dashed red line represents genome-wide significance (</w:t>
      </w:r>
      <m:oMath>
        <m:r>
          <w:rPr>
            <w:rFonts w:ascii="Cambria Math" w:hAnsi="Cambria Math"/>
          </w:rPr>
          <m:t>P=5*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</m:oMath>
      <w:r w:rsidRPr="00F85199">
        <w:t>). Variants highlighted in bold were significant on GWA meta-analysis. Other variants were only significant in the UK Biobank cohort. *</w:t>
      </w:r>
      <w:r w:rsidR="00E900C0">
        <w:t>P value</w:t>
      </w:r>
      <w:r w:rsidRPr="00F85199">
        <w:t xml:space="preserve"> at ABCG8 locus has been truncated and is approximately </w:t>
      </w:r>
      <m:oMath>
        <m:r>
          <w:rPr>
            <w:rFonts w:ascii="Cambria Math" w:hAnsi="Cambria Math"/>
          </w:rPr>
          <m:t>2.21*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-715</m:t>
            </m:r>
          </m:sup>
        </m:sSup>
      </m:oMath>
      <w:r w:rsidRPr="00F85199">
        <w:t>.</w:t>
      </w:r>
    </w:p>
    <w:p w14:paraId="219D0627" w14:textId="745A8C0C" w:rsidR="009A5630" w:rsidRDefault="009A5630"/>
    <w:p w14:paraId="47F40871" w14:textId="77777777" w:rsidR="006E38D1" w:rsidRPr="00F85199" w:rsidRDefault="006E38D1" w:rsidP="006E38D1">
      <w:pPr>
        <w:pStyle w:val="ImageCaption"/>
      </w:pPr>
      <w:r w:rsidRPr="00F85199">
        <w:t>Figure 3: Impact of each lithogenic allele on the measured serum cholesterol fractions. Each point represents the beta-coefficient from an age- and sex-adjusted linear regression and the error bar represents the 95% confidence interval. Triglycerides were log-transformed prior to analysis. Chol - Total cholesterol; HDL - high-density lipoprotein; LDL - low-density lipoprotein; trigs - triglycerides.</w:t>
      </w:r>
    </w:p>
    <w:p w14:paraId="50BB9947" w14:textId="58AAA7A0" w:rsidR="006E38D1" w:rsidRDefault="006E38D1"/>
    <w:p w14:paraId="6486012D" w14:textId="6FC2C6C4" w:rsidR="006E38D1" w:rsidRPr="00F85199" w:rsidRDefault="006E38D1" w:rsidP="006E38D1">
      <w:pPr>
        <w:pStyle w:val="ImageCaption"/>
      </w:pPr>
      <w:r w:rsidRPr="00F85199">
        <w:t xml:space="preserve">Figure 4: Odds ratio plot demonstrating odds of gallstones by decile of the polygenic risk score. Each decile of the risk score is compared to the </w:t>
      </w:r>
      <w:r w:rsidR="00A9579C">
        <w:t>group with the lowest risk of gallstones</w:t>
      </w:r>
      <w:r w:rsidRPr="00F85199">
        <w:t xml:space="preserve"> (Decile 1).</w:t>
      </w:r>
    </w:p>
    <w:p w14:paraId="25ED8796" w14:textId="77777777" w:rsidR="006E38D1" w:rsidRDefault="006E38D1"/>
    <w:sectPr w:rsidR="006E3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0"/>
    <w:rsid w:val="006E38D1"/>
    <w:rsid w:val="009A5630"/>
    <w:rsid w:val="00A9579C"/>
    <w:rsid w:val="00AA179B"/>
    <w:rsid w:val="00E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B220"/>
  <w15:chartTrackingRefBased/>
  <w15:docId w15:val="{53CBBFB4-DD9C-4EC4-B27B-DC93A6ED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ageCaption">
    <w:name w:val="Image Caption"/>
    <w:basedOn w:val="Caption"/>
    <w:rsid w:val="009A5630"/>
    <w:pPr>
      <w:spacing w:after="120"/>
    </w:pPr>
    <w:rPr>
      <w:iCs w:val="0"/>
      <w:color w:val="auto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63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FAIRFIELD Cameron</dc:creator>
  <cp:keywords/>
  <dc:description/>
  <cp:lastModifiedBy>FAIRFIELD Cameron</cp:lastModifiedBy>
  <cp:revision>5</cp:revision>
  <dcterms:created xsi:type="dcterms:W3CDTF">2021-07-12T15:37:00Z</dcterms:created>
  <dcterms:modified xsi:type="dcterms:W3CDTF">2021-07-14T10:28:00Z</dcterms:modified>
</cp:coreProperties>
</file>