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134D" w14:textId="1299799C" w:rsidR="002062BB" w:rsidRPr="007D313F" w:rsidRDefault="002062BB" w:rsidP="002062BB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bookmarkStart w:id="0" w:name="_Hlk60829516"/>
      <w:r w:rsidRPr="007D313F">
        <w:rPr>
          <w:rFonts w:ascii="Times New Roman" w:eastAsia="宋体" w:hAnsi="Times New Roman" w:cs="Times New Roman"/>
          <w:b/>
          <w:color w:val="000000"/>
          <w:sz w:val="24"/>
          <w:szCs w:val="24"/>
          <w:shd w:val="clear" w:color="auto" w:fill="FFFFFF"/>
        </w:rPr>
        <w:t>H</w:t>
      </w:r>
      <w:r w:rsidRPr="007D313F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 xml:space="preserve">igh blood uric acid is associated with reduced risk of </w:t>
      </w:r>
      <w:r w:rsidR="000A1CFE" w:rsidRPr="007D313F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 xml:space="preserve">mild </w:t>
      </w:r>
      <w:r w:rsidRPr="007D313F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cognitive impairment among older adults in China: a 9-year prospective cohort study</w:t>
      </w:r>
      <w:bookmarkEnd w:id="0"/>
    </w:p>
    <w:p w14:paraId="1D652E7E" w14:textId="77777777" w:rsidR="002062BB" w:rsidRPr="007D313F" w:rsidRDefault="002062BB" w:rsidP="002062BB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</w:p>
    <w:p w14:paraId="4DB5501E" w14:textId="24DB1A9C" w:rsidR="002062BB" w:rsidRPr="007D313F" w:rsidRDefault="002062BB" w:rsidP="002062BB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Chen Chen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1#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D313F">
        <w:rPr>
          <w:rFonts w:ascii="Times New Roman" w:eastAsia="宋体" w:hAnsi="Times New Roman" w:cs="Times New Roman"/>
          <w:color w:val="333333"/>
          <w:sz w:val="24"/>
          <w:szCs w:val="24"/>
        </w:rPr>
        <w:t>MD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Xueqin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Li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2#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BM;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Yuebin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Lv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A7137" w:rsidRPr="007D313F">
        <w:rPr>
          <w:rFonts w:ascii="Times New Roman" w:eastAsia="宋体" w:hAnsi="Times New Roman" w:cs="Times New Roman"/>
          <w:color w:val="333333"/>
          <w:sz w:val="24"/>
          <w:szCs w:val="24"/>
        </w:rPr>
        <w:t>PhD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Zhaoxue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Yin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, PhD; Feng Zhao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PhD;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Yingchun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Liu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BS;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Chengcheng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Li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MS;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Saisai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Ji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MS;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Jinhui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Zhou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, MS; Yuan Wei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MS;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Xingqi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Cao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MD;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Jiaonan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Wang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1,4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, MD; Heng Gu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, BS; Feng Lu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5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MD;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Zuyun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Liu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*2,6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, PhD; </w:t>
      </w:r>
      <w:proofErr w:type="spellStart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Xiaoming</w:t>
      </w:r>
      <w:proofErr w:type="spellEnd"/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 xml:space="preserve"> Shi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1,4*</w:t>
      </w:r>
      <w:r w:rsidRPr="007D313F"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  <w:t>, PhD</w:t>
      </w:r>
    </w:p>
    <w:p w14:paraId="3FCF7F84" w14:textId="77777777" w:rsidR="002062BB" w:rsidRPr="007D313F" w:rsidRDefault="002062BB" w:rsidP="002062BB">
      <w:pPr>
        <w:adjustRightInd w:val="0"/>
        <w:snapToGrid w:val="0"/>
        <w:spacing w:line="48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  <w:shd w:val="clear" w:color="auto" w:fill="FFFFFF"/>
        </w:rPr>
      </w:pPr>
    </w:p>
    <w:p w14:paraId="73FB52A1" w14:textId="77777777" w:rsidR="00AD3F72" w:rsidRPr="007D313F" w:rsidRDefault="00AD3F72" w:rsidP="00AD3F72">
      <w:pPr>
        <w:widowControl/>
        <w:spacing w:line="48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7D313F">
        <w:rPr>
          <w:rFonts w:ascii="Times New Roman" w:eastAsia="等线" w:hAnsi="Times New Roman" w:cs="Times New Roman"/>
          <w:b/>
          <w:bCs/>
          <w:sz w:val="24"/>
          <w:szCs w:val="24"/>
        </w:rPr>
        <w:t>Supplement information</w:t>
      </w:r>
    </w:p>
    <w:p w14:paraId="0B9DDA6F" w14:textId="77777777" w:rsidR="00AD3F72" w:rsidRPr="007D313F" w:rsidRDefault="00AD3F72" w:rsidP="00AD3F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b/>
          <w:bCs/>
          <w:sz w:val="24"/>
          <w:szCs w:val="24"/>
        </w:rPr>
        <w:t xml:space="preserve">Table S1. </w:t>
      </w:r>
      <w:r w:rsidRPr="007D313F">
        <w:rPr>
          <w:rFonts w:ascii="Times New Roman" w:hAnsi="Times New Roman" w:cs="Times New Roman"/>
          <w:sz w:val="24"/>
          <w:szCs w:val="24"/>
        </w:rPr>
        <w:t>Summary of previous studies on associations of blood UA with cognition and relevant outcomes</w:t>
      </w:r>
    </w:p>
    <w:p w14:paraId="41D19630" w14:textId="77777777" w:rsidR="00AD3F72" w:rsidRPr="007D313F" w:rsidRDefault="00AD3F72" w:rsidP="00AD3F72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 w:rsidRPr="007D313F">
        <w:rPr>
          <w:rFonts w:ascii="Times New Roman" w:eastAsia="宋体" w:hAnsi="Times New Roman" w:cs="Times New Roman"/>
          <w:b/>
          <w:bCs/>
          <w:sz w:val="24"/>
          <w:szCs w:val="24"/>
        </w:rPr>
        <w:t>Table S2.</w:t>
      </w:r>
      <w:r w:rsidRPr="007D313F">
        <w:rPr>
          <w:rFonts w:ascii="Times New Roman" w:eastAsia="宋体" w:hAnsi="Times New Roman" w:cs="Times New Roman"/>
          <w:sz w:val="24"/>
          <w:szCs w:val="24"/>
        </w:rPr>
        <w:t xml:space="preserve"> Longitudinal associations of blood UA levels with the risk of MCI among participants without and with hyperuricemia. </w:t>
      </w:r>
    </w:p>
    <w:p w14:paraId="207B7C51" w14:textId="77777777" w:rsidR="00AD3F72" w:rsidRPr="007D313F" w:rsidRDefault="00AD3F72" w:rsidP="00AD3F72">
      <w:pPr>
        <w:widowControl/>
        <w:spacing w:line="480" w:lineRule="auto"/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</w:pPr>
      <w:bookmarkStart w:id="1" w:name="_Hlk64938962"/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Table</w:t>
      </w:r>
      <w:r w:rsidRPr="007D313F" w:rsidDel="002218A1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bookmarkEnd w:id="1"/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S3.</w:t>
      </w:r>
      <w:r w:rsidRPr="007D313F">
        <w:rPr>
          <w:rFonts w:ascii="Times New Roman" w:eastAsia="MYingHei_18030_C-Medium" w:hAnsi="Times New Roman" w:cs="Times New Roman"/>
          <w:color w:val="000000"/>
          <w:sz w:val="24"/>
          <w:szCs w:val="24"/>
        </w:rPr>
        <w:t xml:space="preserve"> Baseline characteristics of the included and excluded study participants.</w:t>
      </w:r>
    </w:p>
    <w:p w14:paraId="3C5CF0D7" w14:textId="77777777" w:rsidR="00AD3F72" w:rsidRPr="007D313F" w:rsidRDefault="00AD3F72" w:rsidP="00AD3F72">
      <w:pPr>
        <w:widowControl/>
        <w:spacing w:line="480" w:lineRule="auto"/>
        <w:rPr>
          <w:rFonts w:ascii="Times New Roman" w:eastAsia="等线" w:hAnsi="Times New Roman" w:cs="Times New Roman"/>
          <w:color w:val="131413"/>
          <w:kern w:val="0"/>
          <w:sz w:val="24"/>
          <w:szCs w:val="24"/>
        </w:rPr>
      </w:pPr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Table</w:t>
      </w:r>
      <w:r w:rsidRPr="007D313F" w:rsidDel="002218A1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S4.</w:t>
      </w:r>
      <w:r w:rsidRPr="007D313F">
        <w:rPr>
          <w:rFonts w:ascii="Times New Roman" w:eastAsia="MYingHei_18030_C-Medium" w:hAnsi="Times New Roman" w:cs="Times New Roman"/>
          <w:color w:val="000000"/>
          <w:sz w:val="24"/>
          <w:szCs w:val="24"/>
        </w:rPr>
        <w:t xml:space="preserve"> Baseline characteristics of study participants by different enrolled times.</w:t>
      </w:r>
    </w:p>
    <w:p w14:paraId="54903189" w14:textId="77777777" w:rsidR="00AD3F72" w:rsidRPr="007D313F" w:rsidRDefault="00AD3F72" w:rsidP="00AD3F7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Table</w:t>
      </w:r>
      <w:r w:rsidRPr="007D313F" w:rsidDel="002218A1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S5</w:t>
      </w:r>
      <w:r w:rsidRPr="007D313F">
        <w:rPr>
          <w:rFonts w:ascii="Times New Roman" w:eastAsia="等线" w:hAnsi="Times New Roman" w:cs="Times New Roman"/>
          <w:b/>
          <w:bCs/>
          <w:sz w:val="24"/>
          <w:szCs w:val="24"/>
        </w:rPr>
        <w:t>.</w:t>
      </w:r>
      <w:r w:rsidRPr="007D313F">
        <w:rPr>
          <w:rFonts w:ascii="Times New Roman" w:hAnsi="Times New Roman" w:cs="Times New Roman"/>
          <w:sz w:val="24"/>
          <w:szCs w:val="24"/>
        </w:rPr>
        <w:t xml:space="preserve"> Baseline characteristics of study participants by UA quartiles for the cross-sectional analyses</w:t>
      </w:r>
    </w:p>
    <w:p w14:paraId="3AC92EE9" w14:textId="77777777" w:rsidR="00AD3F72" w:rsidRPr="007D313F" w:rsidRDefault="00AD3F72" w:rsidP="00AD3F72">
      <w:pPr>
        <w:widowControl/>
        <w:spacing w:line="480" w:lineRule="auto"/>
        <w:rPr>
          <w:rFonts w:ascii="Times New Roman" w:eastAsia="等线" w:hAnsi="Times New Roman" w:cs="Times New Roman"/>
          <w:sz w:val="24"/>
          <w:szCs w:val="24"/>
        </w:rPr>
      </w:pPr>
      <w:r w:rsidRPr="007D313F">
        <w:rPr>
          <w:rFonts w:ascii="Times New Roman" w:eastAsia="等线" w:hAnsi="Times New Roman" w:cs="Times New Roman"/>
          <w:b/>
          <w:bCs/>
          <w:color w:val="131413"/>
          <w:kern w:val="0"/>
          <w:sz w:val="24"/>
          <w:szCs w:val="24"/>
        </w:rPr>
        <w:t>Table</w:t>
      </w:r>
      <w:r w:rsidRPr="007D313F" w:rsidDel="002218A1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</w:t>
      </w:r>
      <w:r w:rsidRPr="007D313F">
        <w:rPr>
          <w:rFonts w:ascii="Times New Roman" w:eastAsia="等线" w:hAnsi="Times New Roman" w:cs="Times New Roman"/>
          <w:b/>
          <w:bCs/>
          <w:sz w:val="24"/>
          <w:szCs w:val="24"/>
        </w:rPr>
        <w:t>S6.</w:t>
      </w:r>
      <w:r w:rsidRPr="007D313F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sz w:val="24"/>
          <w:szCs w:val="24"/>
        </w:rPr>
        <w:t>Cross-sectional associations of blood UA levels with the cognitive score.</w:t>
      </w:r>
    </w:p>
    <w:p w14:paraId="531967D3" w14:textId="77777777" w:rsidR="00AD3F72" w:rsidRPr="007D313F" w:rsidRDefault="00AD3F72" w:rsidP="00AD3F72">
      <w:pPr>
        <w:widowControl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64938852"/>
      <w:r w:rsidRPr="007D313F">
        <w:rPr>
          <w:rFonts w:ascii="Times New Roman" w:eastAsia="等线" w:hAnsi="Times New Roman" w:cs="Times New Roman"/>
          <w:b/>
          <w:color w:val="131413"/>
          <w:kern w:val="0"/>
          <w:sz w:val="24"/>
          <w:szCs w:val="24"/>
        </w:rPr>
        <w:t>Fig. S</w:t>
      </w:r>
      <w:bookmarkEnd w:id="2"/>
      <w:r w:rsidRPr="007D313F">
        <w:rPr>
          <w:rFonts w:ascii="Times New Roman" w:eastAsia="等线" w:hAnsi="Times New Roman" w:cs="Times New Roman"/>
          <w:b/>
          <w:bCs/>
          <w:sz w:val="24"/>
          <w:szCs w:val="24"/>
        </w:rPr>
        <w:t>1.</w:t>
      </w:r>
      <w:r w:rsidRPr="007D313F"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bCs/>
          <w:sz w:val="24"/>
          <w:szCs w:val="24"/>
        </w:rPr>
        <w:t xml:space="preserve">Adjusted dose-response association between blood UA and cognition score at baseline. </w:t>
      </w:r>
    </w:p>
    <w:p w14:paraId="55C3789C" w14:textId="46F6D356" w:rsidR="00AD3F72" w:rsidRPr="007D313F" w:rsidRDefault="00AD3F72" w:rsidP="00AD3F72">
      <w:pPr>
        <w:widowControl/>
        <w:tabs>
          <w:tab w:val="left" w:pos="4665"/>
        </w:tabs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31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E0FDD4" w14:textId="607D09AE" w:rsidR="002062BB" w:rsidRPr="007D313F" w:rsidRDefault="002062BB" w:rsidP="00245A10">
      <w:pPr>
        <w:widowControl/>
        <w:tabs>
          <w:tab w:val="left" w:pos="4665"/>
        </w:tabs>
        <w:spacing w:line="480" w:lineRule="auto"/>
        <w:rPr>
          <w:rFonts w:ascii="Times New Roman" w:eastAsia="等线" w:hAnsi="Times New Roman" w:cs="Times New Roman"/>
          <w:sz w:val="24"/>
          <w:szCs w:val="24"/>
        </w:rPr>
      </w:pPr>
    </w:p>
    <w:p w14:paraId="3070F36E" w14:textId="333E6522" w:rsidR="007E41E5" w:rsidRPr="007D313F" w:rsidRDefault="00AD3F72" w:rsidP="00AD3F72">
      <w:pPr>
        <w:tabs>
          <w:tab w:val="left" w:pos="4665"/>
        </w:tabs>
        <w:rPr>
          <w:rFonts w:ascii="Times New Roman" w:hAnsi="Times New Roman" w:cs="Times New Roman"/>
          <w:b/>
          <w:bCs/>
          <w:sz w:val="24"/>
          <w:szCs w:val="24"/>
        </w:rPr>
        <w:sectPr w:rsidR="007E41E5" w:rsidRPr="007D31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D313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D6D39E3" w14:textId="12D3259F" w:rsidR="001C2D5C" w:rsidRPr="007D313F" w:rsidRDefault="001C2D5C" w:rsidP="007E41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8061816"/>
      <w:r w:rsidRPr="007D31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S1. </w:t>
      </w:r>
      <w:r w:rsidRPr="007D313F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961E62" w:rsidRPr="007D313F">
        <w:rPr>
          <w:rFonts w:ascii="Times New Roman" w:hAnsi="Times New Roman" w:cs="Times New Roman"/>
          <w:sz w:val="24"/>
          <w:szCs w:val="24"/>
        </w:rPr>
        <w:t xml:space="preserve">previous </w:t>
      </w:r>
      <w:r w:rsidRPr="007D313F">
        <w:rPr>
          <w:rFonts w:ascii="Times New Roman" w:hAnsi="Times New Roman" w:cs="Times New Roman"/>
          <w:sz w:val="24"/>
          <w:szCs w:val="24"/>
        </w:rPr>
        <w:t xml:space="preserve">studies </w:t>
      </w:r>
      <w:r w:rsidR="00961E62" w:rsidRPr="007D313F">
        <w:rPr>
          <w:rFonts w:ascii="Times New Roman" w:hAnsi="Times New Roman" w:cs="Times New Roman"/>
          <w:sz w:val="24"/>
          <w:szCs w:val="24"/>
        </w:rPr>
        <w:t>on associations of blood UA with cognition and relevant outcomes</w:t>
      </w:r>
    </w:p>
    <w:bookmarkEnd w:id="3"/>
    <w:p w14:paraId="49571203" w14:textId="77777777" w:rsidR="00AD3F72" w:rsidRPr="007D313F" w:rsidRDefault="00AD3F72" w:rsidP="007E41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57" w:type="dxa"/>
        <w:jc w:val="center"/>
        <w:tblLayout w:type="fixed"/>
        <w:tblLook w:val="04A0" w:firstRow="1" w:lastRow="0" w:firstColumn="1" w:lastColumn="0" w:noHBand="0" w:noVBand="1"/>
      </w:tblPr>
      <w:tblGrid>
        <w:gridCol w:w="2381"/>
        <w:gridCol w:w="878"/>
        <w:gridCol w:w="1304"/>
        <w:gridCol w:w="1247"/>
        <w:gridCol w:w="2041"/>
        <w:gridCol w:w="2551"/>
        <w:gridCol w:w="907"/>
        <w:gridCol w:w="1134"/>
        <w:gridCol w:w="907"/>
        <w:gridCol w:w="907"/>
      </w:tblGrid>
      <w:tr w:rsidR="00862BB6" w:rsidRPr="007D313F" w14:paraId="555E5673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2B206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4" w:name="OLE_LINK3"/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First author</w:t>
            </w: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473FB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Year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26249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Country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617F54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5EC088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D2DE6" w14:textId="3E2D7C56" w:rsidR="001C2D5C" w:rsidRPr="007D313F" w:rsidRDefault="00412545" w:rsidP="00A9710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  <w:r w:rsidR="001C2D5C"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tudy types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A69A36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576D24D" w14:textId="2F74F48C" w:rsidR="001C2D5C" w:rsidRPr="007D313F" w:rsidRDefault="00BE50AF" w:rsidP="00A9710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="001C2D5C"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ementia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A6E8ECB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PD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68CBC7" w14:textId="77777777" w:rsidR="001C2D5C" w:rsidRPr="007D313F" w:rsidRDefault="001C2D5C" w:rsidP="00A97109">
            <w:pPr>
              <w:widowControl/>
              <w:ind w:left="241" w:hangingChars="100" w:hanging="241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</w:t>
            </w:r>
          </w:p>
        </w:tc>
      </w:tr>
      <w:tr w:rsidR="00862BB6" w:rsidRPr="007D313F" w14:paraId="5C2509B3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76CB8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S. M. </w:t>
            </w: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Euser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[5]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9ABF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6B4E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Netherlands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419D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F94E" w14:textId="13963682" w:rsidR="001C2D5C" w:rsidRPr="007D313F" w:rsidRDefault="00DD3056" w:rsidP="00A971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≥ </w:t>
            </w:r>
            <w:r w:rsidR="001C2D5C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 years</w:t>
            </w:r>
            <w:r w:rsidR="00C11DDA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F3F0" w14:textId="77777777" w:rsidR="001C2D5C" w:rsidRPr="007D313F" w:rsidRDefault="001C2D5C" w:rsidP="00A971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11.1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8066C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B149B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6110" w14:textId="7ACE6BD5" w:rsidR="001C2D5C" w:rsidRPr="007D313F" w:rsidRDefault="007E41E5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28C17" w14:textId="488D68B9" w:rsidR="001C2D5C" w:rsidRPr="007D313F" w:rsidRDefault="007E41E5" w:rsidP="00A9710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62BB6" w:rsidRPr="007D313F" w14:paraId="7AD43072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EC79" w14:textId="0061189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Michael C Irizarry [</w:t>
            </w:r>
            <w:r w:rsidR="006377C7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ACA2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920C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D657" w14:textId="77777777" w:rsidR="001C2D5C" w:rsidRPr="007D313F" w:rsidRDefault="001C2D5C" w:rsidP="00A9710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845F" w14:textId="19C51A43" w:rsidR="001C2D5C" w:rsidRPr="007D313F" w:rsidRDefault="00862BB6" w:rsidP="00A971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mean</w:t>
            </w:r>
            <w:r w:rsidR="00C11DDA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="001C2D5C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73 years</w:t>
            </w:r>
            <w:r w:rsidR="00C11DDA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1643" w14:textId="77777777" w:rsidR="001C2D5C" w:rsidRPr="007D313F" w:rsidRDefault="001C2D5C" w:rsidP="00A9710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7FBCE" w14:textId="3A11AA3C" w:rsidR="001C2D5C" w:rsidRPr="007D313F" w:rsidRDefault="007E41E5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E428" w14:textId="76AF9597" w:rsidR="001C2D5C" w:rsidRPr="007D313F" w:rsidRDefault="007E41E5" w:rsidP="00A97109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48F99" w14:textId="77777777" w:rsidR="001C2D5C" w:rsidRPr="007D313F" w:rsidRDefault="001C2D5C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BBD8" w14:textId="00EC2020" w:rsidR="001C2D5C" w:rsidRPr="007D313F" w:rsidRDefault="007E41E5" w:rsidP="00A9710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3B66195E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38398" w14:textId="398D2939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Busra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Tuven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[10]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3390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F0E2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Turkey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FD236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3FBB" w14:textId="1BB6FE98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mean:76.72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A1CF" w14:textId="08A7F399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13080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EA872" w14:textId="2816F71F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0E052" w14:textId="34975C3F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AB1DC" w14:textId="3EC8BEB7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3EDEAFB1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F9D2" w14:textId="5651E0EA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Mary De Vera [11]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E2DB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9ECF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Canada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74E54" w14:textId="07B326BF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67 457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D244" w14:textId="16D2B145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≥ 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65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6E2B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63DF0" w14:textId="2E382988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3039D" w14:textId="6ECA31B2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9FAA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↑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F960" w14:textId="3AC993C2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3EC7242F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6EEA6" w14:textId="1935C645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Arrigo F Cicero [12]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0583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36B4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Italy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5CC7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F969" w14:textId="1754334F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 69 ± 6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170C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60265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6D121" w14:textId="5ABC69DD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1C32A" w14:textId="7B1F50C5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1CEA" w14:textId="41376CCD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6E1FEC30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FD7B" w14:textId="1F08FF5A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 Lu [13]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52CB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FA01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UK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E469" w14:textId="550A5030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298 029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6724" w14:textId="199715D5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 65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7F21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917E3" w14:textId="41B40A76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645E4" w14:textId="25402015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2147" w14:textId="77101DB2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9EBF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</w:tr>
      <w:tr w:rsidR="00A87878" w:rsidRPr="007D313F" w14:paraId="019EC51A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CF5E" w14:textId="250DC2DD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Maria </w:t>
            </w: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Pellecchia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[14]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43294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FAAE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Italy.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D7C7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BCB8" w14:textId="4691615D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 59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A700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E81C5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52315" w14:textId="1B22BCBF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F9F2A" w14:textId="54B5DBB4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9F37C" w14:textId="0D629715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3B3B3001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1CE2" w14:textId="52510F1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 S Ye [15]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EAE9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C5AA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B625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636F" w14:textId="07CB9E26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 73.7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89CB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2.9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4FCF3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8C5B4" w14:textId="0A66CEBB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5528B" w14:textId="38075E5F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C9BA0" w14:textId="3EE9619C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18C68B42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58E6" w14:textId="29201F8F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Aug </w:t>
            </w: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Latourte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[16]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54C8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965B4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French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9D8E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3164" w14:textId="1099A335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≥ 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65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BD3E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BCD4B" w14:textId="4902EB9B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F5A96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↓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0A01" w14:textId="241171E8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39637" w14:textId="0B83B1DF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587AAA2E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1D33" w14:textId="33CF22BA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Jas A Singh [17]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E62D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80C1C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7E1D" w14:textId="25539E7F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1.7million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06C2" w14:textId="17080AF1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 75.2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33CA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3BB21" w14:textId="27811F69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A64D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↓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8C20" w14:textId="28DDB0EA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26B4A" w14:textId="2739E08F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426C0E81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9EAB" w14:textId="3498CFB1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Aniqa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B </w:t>
            </w: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Alam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[18]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FEE8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DCA0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USA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D7DD" w14:textId="65648739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11 169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2F4B" w14:textId="173E276C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47–70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53C0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24.1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97D5" w14:textId="467B0F35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↓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B13B" w14:textId="4421758C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→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D8D0" w14:textId="640D0F0A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955C4" w14:textId="33CBC420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7DC54D14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3D96" w14:textId="7A034E33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Rong Huang [19]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86B5A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1698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6FDB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E599" w14:textId="53A26D9C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≥ 58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EB89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AF26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1307B" w14:textId="78F814E9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D92D5" w14:textId="271EFE19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6DF66" w14:textId="7CAF2E70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4530333D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F061" w14:textId="1953D2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Yuzhen Xu [21]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734F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86EC5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69F0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E504" w14:textId="04B5D180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≥ 67 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B992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3FE44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E4395" w14:textId="6988ACBC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6C8A" w14:textId="283F1DD8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D9ED" w14:textId="035181F5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74568DEC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7257" w14:textId="6FC31055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Shuangling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Xiu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proofErr w:type="gram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62E0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FB1A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D21C" w14:textId="295671A9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10 039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68D2" w14:textId="4E32DEC9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≥ 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55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0274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0DE86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C3CD" w14:textId="567A7D55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5528A" w14:textId="5A29A51D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C1B0C" w14:textId="24AB5022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70998534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97FD" w14:textId="3E9124B0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Feng Wang [23]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8520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E9A7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7B04" w14:textId="321D2B29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1 866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3000" w14:textId="613956FE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60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7140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48AD3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B40B" w14:textId="0A935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D959" w14:textId="7C569D0B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7EC85" w14:textId="4E48E80E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0ECBE9E0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0264" w14:textId="6FCB2D0E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Miao Liu [24]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A2BF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7338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12AC" w14:textId="240D9BDD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2 102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168B" w14:textId="05BEC16E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mean: 71.2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A5F8" w14:textId="020F598E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DBE9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331B0" w14:textId="6A60460B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6280D" w14:textId="62373EDB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B2F8C" w14:textId="088C593B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08EE0689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7EBF3" w14:textId="21EB3FBB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Yili</w:t>
            </w:r>
            <w:proofErr w:type="spellEnd"/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Wu [25]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9E3F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AFFA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E28A" w14:textId="39212A34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2 006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7E01" w14:textId="55AC2446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50–74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DD35" w14:textId="2220B1C1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10303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4BE0" w14:textId="6CF9D519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4BCA5" w14:textId="56194E7F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08D7" w14:textId="2B1A2992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19592C6F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74EF" w14:textId="5B500876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 Li [26]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D363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93948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6176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D1B2" w14:textId="7CDE2C3D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90–108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36DCF" w14:textId="72541A11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cross-sectional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8775C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0A78" w14:textId="5D6DE9F4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75CA" w14:textId="28D216D9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171D8" w14:textId="47232B87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5F0DB953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A6450" w14:textId="1F78EC66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Li-Yu Hu [27]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F733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64AD4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5EB0" w14:textId="485CDA3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15 800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A5E34" w14:textId="0514139D" w:rsidR="00A87878" w:rsidRPr="007D313F" w:rsidRDefault="003D46CB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="00A87878"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edian: 50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C9AF" w14:textId="492EF5ED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13.36 years longitudinal</w:t>
            </w:r>
          </w:p>
          <w:p w14:paraId="5836AC92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64AB9A2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AAFDC7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62D8430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8243BA3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99D5739" w14:textId="3B34EAE6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1FB6A" w14:textId="1909AA50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9A87B80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7F42AD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03A912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582C6C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43B9782" w14:textId="77777777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D76B7F" w14:textId="06ACF4E5" w:rsidR="00A87878" w:rsidRPr="007D313F" w:rsidRDefault="00A87878" w:rsidP="00A8787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FE3B" w14:textId="462A8F67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E67E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→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2712" w14:textId="55125AE6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011F9190" w14:textId="77777777" w:rsidTr="004B7601">
        <w:trPr>
          <w:trHeight w:hRule="exact" w:val="397"/>
          <w:jc w:val="center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B928D" w14:textId="03425AC4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Jen-Yee Hong [28]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E632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BDC4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EB7D" w14:textId="23A0B5EC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30 316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CCFD" w14:textId="676FD25C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50 years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D0B1" w14:textId="77777777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0D46A" w14:textId="7EFC2D8F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D69A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2A198" w14:textId="6747B725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2147" w14:textId="3E6D38FC" w:rsidR="00A87878" w:rsidRPr="007D313F" w:rsidRDefault="00A87878" w:rsidP="00A87878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87878" w:rsidRPr="007D313F" w14:paraId="5A2EC647" w14:textId="77777777" w:rsidTr="004B7601">
        <w:trPr>
          <w:trHeight w:hRule="exact" w:val="624"/>
          <w:jc w:val="center"/>
        </w:trPr>
        <w:tc>
          <w:tcPr>
            <w:tcW w:w="2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32002F3" w14:textId="47E60A08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Tong Wang [29]</w:t>
            </w: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1E029C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571A51" w14:textId="77777777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899460D" w14:textId="5F1BC359" w:rsidR="00A87878" w:rsidRPr="007D313F" w:rsidRDefault="00A87878" w:rsidP="00A8787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12 798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215C81" w14:textId="4722237E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≥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45 years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E69D67" w14:textId="03B883C6" w:rsidR="00A87878" w:rsidRPr="007D313F" w:rsidRDefault="00A87878" w:rsidP="00A8787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1.33-2.42 years longitudinal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F313868" w14:textId="777777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E4DCC43" w14:textId="6BBDC177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9A2286B" w14:textId="3534F76B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CF550F0" w14:textId="696DB1EA" w:rsidR="00A87878" w:rsidRPr="007D313F" w:rsidRDefault="00A87878" w:rsidP="00A8787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bookmarkEnd w:id="4"/>
    <w:p w14:paraId="49FCC4E1" w14:textId="77777777" w:rsidR="004B7601" w:rsidRPr="007D313F" w:rsidRDefault="001C2D5C" w:rsidP="00835392">
      <w:pPr>
        <w:ind w:leftChars="67" w:left="141" w:rightChars="166" w:right="349"/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 xml:space="preserve">Abbreviations: CI, cognitive impairment; </w:t>
      </w:r>
      <w:r w:rsidR="00357ED9" w:rsidRPr="007D313F">
        <w:rPr>
          <w:rFonts w:ascii="Times New Roman" w:hAnsi="Times New Roman" w:cs="Times New Roman"/>
          <w:sz w:val="24"/>
          <w:szCs w:val="24"/>
        </w:rPr>
        <w:t>A</w:t>
      </w:r>
      <w:r w:rsidRPr="007D313F">
        <w:rPr>
          <w:rFonts w:ascii="Times New Roman" w:hAnsi="Times New Roman" w:cs="Times New Roman"/>
          <w:sz w:val="24"/>
          <w:szCs w:val="24"/>
        </w:rPr>
        <w:t xml:space="preserve">D, Alzheimer’s disease; </w:t>
      </w:r>
      <w:r w:rsidR="00357ED9" w:rsidRPr="007D313F">
        <w:rPr>
          <w:rFonts w:ascii="Times New Roman" w:hAnsi="Times New Roman" w:cs="Times New Roman"/>
          <w:sz w:val="24"/>
          <w:szCs w:val="24"/>
        </w:rPr>
        <w:t>PD</w:t>
      </w:r>
      <w:r w:rsidRPr="007D313F">
        <w:rPr>
          <w:rFonts w:ascii="Times New Roman" w:hAnsi="Times New Roman" w:cs="Times New Roman"/>
          <w:sz w:val="24"/>
          <w:szCs w:val="24"/>
        </w:rPr>
        <w:t>, Parkinson's disease;</w:t>
      </w:r>
      <w:r w:rsidR="007D7542" w:rsidRPr="007D31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CFED6" w14:textId="4C22B6E5" w:rsidR="001C2D5C" w:rsidRPr="007D313F" w:rsidRDefault="001C2D5C" w:rsidP="00835392">
      <w:pPr>
        <w:ind w:leftChars="67" w:left="141" w:rightChars="166" w:right="349"/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↑</w:t>
      </w:r>
      <w:r w:rsidRPr="007D313F">
        <w:rPr>
          <w:rFonts w:ascii="Times New Roman" w:hAnsi="Times New Roman" w:cs="Times New Roman"/>
          <w:sz w:val="24"/>
          <w:szCs w:val="24"/>
        </w:rPr>
        <w:t xml:space="preserve">, refers to </w:t>
      </w:r>
      <w:r w:rsidR="00CD1B0D" w:rsidRPr="007D313F">
        <w:rPr>
          <w:rFonts w:ascii="Times New Roman" w:hAnsi="Times New Roman" w:cs="Times New Roman"/>
          <w:sz w:val="24"/>
          <w:szCs w:val="24"/>
        </w:rPr>
        <w:t xml:space="preserve">that </w:t>
      </w:r>
      <w:r w:rsidRPr="007D313F">
        <w:rPr>
          <w:rFonts w:ascii="Times New Roman" w:hAnsi="Times New Roman" w:cs="Times New Roman"/>
          <w:sz w:val="24"/>
          <w:szCs w:val="24"/>
        </w:rPr>
        <w:t>UA was positive factor for cognition;</w:t>
      </w:r>
      <w:r w:rsidR="004B7601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↓, </w:t>
      </w:r>
      <w:r w:rsidRPr="007D313F">
        <w:rPr>
          <w:rFonts w:ascii="Times New Roman" w:hAnsi="Times New Roman" w:cs="Times New Roman"/>
          <w:sz w:val="24"/>
          <w:szCs w:val="24"/>
        </w:rPr>
        <w:t xml:space="preserve">refers to </w:t>
      </w:r>
      <w:r w:rsidR="00CD1B0D" w:rsidRPr="007D313F">
        <w:rPr>
          <w:rFonts w:ascii="Times New Roman" w:hAnsi="Times New Roman" w:cs="Times New Roman"/>
          <w:sz w:val="24"/>
          <w:szCs w:val="24"/>
        </w:rPr>
        <w:t xml:space="preserve">that </w:t>
      </w:r>
      <w:r w:rsidRPr="007D313F">
        <w:rPr>
          <w:rFonts w:ascii="Times New Roman" w:hAnsi="Times New Roman" w:cs="Times New Roman"/>
          <w:sz w:val="24"/>
          <w:szCs w:val="24"/>
        </w:rPr>
        <w:t>UA was negative factor for cognition;</w:t>
      </w:r>
      <w:r w:rsidR="00586E53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U,</w:t>
      </w:r>
      <w:r w:rsidRPr="007D313F">
        <w:rPr>
          <w:rFonts w:ascii="Times New Roman" w:hAnsi="Times New Roman" w:cs="Times New Roman"/>
          <w:sz w:val="24"/>
          <w:szCs w:val="24"/>
        </w:rPr>
        <w:t xml:space="preserve"> refers to U-shaped association between UA and cognition;</w:t>
      </w:r>
      <w:r w:rsidR="00ED3FEA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→</w:t>
      </w:r>
      <w:r w:rsidRPr="007D313F">
        <w:rPr>
          <w:rFonts w:ascii="Times New Roman" w:hAnsi="Times New Roman" w:cs="Times New Roman"/>
          <w:sz w:val="24"/>
          <w:szCs w:val="24"/>
        </w:rPr>
        <w:t>, refers to no statis</w:t>
      </w:r>
      <w:r w:rsidR="002104F0" w:rsidRPr="007D313F">
        <w:rPr>
          <w:rFonts w:ascii="Times New Roman" w:hAnsi="Times New Roman" w:cs="Times New Roman"/>
          <w:sz w:val="24"/>
          <w:szCs w:val="24"/>
        </w:rPr>
        <w:t>tically significant association.</w:t>
      </w:r>
    </w:p>
    <w:p w14:paraId="097E6B07" w14:textId="77777777" w:rsidR="007E41E5" w:rsidRPr="007D313F" w:rsidRDefault="007E41E5">
      <w:pPr>
        <w:widowControl/>
        <w:jc w:val="left"/>
        <w:rPr>
          <w:rFonts w:ascii="Times New Roman" w:hAnsi="Times New Roman" w:cs="Times New Roman"/>
          <w:sz w:val="24"/>
          <w:szCs w:val="24"/>
        </w:rPr>
        <w:sectPr w:rsidR="007E41E5" w:rsidRPr="007D313F" w:rsidSect="007E41E5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65065EC" w14:textId="5FA44678" w:rsidR="00FF3F57" w:rsidRPr="007D313F" w:rsidRDefault="004144DB" w:rsidP="00F0591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Table S</w:t>
      </w:r>
      <w:r w:rsidR="001C2D5C" w:rsidRPr="007D313F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7D313F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Pr="007D313F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Start w:id="5" w:name="_Hlk78061842"/>
      <w:r w:rsidRPr="007D313F">
        <w:rPr>
          <w:rFonts w:ascii="Times New Roman" w:eastAsia="宋体" w:hAnsi="Times New Roman" w:cs="Times New Roman"/>
          <w:sz w:val="24"/>
          <w:szCs w:val="24"/>
        </w:rPr>
        <w:t>Longitudinal associations of blood UA levels with the risk of</w:t>
      </w:r>
      <w:r w:rsidR="00C26C02" w:rsidRPr="007D313F">
        <w:rPr>
          <w:rFonts w:ascii="Times New Roman" w:eastAsia="宋体" w:hAnsi="Times New Roman" w:cs="Times New Roman"/>
          <w:sz w:val="24"/>
          <w:szCs w:val="24"/>
        </w:rPr>
        <w:t xml:space="preserve"> MCI</w:t>
      </w:r>
      <w:r w:rsidRPr="007D313F">
        <w:rPr>
          <w:rFonts w:ascii="Times New Roman" w:eastAsia="宋体" w:hAnsi="Times New Roman" w:cs="Times New Roman"/>
          <w:sz w:val="24"/>
          <w:szCs w:val="24"/>
        </w:rPr>
        <w:t xml:space="preserve"> among participants without and with hyperuricemia.</w:t>
      </w:r>
      <w:bookmarkEnd w:id="5"/>
      <w:r w:rsidR="00FF3F57" w:rsidRPr="007D313F">
        <w:rPr>
          <w:rFonts w:ascii="Times New Roman" w:hAnsi="Times New Roman" w:cs="Times New Roman"/>
          <w:sz w:val="24"/>
          <w:szCs w:val="24"/>
        </w:rPr>
        <w:fldChar w:fldCharType="begin"/>
      </w:r>
      <w:r w:rsidR="00FF3F57" w:rsidRPr="007D313F">
        <w:rPr>
          <w:rFonts w:ascii="Times New Roman" w:hAnsi="Times New Roman" w:cs="Times New Roman"/>
          <w:sz w:val="24"/>
          <w:szCs w:val="24"/>
        </w:rPr>
        <w:instrText xml:space="preserve"> LINK Excel.SheetBinaryMacroEnabled.12 "D:\\UA and cognition\\</w:instrText>
      </w:r>
      <w:r w:rsidR="00FF3F57" w:rsidRPr="007D313F">
        <w:rPr>
          <w:rFonts w:ascii="Times New Roman" w:hAnsi="Times New Roman" w:cs="Times New Roman"/>
          <w:sz w:val="24"/>
          <w:szCs w:val="24"/>
        </w:rPr>
        <w:instrText>投稿后再改</w:instrText>
      </w:r>
      <w:r w:rsidR="00FF3F57" w:rsidRPr="007D313F">
        <w:rPr>
          <w:rFonts w:ascii="Times New Roman" w:hAnsi="Times New Roman" w:cs="Times New Roman"/>
          <w:sz w:val="24"/>
          <w:szCs w:val="24"/>
        </w:rPr>
        <w:instrText xml:space="preserve">\\Results\\TableS2_hyperuri_014.CSV" "Sheet1!R1C1:R12C4" \a \f 4 \h </w:instrText>
      </w:r>
      <w:r w:rsidR="0027543D" w:rsidRPr="007D313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F3F57" w:rsidRPr="007D313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5E37997E" w14:textId="3C304528" w:rsidR="00FF3F57" w:rsidRPr="007D313F" w:rsidRDefault="00FF3F57" w:rsidP="004144DB">
      <w:pPr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eastAsia="仿宋" w:hAnsi="Times New Roman" w:cs="Times New Roman"/>
          <w:sz w:val="24"/>
          <w:szCs w:val="24"/>
        </w:rPr>
        <w:fldChar w:fldCharType="end"/>
      </w:r>
      <w:r w:rsidRPr="007D313F">
        <w:rPr>
          <w:rFonts w:ascii="Times New Roman" w:eastAsia="仿宋" w:hAnsi="Times New Roman" w:cs="Times New Roman"/>
          <w:sz w:val="24"/>
          <w:szCs w:val="24"/>
        </w:rPr>
        <w:fldChar w:fldCharType="begin"/>
      </w:r>
      <w:r w:rsidRPr="007D313F">
        <w:rPr>
          <w:rFonts w:ascii="Times New Roman" w:eastAsia="仿宋" w:hAnsi="Times New Roman" w:cs="Times New Roman"/>
          <w:sz w:val="24"/>
          <w:szCs w:val="24"/>
        </w:rPr>
        <w:instrText xml:space="preserve"> LINK Excel.SheetBinaryMacroEnabled.12 "D:\\UA and cognition\\</w:instrText>
      </w:r>
      <w:r w:rsidRPr="007D313F">
        <w:rPr>
          <w:rFonts w:ascii="Times New Roman" w:eastAsia="仿宋" w:hAnsi="Times New Roman" w:cs="Times New Roman"/>
          <w:sz w:val="24"/>
          <w:szCs w:val="24"/>
        </w:rPr>
        <w:instrText>投稿后再改</w:instrText>
      </w:r>
      <w:r w:rsidRPr="007D313F">
        <w:rPr>
          <w:rFonts w:ascii="Times New Roman" w:eastAsia="仿宋" w:hAnsi="Times New Roman" w:cs="Times New Roman"/>
          <w:sz w:val="24"/>
          <w:szCs w:val="24"/>
        </w:rPr>
        <w:instrText xml:space="preserve">\\Results\\TableS2_hyperuri_014.CSV" "Sheet1!R1C1:R12C4" \a \f 4 \h </w:instrText>
      </w:r>
      <w:r w:rsidR="0027543D" w:rsidRPr="007D313F">
        <w:rPr>
          <w:rFonts w:ascii="Times New Roman" w:eastAsia="仿宋" w:hAnsi="Times New Roman" w:cs="Times New Roman"/>
          <w:sz w:val="24"/>
          <w:szCs w:val="24"/>
        </w:rPr>
        <w:instrText xml:space="preserve"> \* MERGEFORMAT </w:instrText>
      </w:r>
      <w:r w:rsidRPr="007D313F">
        <w:rPr>
          <w:rFonts w:ascii="Times New Roman" w:eastAsia="仿宋" w:hAnsi="Times New Roman" w:cs="Times New Roman"/>
          <w:sz w:val="24"/>
          <w:szCs w:val="24"/>
        </w:rPr>
        <w:fldChar w:fldCharType="separate"/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2000"/>
        <w:gridCol w:w="2120"/>
        <w:gridCol w:w="2120"/>
        <w:gridCol w:w="2120"/>
      </w:tblGrid>
      <w:tr w:rsidR="00FF3F57" w:rsidRPr="007D313F" w14:paraId="03449D91" w14:textId="77777777" w:rsidTr="00F05916">
        <w:trPr>
          <w:trHeight w:val="330"/>
        </w:trPr>
        <w:tc>
          <w:tcPr>
            <w:tcW w:w="200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489259B" w14:textId="419DCFBF" w:rsidR="00FF3F57" w:rsidRPr="007D313F" w:rsidRDefault="00FF3F5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Blood UA (</w:t>
            </w:r>
            <w:proofErr w:type="spellStart"/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μmol</w:t>
            </w:r>
            <w:proofErr w:type="spellEnd"/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/L)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6AA0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1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4242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2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86A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3</w:t>
            </w:r>
          </w:p>
        </w:tc>
      </w:tr>
      <w:tr w:rsidR="00FF3F57" w:rsidRPr="007D313F" w14:paraId="3166C1D3" w14:textId="77777777" w:rsidTr="00F05916">
        <w:trPr>
          <w:trHeight w:val="330"/>
        </w:trPr>
        <w:tc>
          <w:tcPr>
            <w:tcW w:w="200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A5D7C3E" w14:textId="77777777" w:rsidR="00FF3F57" w:rsidRPr="007D313F" w:rsidRDefault="00FF3F57" w:rsidP="00F0591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745C0C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 (95% CI)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DFC1D23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 (95% CI)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BF6AD65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 (95% CI)</w:t>
            </w:r>
          </w:p>
        </w:tc>
      </w:tr>
      <w:tr w:rsidR="00FF3F57" w:rsidRPr="007D313F" w14:paraId="1FB341EE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9617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8D369" w14:textId="77777777" w:rsidR="00FF3F57" w:rsidRPr="007D313F" w:rsidRDefault="00FF3F57" w:rsidP="00F059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Without hyperuricemia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a</w:t>
            </w:r>
          </w:p>
        </w:tc>
      </w:tr>
      <w:tr w:rsidR="00FF3F57" w:rsidRPr="007D313F" w14:paraId="70B9BA20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8AF" w14:textId="77777777" w:rsidR="00FF3F57" w:rsidRPr="007D313F" w:rsidRDefault="00FF3F57" w:rsidP="00F059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C784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F9E7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02CA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</w:tr>
      <w:tr w:rsidR="00FF3F57" w:rsidRPr="007D313F" w14:paraId="7839848B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470D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8713" w14:textId="77777777" w:rsidR="00FF3F57" w:rsidRPr="007D313F" w:rsidRDefault="00FF3F57" w:rsidP="00F059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 (0.56, 0.95)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DD70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 (0.55, 0.95)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DD24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 (0.56, 0.97)</w:t>
            </w:r>
          </w:p>
        </w:tc>
      </w:tr>
      <w:tr w:rsidR="00FF3F57" w:rsidRPr="007D313F" w14:paraId="407BEAFA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B9DD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2661" w14:textId="77777777" w:rsidR="00FF3F57" w:rsidRPr="007D313F" w:rsidRDefault="00FF3F57" w:rsidP="00F059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 (0.69, 1.14)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41F0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 (0.64, 1.08)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60D7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 (0.62, 1.07)</w:t>
            </w:r>
          </w:p>
        </w:tc>
      </w:tr>
      <w:tr w:rsidR="00FF3F57" w:rsidRPr="007D313F" w14:paraId="2D1E5BE5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4E9C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60D" w14:textId="69D3DB1B" w:rsidR="00FF3F57" w:rsidRPr="007D313F" w:rsidRDefault="00FF3F57" w:rsidP="00F059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 (0.52, 0.9</w:t>
            </w:r>
            <w:r w:rsidR="00D43CD5"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E277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 (0.48, 0.86)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F5F4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 (0.48, 0.85)</w:t>
            </w:r>
          </w:p>
        </w:tc>
      </w:tr>
      <w:tr w:rsidR="00FF3F57" w:rsidRPr="007D313F" w14:paraId="281D42D4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3A42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B631" w14:textId="7F898654" w:rsidR="00FF3F57" w:rsidRPr="007D313F" w:rsidRDefault="00FF3F57" w:rsidP="00F059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With hyperuricemia</w:t>
            </w:r>
          </w:p>
        </w:tc>
      </w:tr>
      <w:tr w:rsidR="00FF3F57" w:rsidRPr="007D313F" w14:paraId="664AE607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99D5" w14:textId="77777777" w:rsidR="00FF3F57" w:rsidRPr="007D313F" w:rsidRDefault="00FF3F57" w:rsidP="00F0591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398C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FA068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62A9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</w:tr>
      <w:tr w:rsidR="00FF3F57" w:rsidRPr="007D313F" w14:paraId="5DDBE219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8550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480C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 (0.38, 2.03)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C31D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 (0.58, 3.64)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DF58" w14:textId="16085F14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 (0.50, 3.67)</w:t>
            </w:r>
          </w:p>
        </w:tc>
      </w:tr>
      <w:tr w:rsidR="00FF3F57" w:rsidRPr="007D313F" w14:paraId="60010A38" w14:textId="77777777" w:rsidTr="00F0591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BC97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BFBB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 (0.56, 2.40)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185E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 (0.57, 2.92)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80CD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 (0.51, 2.96)</w:t>
            </w:r>
          </w:p>
        </w:tc>
      </w:tr>
      <w:tr w:rsidR="00FF3F57" w:rsidRPr="007D313F" w14:paraId="3F086F2C" w14:textId="77777777" w:rsidTr="00F05916">
        <w:trPr>
          <w:trHeight w:val="390"/>
        </w:trPr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E6B4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52C517F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 (0.48, 2.65)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4145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2.10 (0.82, 5.36)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9629" w14:textId="77777777" w:rsidR="00FF3F57" w:rsidRPr="007D313F" w:rsidRDefault="00FF3F57" w:rsidP="00F05916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 (0.81, 5.88)</w:t>
            </w:r>
          </w:p>
        </w:tc>
      </w:tr>
    </w:tbl>
    <w:p w14:paraId="5571C02E" w14:textId="121E5C2D" w:rsidR="004144DB" w:rsidRPr="007D313F" w:rsidRDefault="00FF3F57" w:rsidP="00835392">
      <w:pPr>
        <w:rPr>
          <w:rFonts w:ascii="Times New Roman" w:eastAsia="仿宋" w:hAnsi="Times New Roman" w:cs="Times New Roman"/>
          <w:sz w:val="24"/>
          <w:szCs w:val="24"/>
        </w:rPr>
      </w:pPr>
      <w:r w:rsidRPr="007D313F">
        <w:rPr>
          <w:rFonts w:ascii="Times New Roman" w:eastAsia="仿宋" w:hAnsi="Times New Roman" w:cs="Times New Roman"/>
          <w:sz w:val="24"/>
          <w:szCs w:val="24"/>
        </w:rPr>
        <w:fldChar w:fldCharType="end"/>
      </w:r>
      <w:r w:rsidR="004144DB" w:rsidRPr="007D313F">
        <w:rPr>
          <w:rFonts w:ascii="Times New Roman" w:eastAsia="仿宋" w:hAnsi="Times New Roman" w:cs="Times New Roman"/>
          <w:sz w:val="24"/>
          <w:szCs w:val="24"/>
        </w:rPr>
        <w:t xml:space="preserve">Abbreviations: </w:t>
      </w:r>
      <w:r w:rsidR="00CD6126" w:rsidRPr="007D313F">
        <w:rPr>
          <w:rFonts w:ascii="Times New Roman" w:eastAsia="仿宋" w:hAnsi="Times New Roman" w:cs="Times New Roman"/>
          <w:sz w:val="24"/>
          <w:szCs w:val="24"/>
        </w:rPr>
        <w:t xml:space="preserve">MCI, mild cognitive impairment; </w:t>
      </w:r>
      <w:r w:rsidR="004144DB" w:rsidRPr="007D313F">
        <w:rPr>
          <w:rFonts w:ascii="Times New Roman" w:eastAsia="仿宋" w:hAnsi="Times New Roman" w:cs="Times New Roman"/>
          <w:sz w:val="24"/>
          <w:szCs w:val="24"/>
        </w:rPr>
        <w:t>UA, uric acid; HR, hazard ratio; CIs, confidence intervals.</w:t>
      </w:r>
    </w:p>
    <w:p w14:paraId="07E69A81" w14:textId="4CFFB630" w:rsidR="004144DB" w:rsidRPr="007D313F" w:rsidRDefault="004144DB" w:rsidP="00835392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eastAsia="仿宋" w:hAnsi="Times New Roman" w:cs="Times New Roman"/>
          <w:sz w:val="24"/>
          <w:szCs w:val="24"/>
        </w:rPr>
        <w:t>Note: Model 1 adjusted for age</w:t>
      </w:r>
      <w:r w:rsidR="00696FE8" w:rsidRPr="007D313F">
        <w:rPr>
          <w:rFonts w:ascii="Times New Roman" w:eastAsia="仿宋" w:hAnsi="Times New Roman" w:cs="Times New Roman"/>
          <w:sz w:val="24"/>
          <w:szCs w:val="24"/>
        </w:rPr>
        <w:t>, sex</w:t>
      </w:r>
      <w:r w:rsidRPr="007D313F">
        <w:rPr>
          <w:rFonts w:ascii="Times New Roman" w:eastAsia="仿宋" w:hAnsi="Times New Roman" w:cs="Times New Roman"/>
          <w:sz w:val="24"/>
          <w:szCs w:val="24"/>
        </w:rPr>
        <w:t xml:space="preserve"> and education; model 2 additionally adjusted for drinking, smoking, marital status, regular exercise, body mass index, central obesity, and adequate medical service based on model 1; model3 additionally adjusted for hypertension, diabetes mellitus, self-reported history of heart disease, and stroke and </w:t>
      </w:r>
      <w:r w:rsidRPr="007D313F">
        <w:rPr>
          <w:rFonts w:ascii="Times New Roman" w:hAnsi="Times New Roman" w:cs="Times New Roman"/>
          <w:sz w:val="24"/>
          <w:szCs w:val="24"/>
        </w:rPr>
        <w:t>cardiovascular disease based on model 2.</w:t>
      </w:r>
    </w:p>
    <w:p w14:paraId="34C1E8A8" w14:textId="77777777" w:rsidR="004144DB" w:rsidRPr="007D313F" w:rsidRDefault="004144DB" w:rsidP="00835392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Q</w:t>
      </w:r>
      <w:r w:rsidRPr="007D31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D313F">
        <w:rPr>
          <w:rFonts w:ascii="Times New Roman" w:hAnsi="Times New Roman" w:cs="Times New Roman"/>
          <w:sz w:val="24"/>
          <w:szCs w:val="24"/>
        </w:rPr>
        <w:t xml:space="preserve"> was defined as the reference group.</w:t>
      </w:r>
    </w:p>
    <w:p w14:paraId="0E074BCD" w14:textId="072799D4" w:rsidR="004144DB" w:rsidRPr="007D313F" w:rsidRDefault="004144DB" w:rsidP="00835392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D313F">
        <w:rPr>
          <w:rFonts w:ascii="Times New Roman" w:hAnsi="Times New Roman" w:cs="Times New Roman"/>
          <w:sz w:val="24"/>
          <w:szCs w:val="24"/>
        </w:rPr>
        <w:t xml:space="preserve"> Serum UA levels</w:t>
      </w:r>
      <w:r w:rsidR="007D1899" w:rsidRPr="007D313F">
        <w:rPr>
          <w:rFonts w:ascii="Times New Roman" w:hAnsi="Times New Roman" w:cs="Times New Roman"/>
          <w:sz w:val="24"/>
          <w:szCs w:val="24"/>
        </w:rPr>
        <w:t xml:space="preserve">&gt;360 </w:t>
      </w:r>
      <w:proofErr w:type="spellStart"/>
      <w:r w:rsidR="007D1899" w:rsidRPr="007D313F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="007D1899" w:rsidRPr="007D313F">
        <w:rPr>
          <w:rFonts w:ascii="Times New Roman" w:hAnsi="Times New Roman" w:cs="Times New Roman"/>
          <w:sz w:val="24"/>
          <w:szCs w:val="24"/>
        </w:rPr>
        <w:t xml:space="preserve">/L in </w:t>
      </w:r>
      <w:r w:rsidR="00152B2B" w:rsidRPr="007D313F">
        <w:rPr>
          <w:rFonts w:ascii="Times New Roman" w:hAnsi="Times New Roman" w:cs="Times New Roman"/>
          <w:sz w:val="24"/>
          <w:szCs w:val="24"/>
        </w:rPr>
        <w:t>women</w:t>
      </w:r>
      <w:r w:rsidRPr="007D313F">
        <w:rPr>
          <w:rFonts w:ascii="Times New Roman" w:hAnsi="Times New Roman" w:cs="Times New Roman"/>
          <w:sz w:val="24"/>
          <w:szCs w:val="24"/>
        </w:rPr>
        <w:t xml:space="preserve"> and serum UA levels</w:t>
      </w:r>
      <w:r w:rsidR="00AA6159" w:rsidRPr="007D313F">
        <w:rPr>
          <w:rFonts w:ascii="Times New Roman" w:hAnsi="Times New Roman" w:cs="Times New Roman"/>
          <w:sz w:val="24"/>
          <w:szCs w:val="24"/>
        </w:rPr>
        <w:t xml:space="preserve"> &gt;420 </w:t>
      </w:r>
      <w:proofErr w:type="spellStart"/>
      <w:r w:rsidR="00AA6159" w:rsidRPr="007D313F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="00AA6159" w:rsidRPr="007D313F">
        <w:rPr>
          <w:rFonts w:ascii="Times New Roman" w:hAnsi="Times New Roman" w:cs="Times New Roman"/>
          <w:sz w:val="24"/>
          <w:szCs w:val="24"/>
        </w:rPr>
        <w:t xml:space="preserve">/L in </w:t>
      </w:r>
      <w:r w:rsidR="00152B2B" w:rsidRPr="007D313F">
        <w:rPr>
          <w:rFonts w:ascii="Times New Roman" w:hAnsi="Times New Roman" w:cs="Times New Roman"/>
          <w:sz w:val="24"/>
          <w:szCs w:val="24"/>
        </w:rPr>
        <w:t>men</w:t>
      </w:r>
      <w:r w:rsidRPr="007D313F">
        <w:rPr>
          <w:rFonts w:ascii="Times New Roman" w:hAnsi="Times New Roman" w:cs="Times New Roman"/>
          <w:sz w:val="24"/>
          <w:szCs w:val="24"/>
        </w:rPr>
        <w:t xml:space="preserve"> are defined as hyperuricemia.</w:t>
      </w:r>
    </w:p>
    <w:p w14:paraId="48F3B7FC" w14:textId="14E9EF09" w:rsidR="004144DB" w:rsidRPr="007D313F" w:rsidRDefault="004144DB" w:rsidP="00835392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7D3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13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D313F">
        <w:rPr>
          <w:rFonts w:ascii="Times New Roman" w:hAnsi="Times New Roman" w:cs="Times New Roman"/>
          <w:sz w:val="24"/>
          <w:szCs w:val="24"/>
        </w:rPr>
        <w:t xml:space="preserve"> participants without hyperuricemia, the cutoff values of UA quartiles were</w:t>
      </w:r>
      <w:r w:rsidR="0053289D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="0053289D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206.5, 250.3, and 293.5 µmol/L for </w:t>
      </w:r>
      <w:r w:rsidR="00152B2B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women</w:t>
      </w:r>
      <w:r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 and</w:t>
      </w:r>
      <w:r w:rsidR="0053289D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53289D" w:rsidRPr="007D313F">
        <w:rPr>
          <w:rFonts w:ascii="Times New Roman" w:hAnsi="Times New Roman" w:cs="Times New Roman"/>
          <w:sz w:val="24"/>
          <w:szCs w:val="24"/>
        </w:rPr>
        <w:t xml:space="preserve">246.7, 292.1, and 342.0 </w:t>
      </w:r>
      <w:proofErr w:type="spellStart"/>
      <w:r w:rsidR="0053289D" w:rsidRPr="007D313F">
        <w:rPr>
          <w:rFonts w:ascii="Times New Roman" w:hAnsi="Times New Roman" w:cs="Times New Roman"/>
          <w:kern w:val="0"/>
          <w:sz w:val="24"/>
          <w:szCs w:val="24"/>
        </w:rPr>
        <w:t>μmol</w:t>
      </w:r>
      <w:proofErr w:type="spellEnd"/>
      <w:r w:rsidR="0053289D" w:rsidRPr="007D313F">
        <w:rPr>
          <w:rFonts w:ascii="Times New Roman" w:hAnsi="Times New Roman" w:cs="Times New Roman"/>
          <w:kern w:val="0"/>
          <w:sz w:val="24"/>
          <w:szCs w:val="24"/>
        </w:rPr>
        <w:t>/L</w:t>
      </w:r>
      <w:r w:rsidR="0053289D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for </w:t>
      </w:r>
      <w:r w:rsidR="00152B2B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men</w:t>
      </w:r>
      <w:r w:rsidRPr="007D313F">
        <w:rPr>
          <w:rFonts w:ascii="Times New Roman" w:hAnsi="Times New Roman" w:cs="Times New Roman"/>
          <w:sz w:val="24"/>
          <w:szCs w:val="24"/>
        </w:rPr>
        <w:t>.</w:t>
      </w:r>
    </w:p>
    <w:p w14:paraId="408425A4" w14:textId="77F4AB01" w:rsidR="004144DB" w:rsidRPr="007D313F" w:rsidRDefault="004144DB" w:rsidP="00835392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7D31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13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7D313F">
        <w:rPr>
          <w:rFonts w:ascii="Times New Roman" w:hAnsi="Times New Roman" w:cs="Times New Roman"/>
          <w:sz w:val="24"/>
          <w:szCs w:val="24"/>
        </w:rPr>
        <w:t xml:space="preserve"> participants with hyperuricemia, the cutoff values of UA quartiles were</w:t>
      </w:r>
      <w:r w:rsidR="00AA6159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="00AA6159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378.7, 401.6, and 449.5 µmol/L for </w:t>
      </w:r>
      <w:r w:rsidR="00152B2B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women</w:t>
      </w:r>
      <w:r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, and</w:t>
      </w:r>
      <w:r w:rsidR="00AA6159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="00AA6159" w:rsidRPr="007D313F">
        <w:rPr>
          <w:rFonts w:ascii="Times New Roman" w:hAnsi="Times New Roman" w:cs="Times New Roman"/>
          <w:sz w:val="24"/>
          <w:szCs w:val="24"/>
        </w:rPr>
        <w:t xml:space="preserve">440.5, </w:t>
      </w:r>
      <w:r w:rsidR="00AA6159" w:rsidRPr="007D313F">
        <w:rPr>
          <w:rFonts w:ascii="Times New Roman" w:eastAsia="宋体" w:hAnsi="Times New Roman" w:cs="Times New Roman"/>
          <w:kern w:val="0"/>
          <w:sz w:val="24"/>
          <w:szCs w:val="24"/>
        </w:rPr>
        <w:t>471.0</w:t>
      </w:r>
      <w:r w:rsidR="00AA6159" w:rsidRPr="007D313F">
        <w:rPr>
          <w:rFonts w:ascii="Times New Roman" w:hAnsi="Times New Roman" w:cs="Times New Roman"/>
          <w:sz w:val="24"/>
          <w:szCs w:val="24"/>
        </w:rPr>
        <w:t xml:space="preserve">, and 517.1 </w:t>
      </w:r>
      <w:proofErr w:type="spellStart"/>
      <w:r w:rsidR="00AA6159" w:rsidRPr="007D313F">
        <w:rPr>
          <w:rFonts w:ascii="Times New Roman" w:hAnsi="Times New Roman" w:cs="Times New Roman"/>
          <w:sz w:val="24"/>
          <w:szCs w:val="24"/>
        </w:rPr>
        <w:t>μmol</w:t>
      </w:r>
      <w:proofErr w:type="spellEnd"/>
      <w:r w:rsidR="00AA6159" w:rsidRPr="007D313F">
        <w:rPr>
          <w:rFonts w:ascii="Times New Roman" w:hAnsi="Times New Roman" w:cs="Times New Roman"/>
          <w:sz w:val="24"/>
          <w:szCs w:val="24"/>
        </w:rPr>
        <w:t>/L</w:t>
      </w:r>
      <w:r w:rsidR="00AA6159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for </w:t>
      </w:r>
      <w:r w:rsidR="00152B2B" w:rsidRPr="007D313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men</w:t>
      </w:r>
      <w:r w:rsidRPr="007D313F">
        <w:rPr>
          <w:rFonts w:ascii="Times New Roman" w:hAnsi="Times New Roman" w:cs="Times New Roman"/>
          <w:sz w:val="24"/>
          <w:szCs w:val="24"/>
        </w:rPr>
        <w:t>.</w:t>
      </w:r>
    </w:p>
    <w:p w14:paraId="7159A084" w14:textId="2A6C3A56" w:rsidR="004144DB" w:rsidRPr="007D313F" w:rsidRDefault="004144DB" w:rsidP="004144D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br w:type="page"/>
      </w:r>
    </w:p>
    <w:p w14:paraId="6094C8A2" w14:textId="08500D29" w:rsidR="0090495B" w:rsidRPr="007D313F" w:rsidRDefault="0090495B" w:rsidP="0090495B">
      <w:pPr>
        <w:jc w:val="left"/>
        <w:rPr>
          <w:rFonts w:ascii="Times New Roman" w:eastAsia="MYingHei_18030_C-Medium" w:hAnsi="Times New Roman" w:cs="Times New Roman"/>
          <w:color w:val="000000"/>
          <w:sz w:val="24"/>
          <w:szCs w:val="24"/>
        </w:rPr>
      </w:pP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lastRenderedPageBreak/>
        <w:t>Table</w:t>
      </w:r>
      <w:r w:rsidRPr="007D313F" w:rsidDel="002218A1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S</w:t>
      </w:r>
      <w:r w:rsidR="001C2D5C"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3</w:t>
      </w: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.</w:t>
      </w:r>
      <w:r w:rsidRPr="007D313F">
        <w:rPr>
          <w:rFonts w:ascii="Times New Roman" w:eastAsia="MYingHei_18030_C-Medium" w:hAnsi="Times New Roman" w:cs="Times New Roman"/>
          <w:color w:val="000000"/>
          <w:sz w:val="24"/>
          <w:szCs w:val="24"/>
        </w:rPr>
        <w:t xml:space="preserve"> </w:t>
      </w:r>
      <w:bookmarkStart w:id="6" w:name="_Hlk78061856"/>
      <w:r w:rsidRPr="007D313F">
        <w:rPr>
          <w:rFonts w:ascii="Times New Roman" w:eastAsia="MYingHei_18030_C-Medium" w:hAnsi="Times New Roman" w:cs="Times New Roman"/>
          <w:color w:val="000000"/>
          <w:sz w:val="24"/>
          <w:szCs w:val="24"/>
        </w:rPr>
        <w:t>Baseline characteristics of the included and excluded study participants.</w:t>
      </w:r>
      <w:bookmarkEnd w:id="6"/>
    </w:p>
    <w:p w14:paraId="02158A1B" w14:textId="77777777" w:rsidR="00AD3F72" w:rsidRPr="007D313F" w:rsidRDefault="00AD3F72" w:rsidP="0090495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8578" w:type="dxa"/>
        <w:jc w:val="center"/>
        <w:tblLook w:val="04A0" w:firstRow="1" w:lastRow="0" w:firstColumn="1" w:lastColumn="0" w:noHBand="0" w:noVBand="1"/>
      </w:tblPr>
      <w:tblGrid>
        <w:gridCol w:w="2494"/>
        <w:gridCol w:w="1521"/>
        <w:gridCol w:w="1521"/>
        <w:gridCol w:w="1521"/>
        <w:gridCol w:w="1521"/>
      </w:tblGrid>
      <w:tr w:rsidR="00D21C90" w:rsidRPr="007D313F" w14:paraId="57C4F432" w14:textId="77777777" w:rsidTr="00D21C90">
        <w:trPr>
          <w:trHeight w:val="397"/>
          <w:jc w:val="center"/>
        </w:trPr>
        <w:tc>
          <w:tcPr>
            <w:tcW w:w="2494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E24DA1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30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8EBC3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Participants, No. (%)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7341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4F2B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21C90" w:rsidRPr="007D313F" w14:paraId="2A08AC5A" w14:textId="77777777" w:rsidTr="00D21C90">
        <w:trPr>
          <w:trHeight w:val="397"/>
          <w:jc w:val="center"/>
        </w:trPr>
        <w:tc>
          <w:tcPr>
            <w:tcW w:w="2494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9D8F842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3B8CA80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 (n=5074)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33D781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Excluded (n=1971)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836457C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Included (n=3103)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5146236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D21C90" w:rsidRPr="007D313F" w14:paraId="0922C04B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8C08E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Age, mean ± SD, years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FC27C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83.6 ± 16.0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4B9A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81.3 ± 20.9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42F9C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85.1 ± 11.7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6FD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D21C90" w:rsidRPr="007D313F" w14:paraId="4D82A002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7C28F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Blood UA, means ± SD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F9C1A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289.7 ± 89.2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4551C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283.3 ± 87.4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1C779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293.3 ± 90.0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3E8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D21C90" w:rsidRPr="007D313F" w14:paraId="2438A29A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413F13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Sex, women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D8749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2883 (56.9)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BA4A8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1195 (60.8)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489028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1688 (54.4)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F212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D21C90" w:rsidRPr="007D313F" w14:paraId="0002F596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2ACF6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≥1 Years of education,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229FD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1938 (38.9)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1B9D5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 (42.8)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301E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1098 (36.3)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E1AB2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D21C90" w:rsidRPr="007D313F" w14:paraId="20026105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42395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Currently married,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25C56D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1940 (38.9)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3B40D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 (39.4)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EFBBD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1170 (38.5)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C5129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0.558</w:t>
            </w:r>
          </w:p>
        </w:tc>
      </w:tr>
      <w:tr w:rsidR="00D21C90" w:rsidRPr="007D313F" w14:paraId="4BACF798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0CF77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Regular exercise,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3C91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743 (16.2)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76947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 (12.1)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E996A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552 (18.4)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0626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D21C90" w:rsidRPr="007D313F" w14:paraId="047C1355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34FB2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Current smoking,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53276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 (17.4)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DDA7B2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 (14.7)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70E70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 (18.8)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1B00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D21C90" w:rsidRPr="007D313F" w14:paraId="1BCAA52C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E5C3A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Current alcohol drinking,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4E754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755 (16.3)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B3538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 (15.3)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5658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 (16.8)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5EBFA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0.202</w:t>
            </w:r>
          </w:p>
        </w:tc>
      </w:tr>
      <w:tr w:rsidR="00D21C90" w:rsidRPr="007D313F" w14:paraId="30CB6A20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F4A2C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BMI, mean ± SD, kg/m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D54D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21.4 ± 8.4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DD584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21.3 ± 4.6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4EF02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21.5 ± 10.1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21990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0.375</w:t>
            </w:r>
          </w:p>
        </w:tc>
      </w:tr>
      <w:tr w:rsidR="00D21C90" w:rsidRPr="007D313F" w14:paraId="6C72D377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32C0A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Central obesity, yes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a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D2A04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2045 (41.1)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19FA3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742 (39.1)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6154B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 (42.3)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B95D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0.023</w:t>
            </w:r>
          </w:p>
        </w:tc>
      </w:tr>
      <w:tr w:rsidR="00D21C90" w:rsidRPr="007D313F" w14:paraId="19A13BA5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75C4B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Adequate medical service,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0C57A0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4358 (93.7)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A7FAC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1494 (93.2)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0CE91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2864 (93.9)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1456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0.351</w:t>
            </w:r>
          </w:p>
        </w:tc>
      </w:tr>
      <w:tr w:rsidR="00D21C90" w:rsidRPr="007D313F" w14:paraId="25ED494D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9E2A3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Hypertension,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85BC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2649 (52.4)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6F0C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919 (46.9)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12286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1730 (55.8)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622AF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D21C90" w:rsidRPr="007D313F" w14:paraId="3875F802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1CB84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Diabetes mellitus,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957CC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 (10.1)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A2CF1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 (9.3)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AC887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 (10.7)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BDEFA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0.117</w:t>
            </w:r>
          </w:p>
        </w:tc>
      </w:tr>
      <w:tr w:rsidR="00D21C90" w:rsidRPr="007D313F" w14:paraId="0103F189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840BE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Heart disease, yes (%)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86E99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 (6.7)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7B88E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 (5.2)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D250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 (7.7)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41FC6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D21C90" w:rsidRPr="007D313F" w14:paraId="688E967C" w14:textId="77777777" w:rsidTr="00D21C90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F55B8F7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Stroke/CVD, yes (%)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6A584F1" w14:textId="77777777" w:rsidR="00D21C90" w:rsidRPr="007D313F" w:rsidRDefault="00D21C90" w:rsidP="005C405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 (5.8)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6E9F324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 (6.3)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821AFA8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 (5.4)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F5C7203" w14:textId="77777777" w:rsidR="00D21C90" w:rsidRPr="007D313F" w:rsidRDefault="00D21C90" w:rsidP="005C405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0.200</w:t>
            </w:r>
          </w:p>
        </w:tc>
      </w:tr>
    </w:tbl>
    <w:p w14:paraId="0ACA69E0" w14:textId="124C5E9D" w:rsidR="004925C9" w:rsidRPr="007D313F" w:rsidRDefault="004925C9" w:rsidP="0090495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Abbreviations: UA, uric acid; SD, standard deviation; BMI, body mass index; CVD, cardiovascular disease.</w:t>
      </w:r>
    </w:p>
    <w:p w14:paraId="20485DB5" w14:textId="6C549E71" w:rsidR="0090495B" w:rsidRPr="007D313F" w:rsidRDefault="0090495B" w:rsidP="0090495B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 xml:space="preserve">Note: Values are given as No. (%) unless otherwise stated. </w:t>
      </w:r>
    </w:p>
    <w:p w14:paraId="133FA154" w14:textId="65D1208E" w:rsidR="0090495B" w:rsidRPr="007D313F" w:rsidRDefault="0090495B" w:rsidP="0090495B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a 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>Central obesity (yes vs no) was defined as waist circumference (WC) ≥8</w:t>
      </w:r>
      <w:r w:rsidR="007D1899" w:rsidRPr="007D313F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 cm in </w:t>
      </w:r>
      <w:r w:rsidR="00152B2B" w:rsidRPr="007D313F">
        <w:rPr>
          <w:rFonts w:ascii="Times New Roman" w:hAnsi="Times New Roman" w:cs="Times New Roman"/>
          <w:kern w:val="0"/>
          <w:sz w:val="24"/>
          <w:szCs w:val="24"/>
        </w:rPr>
        <w:t>women</w:t>
      </w:r>
      <w:r w:rsidR="003E1C23" w:rsidRPr="007D31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>and WC ≥8</w:t>
      </w:r>
      <w:r w:rsidR="007D1899" w:rsidRPr="007D313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 cm in </w:t>
      </w:r>
      <w:r w:rsidR="00152B2B" w:rsidRPr="007D313F">
        <w:rPr>
          <w:rFonts w:ascii="Times New Roman" w:hAnsi="Times New Roman" w:cs="Times New Roman"/>
          <w:kern w:val="0"/>
          <w:sz w:val="24"/>
          <w:szCs w:val="24"/>
        </w:rPr>
        <w:t>men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B1CCC51" w14:textId="3C64BE60" w:rsidR="0090495B" w:rsidRPr="007D313F" w:rsidRDefault="0090495B" w:rsidP="0090495B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D313F">
        <w:rPr>
          <w:rFonts w:ascii="Times New Roman" w:eastAsia="宋体" w:hAnsi="Times New Roman" w:cs="Times New Roman"/>
          <w:b/>
          <w:bCs/>
          <w:sz w:val="24"/>
          <w:szCs w:val="24"/>
        </w:rPr>
        <w:br w:type="page"/>
      </w:r>
    </w:p>
    <w:p w14:paraId="2DBEEF40" w14:textId="18EDD117" w:rsidR="003E1C23" w:rsidRPr="007D313F" w:rsidRDefault="003E1C23" w:rsidP="003E1C23">
      <w:pPr>
        <w:rPr>
          <w:rFonts w:ascii="Times New Roman" w:eastAsia="MYingHei_18030_C-Medium" w:hAnsi="Times New Roman" w:cs="Times New Roman"/>
          <w:color w:val="000000"/>
          <w:sz w:val="24"/>
          <w:szCs w:val="24"/>
        </w:rPr>
      </w:pP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lastRenderedPageBreak/>
        <w:t>Table</w:t>
      </w:r>
      <w:r w:rsidRPr="007D313F" w:rsidDel="002218A1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S</w:t>
      </w:r>
      <w:r w:rsidR="001C2D5C"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4</w:t>
      </w: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.</w:t>
      </w:r>
      <w:r w:rsidRPr="007D313F">
        <w:rPr>
          <w:rFonts w:ascii="Times New Roman" w:eastAsia="MYingHei_18030_C-Medium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7" w:name="_Hlk78061873"/>
      <w:r w:rsidRPr="007D313F">
        <w:rPr>
          <w:rFonts w:ascii="Times New Roman" w:eastAsia="MYingHei_18030_C-Medium" w:hAnsi="Times New Roman" w:cs="Times New Roman"/>
          <w:color w:val="000000"/>
          <w:sz w:val="24"/>
          <w:szCs w:val="24"/>
        </w:rPr>
        <w:t>Baseline characteristics of study participants by different enrolled times.</w:t>
      </w:r>
      <w:bookmarkEnd w:id="7"/>
    </w:p>
    <w:p w14:paraId="767B27B9" w14:textId="77777777" w:rsidR="00AD3F72" w:rsidRPr="007D313F" w:rsidRDefault="00AD3F72" w:rsidP="003E1C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jc w:val="center"/>
        <w:tblLook w:val="04A0" w:firstRow="1" w:lastRow="0" w:firstColumn="1" w:lastColumn="0" w:noHBand="0" w:noVBand="1"/>
      </w:tblPr>
      <w:tblGrid>
        <w:gridCol w:w="2494"/>
        <w:gridCol w:w="1417"/>
        <w:gridCol w:w="1417"/>
        <w:gridCol w:w="1417"/>
        <w:gridCol w:w="1417"/>
        <w:gridCol w:w="1108"/>
      </w:tblGrid>
      <w:tr w:rsidR="0027543D" w:rsidRPr="007D313F" w14:paraId="03DACECE" w14:textId="77777777" w:rsidTr="007B6C3D">
        <w:trPr>
          <w:trHeight w:val="397"/>
          <w:jc w:val="center"/>
        </w:trPr>
        <w:tc>
          <w:tcPr>
            <w:tcW w:w="249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552EFA0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B4E1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F96E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2008 wave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C1D5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2012 wave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F5AA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2014 wave</w:t>
            </w:r>
          </w:p>
        </w:tc>
        <w:tc>
          <w:tcPr>
            <w:tcW w:w="1108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F0527F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 Value</w:t>
            </w:r>
          </w:p>
        </w:tc>
      </w:tr>
      <w:tr w:rsidR="0027543D" w:rsidRPr="007D313F" w14:paraId="6C565E6F" w14:textId="77777777" w:rsidTr="007B6C3D">
        <w:trPr>
          <w:trHeight w:val="397"/>
          <w:jc w:val="center"/>
        </w:trPr>
        <w:tc>
          <w:tcPr>
            <w:tcW w:w="249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C3C5E6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2FF27C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(N=3103)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1A6EA4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(N=949)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B762A2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(N=1307)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F3B6F1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(N=847)</w:t>
            </w:r>
          </w:p>
        </w:tc>
        <w:tc>
          <w:tcPr>
            <w:tcW w:w="1108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621737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7543D" w:rsidRPr="007D313F" w14:paraId="75D40BAC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1C4DB" w14:textId="361D6951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Age, mean ± SD, years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9DB3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85.1 ± 11.7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B24F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86.0 ± 12.0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6181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83.5 ± 11.8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16BD3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86.5 ± 10.7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9E4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1E426615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0B08E" w14:textId="300B2245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Blood UA, means ± SD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2272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293.3 ± 90.0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4EEC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278.6 ± 88.4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8A8B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298.2 ± 93.8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E958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302.0 ± 83.7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6B73B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693755A8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2F530" w14:textId="22DAD416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Sex, </w:t>
            </w:r>
            <w:r w:rsidR="00152B2B"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women</w:t>
            </w: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5302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1688 (54.4)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5B3A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546 (57.5)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A7CF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669 (51.2)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9D5E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473 (55.8)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F7FD2" w14:textId="0E84B5D6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0.007</w:t>
            </w:r>
          </w:p>
        </w:tc>
      </w:tr>
      <w:tr w:rsidR="0027543D" w:rsidRPr="007D313F" w14:paraId="347F8DAF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DFAF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≥1 Years of education,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226B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1098 (36.3)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3B81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297 (31.4)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9DEA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536 (41.7)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FE75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265 (33.5)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9D3C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0A022863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B321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Currently married,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6E5D9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1170 (38.5)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89E7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310 (32.7)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4928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570 (45.3)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50CB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290 (34.9)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A5CEF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79F4097F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4101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Regular exercise,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A300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552 (18.4)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92399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194 (20.4)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7372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222 (18.0)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BDE4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136 (16.4)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C624E" w14:textId="1DB04646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0.086</w:t>
            </w:r>
          </w:p>
        </w:tc>
      </w:tr>
      <w:tr w:rsidR="0027543D" w:rsidRPr="007D313F" w14:paraId="2CA1155D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1D521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Current smoking,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1EC4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2476 (81.2)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2500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742 (78.2)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546D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1012 (80.4)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C146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722 (85.9)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69863" w14:textId="12AD4EAF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0.000</w:t>
            </w:r>
          </w:p>
        </w:tc>
      </w:tr>
      <w:tr w:rsidR="0027543D" w:rsidRPr="007D313F" w14:paraId="4FFB34B4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4CF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Current alcohol drinking,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E010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2532 (83.2)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997C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771 (81.2)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1406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1036 (82.4)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1953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725 (86.7)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5AC2D" w14:textId="484B7AA8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</w:tr>
      <w:tr w:rsidR="0027543D" w:rsidRPr="007D313F" w14:paraId="59FE485E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1CF0E" w14:textId="2F7D3B85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BMI, mean ± SD, kg/m</w:t>
            </w: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13AF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21.5 ± 10.1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0826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20.3 ± 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8884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21.7 ± 7.6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20A2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22.5 ± 16.7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C50A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05AA3EA1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B1F1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Central obesity, yes</w:t>
            </w: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a</w:t>
            </w: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552A4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1777 (57.7)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4772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573 (60.6)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B1EC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766 (59.1)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99B4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438 (52.2)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7CA57" w14:textId="08935EFD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0.001</w:t>
            </w:r>
          </w:p>
        </w:tc>
      </w:tr>
      <w:tr w:rsidR="0027543D" w:rsidRPr="007D313F" w14:paraId="36082471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163D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Adequate medical service,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D0995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2864 (93.9)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7248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847 (89.3)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10FE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1195 (94.9)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D02D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822 (97.6)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2C2C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2CBE4FA8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AC11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Hypertension,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E787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1730 (55.8)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0DA8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422 (44.6)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2C50B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770 (59.0)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0ACD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538 (63.5)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33DF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27543D" w:rsidRPr="007D313F" w14:paraId="457C3BCF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2A8C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Diabetes mellitus,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20F2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331 (10.7)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CD0E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110 (11.6)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6A6B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112 (8.6)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6F6A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109 (12.9)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035C9" w14:textId="08037B0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0.004</w:t>
            </w:r>
          </w:p>
        </w:tc>
      </w:tr>
      <w:tr w:rsidR="0027543D" w:rsidRPr="007D313F" w14:paraId="2C936088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F3B3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Heart disease, yes (%)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027C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232 (7.7)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2622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58 (6.2)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DCEEE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99 (7.7)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5E13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75 (9.5)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EF2BF" w14:textId="16A3FDB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0.036</w:t>
            </w:r>
          </w:p>
        </w:tc>
      </w:tr>
      <w:tr w:rsidR="0027543D" w:rsidRPr="007D313F" w14:paraId="5671E5EE" w14:textId="77777777" w:rsidTr="007B6C3D">
        <w:trPr>
          <w:trHeight w:val="397"/>
          <w:jc w:val="center"/>
        </w:trPr>
        <w:tc>
          <w:tcPr>
            <w:tcW w:w="2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2CEAFE6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Stroke/CVD, yes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E2E635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165 (5.4)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4A6346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33 (3.5)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7365DC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86 (6.7)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BB8011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46 (5.8)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D0DD35A" w14:textId="2C4902F7" w:rsidR="00512BA6" w:rsidRPr="007D313F" w:rsidRDefault="00512BA6" w:rsidP="00512BA6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0.005</w:t>
            </w:r>
          </w:p>
        </w:tc>
      </w:tr>
    </w:tbl>
    <w:p w14:paraId="38F639B7" w14:textId="4954B6DA" w:rsidR="004925C9" w:rsidRPr="007D313F" w:rsidRDefault="004925C9" w:rsidP="004A42F2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Abbreviations: UA, uric acid; SD, standard deviation; BMI, body mass index; CVD, cardiovascular disease.</w:t>
      </w:r>
    </w:p>
    <w:p w14:paraId="108ABB0E" w14:textId="1CDA95EB" w:rsidR="00B74023" w:rsidRPr="007D313F" w:rsidRDefault="003E1C23" w:rsidP="00B74023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Note: Values are given as N</w:t>
      </w:r>
      <w:r w:rsidR="004A42F2" w:rsidRPr="007D313F">
        <w:rPr>
          <w:rFonts w:ascii="Times New Roman" w:hAnsi="Times New Roman" w:cs="Times New Roman"/>
          <w:sz w:val="24"/>
          <w:szCs w:val="24"/>
        </w:rPr>
        <w:t>o. (%) unless otherwise stated.</w:t>
      </w:r>
      <w:r w:rsidR="00B74023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>In 2008 to 2014 wave, the numbers of participants with missing data are 2, 21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>56 in education; 35, 53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>95 in BMI; 4, 11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>8 in central obesity; 3, 1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>0 in Hypertension; 110, 112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 xml:space="preserve"> 109 in diabetes mellitus; 7, 20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 xml:space="preserve"> 55 in heart disease; 6, 16</w:t>
      </w:r>
      <w:r w:rsidR="0027543D"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</w:t>
      </w:r>
      <w:r w:rsidR="00B74023" w:rsidRPr="007D313F">
        <w:rPr>
          <w:rFonts w:ascii="Times New Roman" w:hAnsi="Times New Roman" w:cs="Times New Roman"/>
          <w:kern w:val="0"/>
          <w:sz w:val="24"/>
          <w:szCs w:val="24"/>
        </w:rPr>
        <w:t xml:space="preserve"> 49 in stroke/CVD, respectively.</w:t>
      </w:r>
    </w:p>
    <w:p w14:paraId="3E1FC17C" w14:textId="0A10E9D3" w:rsidR="0027543D" w:rsidRPr="007D313F" w:rsidRDefault="003E1C23" w:rsidP="00AC28A4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a 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>Central obesity (yes vs no) was defined as waist circumference (WC) ≥8</w:t>
      </w:r>
      <w:r w:rsidR="001F53B4" w:rsidRPr="007D313F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 cm in </w:t>
      </w:r>
      <w:r w:rsidR="00152B2B" w:rsidRPr="007D313F">
        <w:rPr>
          <w:rFonts w:ascii="Times New Roman" w:hAnsi="Times New Roman" w:cs="Times New Roman"/>
          <w:kern w:val="0"/>
          <w:sz w:val="24"/>
          <w:szCs w:val="24"/>
        </w:rPr>
        <w:t>women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 and WC≥8</w:t>
      </w:r>
      <w:r w:rsidR="001F53B4" w:rsidRPr="007D313F">
        <w:rPr>
          <w:rFonts w:ascii="Times New Roman" w:hAnsi="Times New Roman" w:cs="Times New Roman"/>
          <w:kern w:val="0"/>
          <w:sz w:val="24"/>
          <w:szCs w:val="24"/>
        </w:rPr>
        <w:t>5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 cm in </w:t>
      </w:r>
      <w:r w:rsidR="00152B2B" w:rsidRPr="007D313F">
        <w:rPr>
          <w:rFonts w:ascii="Times New Roman" w:hAnsi="Times New Roman" w:cs="Times New Roman"/>
          <w:kern w:val="0"/>
          <w:sz w:val="24"/>
          <w:szCs w:val="24"/>
        </w:rPr>
        <w:t>men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>.</w:t>
      </w:r>
      <w:r w:rsidR="00CC034F" w:rsidRPr="007D313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5E6E871" w14:textId="77777777" w:rsidR="0027543D" w:rsidRPr="007D313F" w:rsidRDefault="0027543D">
      <w:pPr>
        <w:widowControl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kern w:val="0"/>
          <w:sz w:val="24"/>
          <w:szCs w:val="24"/>
        </w:rPr>
        <w:br w:type="page"/>
      </w:r>
    </w:p>
    <w:p w14:paraId="43FC0C7C" w14:textId="380C17A7" w:rsidR="00AF06DE" w:rsidRDefault="00AF06DE" w:rsidP="00AF06DE">
      <w:pPr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lastRenderedPageBreak/>
        <w:t>Table</w:t>
      </w:r>
      <w:r w:rsidRPr="007D313F" w:rsidDel="002218A1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S</w:t>
      </w:r>
      <w:r w:rsidR="001C2D5C"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5</w:t>
      </w:r>
      <w:r w:rsidRPr="007D31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8" w:name="_Hlk78061883"/>
      <w:r w:rsidRPr="007D313F">
        <w:rPr>
          <w:rFonts w:ascii="Times New Roman" w:hAnsi="Times New Roman" w:cs="Times New Roman"/>
          <w:sz w:val="24"/>
          <w:szCs w:val="24"/>
        </w:rPr>
        <w:t>Baseline characteristics of study participants by UA quartiles for the cross-sectional analyses</w:t>
      </w:r>
    </w:p>
    <w:p w14:paraId="42F43B35" w14:textId="77777777" w:rsidR="007D313F" w:rsidRPr="007D313F" w:rsidRDefault="007D313F" w:rsidP="00AF06DE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13" w:type="dxa"/>
        <w:jc w:val="center"/>
        <w:tblLook w:val="04A0" w:firstRow="1" w:lastRow="0" w:firstColumn="1" w:lastColumn="0" w:noHBand="0" w:noVBand="1"/>
      </w:tblPr>
      <w:tblGrid>
        <w:gridCol w:w="2211"/>
        <w:gridCol w:w="1361"/>
        <w:gridCol w:w="1361"/>
        <w:gridCol w:w="1361"/>
        <w:gridCol w:w="1361"/>
        <w:gridCol w:w="1361"/>
        <w:gridCol w:w="997"/>
      </w:tblGrid>
      <w:tr w:rsidR="00512BA6" w:rsidRPr="007D313F" w14:paraId="570D85E4" w14:textId="77777777" w:rsidTr="007B6C3D">
        <w:trPr>
          <w:trHeight w:val="397"/>
          <w:jc w:val="center"/>
        </w:trPr>
        <w:tc>
          <w:tcPr>
            <w:tcW w:w="221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bookmarkEnd w:id="8"/>
          <w:p w14:paraId="0EE1E37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Characteristics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0768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08750" w14:textId="646244D5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Q1</w:t>
            </w:r>
            <w:r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3F99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Q2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A83B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Q3</w:t>
            </w:r>
          </w:p>
        </w:tc>
        <w:tc>
          <w:tcPr>
            <w:tcW w:w="136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C2BB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Q4</w:t>
            </w:r>
          </w:p>
        </w:tc>
        <w:tc>
          <w:tcPr>
            <w:tcW w:w="99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51D30" w14:textId="68C5C43D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 </w:t>
            </w:r>
            <w:r w:rsidR="004144DB"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</w:t>
            </w: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alue</w:t>
            </w:r>
          </w:p>
        </w:tc>
      </w:tr>
      <w:tr w:rsidR="00512BA6" w:rsidRPr="007D313F" w14:paraId="02B673C5" w14:textId="77777777" w:rsidTr="007B6C3D">
        <w:trPr>
          <w:trHeight w:val="397"/>
          <w:jc w:val="center"/>
        </w:trPr>
        <w:tc>
          <w:tcPr>
            <w:tcW w:w="2211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CD6524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51FF89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(N=3899)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3691720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(N=975)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4D166D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(N=972)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706230B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(N=976)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01F3158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(N=976)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  <w:vAlign w:val="center"/>
            <w:hideMark/>
          </w:tcPr>
          <w:p w14:paraId="658D8F11" w14:textId="76C971A0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12BA6" w:rsidRPr="007D313F" w14:paraId="2A7C7B46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408F6" w14:textId="489465CF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Age, mean ± SD, years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88847" w14:textId="085FB809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86.7 ± 12.1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10481" w14:textId="097E96E9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84.9 ± 12.8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C6943D" w14:textId="5EDFAF59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86.5 ± 12.0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31DE05" w14:textId="0B44ECBE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87.3 ± 11.5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F5B60" w14:textId="6785AAAF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88.1 ± 11.6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171E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512BA6" w:rsidRPr="007D313F" w14:paraId="2A51E407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1EEAC" w14:textId="587A269E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Sex, </w:t>
            </w:r>
            <w:r w:rsidR="00152B2B"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women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DDF7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2227 (57.1)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F31E7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557 (57.1)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5933A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554 (57.0)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DEE8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558 (57.2)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4EF2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558 (57.2)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6E4B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1.000 </w:t>
            </w:r>
          </w:p>
        </w:tc>
      </w:tr>
      <w:tr w:rsidR="00512BA6" w:rsidRPr="007D313F" w14:paraId="3EA3F9C0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5B15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≥1 years of education</w:t>
            </w:r>
            <w:r w:rsidRPr="007D313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042E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1313 (34.3)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64310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321 (33.4)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A86F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316 (33.0)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91B0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334 (34.9)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FDA0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342 (35.9)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D092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0.510 </w:t>
            </w:r>
          </w:p>
        </w:tc>
      </w:tr>
      <w:tr w:rsidR="00512BA6" w:rsidRPr="007D313F" w14:paraId="00DC6962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10E9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Currently married,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C0E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1329 (34.3)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1B2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348 (35.8)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48A5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342 (35.5)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B917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333 (34.3)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8174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 (31.5)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226E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0.181 </w:t>
            </w:r>
          </w:p>
        </w:tc>
      </w:tr>
      <w:tr w:rsidR="00512BA6" w:rsidRPr="007D313F" w14:paraId="0395AB1D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37DD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Regular exercise,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E6AA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634 (16.6)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E890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 (12.6)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CD45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171 (17.9)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A3FC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 (18.1)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CB38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169 (17.7)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8FB81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</w:tr>
      <w:tr w:rsidR="00512BA6" w:rsidRPr="007D313F" w14:paraId="704F358A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234E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Current smoking,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452B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668 (17.2)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522C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169 (17.4)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4C56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 (16.0)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6ADD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 (17.3)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487A8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176 (18.1)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09FC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0.648 </w:t>
            </w:r>
          </w:p>
        </w:tc>
      </w:tr>
      <w:tr w:rsidR="00512BA6" w:rsidRPr="007D313F" w14:paraId="7507E8C4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5E69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Current alcohol drinking,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B373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603 (15.6)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14FE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 (14.8)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4445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 (13.9)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E802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 (16.4)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6CA4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 (17.1)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9BFB6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0.193 </w:t>
            </w:r>
          </w:p>
        </w:tc>
      </w:tr>
      <w:tr w:rsidR="00512BA6" w:rsidRPr="007D313F" w14:paraId="36F1D73F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A54F" w14:textId="6EF8575E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BMI, mean ± SD, kg/m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C79627" w14:textId="1474F413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21.2 ± 9.2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81076" w14:textId="354F6A94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20.6 ± 3.4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C64D8" w14:textId="3D474830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21.6 ± 15.4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B59479" w14:textId="5E4F516A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21.3 ± 5.9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DD646" w14:textId="44C4F324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 ± 7.3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21FFD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0.083 </w:t>
            </w:r>
          </w:p>
        </w:tc>
      </w:tr>
      <w:tr w:rsidR="00512BA6" w:rsidRPr="007D313F" w14:paraId="3D082A42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B5769" w14:textId="3AE094C6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Central obesity 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55AF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1530 (39.7)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EBCD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347 (36.0)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0916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371 (38.8)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5EBF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383 (39.7)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A1F45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429 (44.3)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AE914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0.002 </w:t>
            </w:r>
          </w:p>
        </w:tc>
      </w:tr>
      <w:tr w:rsidR="00512BA6" w:rsidRPr="007D313F" w14:paraId="18EE3136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9FB2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Adequate medical service,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58E9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3639 (93.6)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D0FC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892 (92.1)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2161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908 (93.8)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7167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923 (94.7)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05115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916 (93.9)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829F4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0.112 </w:t>
            </w:r>
          </w:p>
        </w:tc>
      </w:tr>
      <w:tr w:rsidR="00512BA6" w:rsidRPr="007D313F" w14:paraId="4325C254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2A79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Hypertension,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A7A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2180 (56.0)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F4F1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470 (48.3)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9CE0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509 (52.5)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247AC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589 (60.3)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47CDB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612 (62.8)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6C2A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</w:p>
        </w:tc>
      </w:tr>
      <w:tr w:rsidR="00512BA6" w:rsidRPr="007D313F" w14:paraId="71B640CA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CE59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Diabetes mellitus,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F7F0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424 (10.9)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58445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 (9.8)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1DA6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 (8.5)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4686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 (12.6)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5053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 (12.5)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6D13F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0.007 </w:t>
            </w:r>
          </w:p>
        </w:tc>
      </w:tr>
      <w:tr w:rsidR="00512BA6" w:rsidRPr="007D313F" w14:paraId="6457385E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07C9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Heart Disease, yes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8ACC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278 (7.3)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86AB7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 (7.5)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2B909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 (6.0)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15DD8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 (7.6)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9FD9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 (8.2)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14BD6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0.333 </w:t>
            </w:r>
          </w:p>
        </w:tc>
      </w:tr>
      <w:tr w:rsidR="00512BA6" w:rsidRPr="007D313F" w14:paraId="54C39047" w14:textId="77777777" w:rsidTr="007B6C3D">
        <w:trPr>
          <w:trHeight w:val="397"/>
          <w:jc w:val="center"/>
        </w:trPr>
        <w:tc>
          <w:tcPr>
            <w:tcW w:w="22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11A500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Stroke/CVD, yes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97C18BE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231 (6.1)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8CE1DD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 (7.5)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765ADCB3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 (5.3)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16D1AFF2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 (5.2)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557A691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 (6.2)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0E9DBF60" w14:textId="77777777" w:rsidR="00512BA6" w:rsidRPr="007D313F" w:rsidRDefault="00512BA6" w:rsidP="00512BA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0.130 </w:t>
            </w:r>
          </w:p>
        </w:tc>
      </w:tr>
    </w:tbl>
    <w:p w14:paraId="53FCB5BE" w14:textId="27E6A84A" w:rsidR="002C057F" w:rsidRPr="007D313F" w:rsidRDefault="002C057F" w:rsidP="0027543D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Abbreviations: UA, uric acid; BMI, body mass index; SD, standard deviation; CVD, cardiovascular disease.</w:t>
      </w:r>
    </w:p>
    <w:p w14:paraId="76721F74" w14:textId="4A5257BC" w:rsidR="00351A3C" w:rsidRPr="007D313F" w:rsidRDefault="00351A3C" w:rsidP="0027543D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Note: Values are given as No. (%) unless otherwise stated.</w:t>
      </w:r>
    </w:p>
    <w:p w14:paraId="132DAA24" w14:textId="6551E033" w:rsidR="00351A3C" w:rsidRPr="007D313F" w:rsidRDefault="00351A3C" w:rsidP="002754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512BA6" w:rsidRPr="007D313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12BA6" w:rsidRPr="007D313F">
        <w:rPr>
          <w:rFonts w:ascii="Times New Roman" w:hAnsi="Times New Roman" w:cs="Times New Roman"/>
          <w:sz w:val="24"/>
          <w:szCs w:val="24"/>
        </w:rPr>
        <w:t xml:space="preserve"> cutoff values were </w:t>
      </w:r>
      <w:r w:rsidR="004A42F2" w:rsidRPr="007D313F">
        <w:rPr>
          <w:rFonts w:ascii="Times New Roman" w:hAnsi="Times New Roman" w:cs="Times New Roman"/>
          <w:sz w:val="24"/>
          <w:szCs w:val="24"/>
        </w:rPr>
        <w:t xml:space="preserve">214.2, 264.0, and 319.0 µmol/L for </w:t>
      </w:r>
      <w:r w:rsidR="00152B2B" w:rsidRPr="007D313F">
        <w:rPr>
          <w:rFonts w:ascii="Times New Roman" w:hAnsi="Times New Roman" w:cs="Times New Roman"/>
          <w:sz w:val="24"/>
          <w:szCs w:val="24"/>
        </w:rPr>
        <w:t>women</w:t>
      </w:r>
      <w:r w:rsidR="00512BA6" w:rsidRPr="007D313F">
        <w:rPr>
          <w:rFonts w:ascii="Times New Roman" w:hAnsi="Times New Roman" w:cs="Times New Roman"/>
          <w:sz w:val="24"/>
          <w:szCs w:val="24"/>
        </w:rPr>
        <w:t>, and</w:t>
      </w:r>
      <w:r w:rsidR="004A42F2" w:rsidRPr="007D313F">
        <w:rPr>
          <w:rFonts w:ascii="Times New Roman" w:hAnsi="Times New Roman" w:cs="Times New Roman"/>
          <w:sz w:val="24"/>
          <w:szCs w:val="24"/>
        </w:rPr>
        <w:t xml:space="preserve"> 252.0, 304.6, and 364.5 µmol/L for </w:t>
      </w:r>
      <w:r w:rsidR="00152B2B" w:rsidRPr="007D313F">
        <w:rPr>
          <w:rFonts w:ascii="Times New Roman" w:hAnsi="Times New Roman" w:cs="Times New Roman"/>
          <w:sz w:val="24"/>
          <w:szCs w:val="24"/>
        </w:rPr>
        <w:t>men</w:t>
      </w:r>
      <w:r w:rsidR="00512BA6" w:rsidRPr="007D313F">
        <w:rPr>
          <w:rFonts w:ascii="Times New Roman" w:hAnsi="Times New Roman" w:cs="Times New Roman"/>
          <w:sz w:val="24"/>
          <w:szCs w:val="24"/>
        </w:rPr>
        <w:t>.</w:t>
      </w:r>
    </w:p>
    <w:p w14:paraId="59E4EA70" w14:textId="32A0AA13" w:rsidR="00ED4731" w:rsidRPr="007D313F" w:rsidRDefault="00351A3C" w:rsidP="0027543D">
      <w:pPr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 xml:space="preserve">b </w:t>
      </w:r>
      <w:r w:rsidRPr="007D313F">
        <w:rPr>
          <w:rFonts w:ascii="Times New Roman" w:hAnsi="Times New Roman" w:cs="Times New Roman"/>
          <w:sz w:val="24"/>
          <w:szCs w:val="24"/>
        </w:rPr>
        <w:t>Central obesity (yes vs no) was defined as waist circumference (WC) ≥8</w:t>
      </w:r>
      <w:r w:rsidR="001F53B4" w:rsidRPr="007D313F">
        <w:rPr>
          <w:rFonts w:ascii="Times New Roman" w:hAnsi="Times New Roman" w:cs="Times New Roman"/>
          <w:sz w:val="24"/>
          <w:szCs w:val="24"/>
        </w:rPr>
        <w:t>0</w:t>
      </w:r>
      <w:r w:rsidRPr="007D313F">
        <w:rPr>
          <w:rFonts w:ascii="Times New Roman" w:hAnsi="Times New Roman" w:cs="Times New Roman"/>
          <w:sz w:val="24"/>
          <w:szCs w:val="24"/>
        </w:rPr>
        <w:t xml:space="preserve"> cm in </w:t>
      </w:r>
      <w:r w:rsidR="00152B2B" w:rsidRPr="007D313F">
        <w:rPr>
          <w:rFonts w:ascii="Times New Roman" w:hAnsi="Times New Roman" w:cs="Times New Roman"/>
          <w:sz w:val="24"/>
          <w:szCs w:val="24"/>
        </w:rPr>
        <w:t>women</w:t>
      </w:r>
      <w:r w:rsidRPr="007D313F">
        <w:rPr>
          <w:rFonts w:ascii="Times New Roman" w:hAnsi="Times New Roman" w:cs="Times New Roman"/>
          <w:sz w:val="24"/>
          <w:szCs w:val="24"/>
        </w:rPr>
        <w:t xml:space="preserve"> and WC ≥8</w:t>
      </w:r>
      <w:r w:rsidR="001F53B4" w:rsidRPr="007D313F">
        <w:rPr>
          <w:rFonts w:ascii="Times New Roman" w:hAnsi="Times New Roman" w:cs="Times New Roman"/>
          <w:sz w:val="24"/>
          <w:szCs w:val="24"/>
        </w:rPr>
        <w:t>5</w:t>
      </w:r>
      <w:r w:rsidRPr="007D313F">
        <w:rPr>
          <w:rFonts w:ascii="Times New Roman" w:hAnsi="Times New Roman" w:cs="Times New Roman"/>
          <w:sz w:val="24"/>
          <w:szCs w:val="24"/>
        </w:rPr>
        <w:t xml:space="preserve"> cm in </w:t>
      </w:r>
      <w:r w:rsidR="00152B2B" w:rsidRPr="007D313F">
        <w:rPr>
          <w:rFonts w:ascii="Times New Roman" w:hAnsi="Times New Roman" w:cs="Times New Roman"/>
          <w:sz w:val="24"/>
          <w:szCs w:val="24"/>
        </w:rPr>
        <w:t>men</w:t>
      </w:r>
      <w:r w:rsidRPr="007D313F">
        <w:rPr>
          <w:rFonts w:ascii="Times New Roman" w:hAnsi="Times New Roman" w:cs="Times New Roman"/>
          <w:sz w:val="24"/>
          <w:szCs w:val="24"/>
        </w:rPr>
        <w:t>.</w:t>
      </w:r>
    </w:p>
    <w:p w14:paraId="1C1A7EFF" w14:textId="6863F36B" w:rsidR="00351A3C" w:rsidRPr="007D313F" w:rsidRDefault="00ED4731" w:rsidP="0027543D">
      <w:pPr>
        <w:widowControl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br w:type="page"/>
      </w:r>
    </w:p>
    <w:p w14:paraId="05B4E103" w14:textId="48098494" w:rsidR="00351A3C" w:rsidRPr="007D313F" w:rsidRDefault="00351A3C" w:rsidP="00351A3C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9" w:name="_Hlk57749864"/>
      <w:bookmarkStart w:id="10" w:name="_Hlk57812060"/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lastRenderedPageBreak/>
        <w:t>Table</w:t>
      </w:r>
      <w:r w:rsidRPr="007D313F" w:rsidDel="002218A1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S</w:t>
      </w:r>
      <w:bookmarkStart w:id="11" w:name="_Hlk59559911"/>
      <w:r w:rsidR="001C2D5C" w:rsidRPr="007D313F">
        <w:rPr>
          <w:rFonts w:ascii="Times New Roman" w:hAnsi="Times New Roman" w:cs="Times New Roman"/>
          <w:b/>
          <w:bCs/>
          <w:color w:val="131413"/>
          <w:kern w:val="0"/>
          <w:sz w:val="24"/>
          <w:szCs w:val="24"/>
        </w:rPr>
        <w:t>6</w:t>
      </w:r>
      <w:r w:rsidRPr="007D313F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2" w:name="_Hlk78061894"/>
      <w:r w:rsidRPr="007D313F">
        <w:rPr>
          <w:rFonts w:ascii="Times New Roman" w:hAnsi="Times New Roman" w:cs="Times New Roman"/>
          <w:sz w:val="24"/>
          <w:szCs w:val="24"/>
        </w:rPr>
        <w:t xml:space="preserve"> Cross-sectional associations of blood UA levels with the </w:t>
      </w:r>
      <w:bookmarkStart w:id="13" w:name="_Hlk74215831"/>
      <w:r w:rsidRPr="007D313F">
        <w:rPr>
          <w:rFonts w:ascii="Times New Roman" w:hAnsi="Times New Roman" w:cs="Times New Roman"/>
          <w:sz w:val="24"/>
          <w:szCs w:val="24"/>
        </w:rPr>
        <w:t xml:space="preserve">cognitive </w:t>
      </w:r>
      <w:bookmarkEnd w:id="13"/>
      <w:r w:rsidRPr="007D313F">
        <w:rPr>
          <w:rFonts w:ascii="Times New Roman" w:hAnsi="Times New Roman" w:cs="Times New Roman"/>
          <w:sz w:val="24"/>
          <w:szCs w:val="24"/>
        </w:rPr>
        <w:t>score.</w:t>
      </w:r>
      <w:bookmarkEnd w:id="12"/>
      <w:r w:rsidRPr="007D313F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bookmarkEnd w:id="11"/>
    </w:p>
    <w:bookmarkEnd w:id="10"/>
    <w:p w14:paraId="62F5BD85" w14:textId="22D9E806" w:rsidR="00121AD9" w:rsidRPr="007D313F" w:rsidRDefault="00121AD9" w:rsidP="005D7DC6">
      <w:pPr>
        <w:jc w:val="left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fldChar w:fldCharType="begin"/>
      </w:r>
      <w:r w:rsidRPr="007D313F">
        <w:rPr>
          <w:rFonts w:ascii="Times New Roman" w:hAnsi="Times New Roman" w:cs="Times New Roman"/>
          <w:sz w:val="24"/>
          <w:szCs w:val="24"/>
        </w:rPr>
        <w:instrText xml:space="preserve"> LINK Excel.SheetBinaryMacroEnabled.12 "D:\\UA and cognition\\</w:instrText>
      </w:r>
      <w:r w:rsidRPr="007D313F">
        <w:rPr>
          <w:rFonts w:ascii="Times New Roman" w:hAnsi="Times New Roman" w:cs="Times New Roman"/>
          <w:sz w:val="24"/>
          <w:szCs w:val="24"/>
        </w:rPr>
        <w:instrText>投稿后再改</w:instrText>
      </w:r>
      <w:r w:rsidRPr="007D313F">
        <w:rPr>
          <w:rFonts w:ascii="Times New Roman" w:hAnsi="Times New Roman" w:cs="Times New Roman"/>
          <w:sz w:val="24"/>
          <w:szCs w:val="24"/>
        </w:rPr>
        <w:instrText xml:space="preserve">\\Results\\TableS6_cross_0714-Xl.CSV" "Sheet1!R1C1:R10C4" \a \f 4 \h </w:instrText>
      </w:r>
      <w:r w:rsidR="0027543D" w:rsidRPr="007D313F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7D313F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8000" w:type="dxa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</w:tblGrid>
      <w:tr w:rsidR="00121AD9" w:rsidRPr="007D313F" w14:paraId="04894BA8" w14:textId="77777777" w:rsidTr="0028487A">
        <w:trPr>
          <w:trHeight w:val="340"/>
        </w:trPr>
        <w:tc>
          <w:tcPr>
            <w:tcW w:w="200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7AEE9B" w14:textId="07E62930" w:rsidR="00121AD9" w:rsidRPr="007D313F" w:rsidRDefault="00500418" w:rsidP="00121AD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</w:t>
            </w:r>
            <w:r w:rsidR="00121AD9"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lood UA (</w:t>
            </w:r>
            <w:proofErr w:type="spellStart"/>
            <w:r w:rsidR="00121AD9"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μmol</w:t>
            </w:r>
            <w:proofErr w:type="spellEnd"/>
            <w:r w:rsidR="00121AD9"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/L)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0776B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1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205CF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2</w:t>
            </w:r>
          </w:p>
        </w:tc>
        <w:tc>
          <w:tcPr>
            <w:tcW w:w="20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5AA0B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 3</w:t>
            </w:r>
          </w:p>
        </w:tc>
      </w:tr>
      <w:tr w:rsidR="00121AD9" w:rsidRPr="007D313F" w14:paraId="0BD3DB7B" w14:textId="77777777" w:rsidTr="0028487A">
        <w:trPr>
          <w:trHeight w:val="340"/>
        </w:trPr>
        <w:tc>
          <w:tcPr>
            <w:tcW w:w="200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2280FA0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5EC2B50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 (SE)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0469321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 (SE)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E86FE3B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β (SE)</w:t>
            </w:r>
          </w:p>
        </w:tc>
      </w:tr>
      <w:tr w:rsidR="00121AD9" w:rsidRPr="007D313F" w14:paraId="5E31D95E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A877" w14:textId="77777777" w:rsidR="00121AD9" w:rsidRPr="007D313F" w:rsidRDefault="00121AD9" w:rsidP="00037C1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Continuous variable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D292" w14:textId="77777777" w:rsidR="00121AD9" w:rsidRPr="007D313F" w:rsidRDefault="00121AD9" w:rsidP="00037C1E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EFC0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261E2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1AD9" w:rsidRPr="007D313F" w14:paraId="5B4A868C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C2D1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Per 10 </w:t>
            </w:r>
            <w:proofErr w:type="spellStart"/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μmol</w:t>
            </w:r>
            <w:proofErr w:type="spellEnd"/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/L increment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9356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0.09 (0.01) 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01B1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0.08 (0.01) 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A6A9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0.08 (0.01) 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121AD9" w:rsidRPr="007D313F" w14:paraId="46E9926D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8AF1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By quartiles</w:t>
            </w: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D31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107A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D264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1767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1AD9" w:rsidRPr="007D313F" w14:paraId="30134A60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286E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CCB7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470A2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1BCC3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 [Reference]</w:t>
            </w:r>
          </w:p>
        </w:tc>
      </w:tr>
      <w:tr w:rsidR="00121AD9" w:rsidRPr="007D313F" w14:paraId="5962643A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0DED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8411F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 (0.35)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71E34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 (0.35)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5F80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 (0.35)</w:t>
            </w:r>
          </w:p>
        </w:tc>
      </w:tr>
      <w:tr w:rsidR="00121AD9" w:rsidRPr="007D313F" w14:paraId="27886B63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BDDC9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4442" w14:textId="56233DEF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 (0.35)</w:t>
            </w:r>
            <w:r w:rsidR="00AC3F38"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F6275" w14:textId="5C13D9A4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 (0.36)</w:t>
            </w:r>
            <w:r w:rsidR="00AC3F38"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EB1B" w14:textId="731A7F81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 (0.36)</w:t>
            </w:r>
            <w:r w:rsidR="00AC3F38"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</w:tr>
      <w:tr w:rsidR="00121AD9" w:rsidRPr="007D313F" w14:paraId="0E468951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831E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</w:t>
            </w: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DAAF" w14:textId="5CA47F5C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1.90 (0.36)</w:t>
            </w:r>
            <w:r w:rsidR="00AC3F38"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3BAD" w14:textId="64599EBE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 (0.36)</w:t>
            </w:r>
            <w:r w:rsidR="00AC3F38"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615FF" w14:textId="6E990869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 (0.36)</w:t>
            </w:r>
            <w:r w:rsidR="00AC3F38" w:rsidRPr="007D31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**</w:t>
            </w:r>
          </w:p>
        </w:tc>
      </w:tr>
      <w:tr w:rsidR="00121AD9" w:rsidRPr="007D313F" w14:paraId="03F3C52D" w14:textId="77777777" w:rsidTr="0028487A">
        <w:trPr>
          <w:trHeight w:val="340"/>
        </w:trPr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30EAC50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 for linear trend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F54245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FC164C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F05B85" w14:textId="77777777" w:rsidR="00121AD9" w:rsidRPr="007D313F" w:rsidRDefault="00121AD9" w:rsidP="00037C1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D313F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&lt;0.010</w:t>
            </w:r>
          </w:p>
        </w:tc>
      </w:tr>
    </w:tbl>
    <w:p w14:paraId="53E591C8" w14:textId="4D36BE6A" w:rsidR="00BC441D" w:rsidRPr="007D313F" w:rsidRDefault="00121AD9" w:rsidP="0028487A">
      <w:pPr>
        <w:ind w:rightChars="107" w:right="225"/>
        <w:rPr>
          <w:rFonts w:ascii="Times New Roman" w:eastAsia="仿宋" w:hAnsi="Times New Roman" w:cs="Times New Roman"/>
          <w:sz w:val="24"/>
          <w:szCs w:val="24"/>
        </w:rPr>
      </w:pPr>
      <w:r w:rsidRPr="007D313F">
        <w:rPr>
          <w:rFonts w:ascii="Times New Roman" w:eastAsia="仿宋" w:hAnsi="Times New Roman" w:cs="Times New Roman"/>
          <w:sz w:val="24"/>
          <w:szCs w:val="24"/>
        </w:rPr>
        <w:fldChar w:fldCharType="end"/>
      </w:r>
      <w:r w:rsidR="00BC441D" w:rsidRPr="007D313F">
        <w:rPr>
          <w:rFonts w:ascii="Times New Roman" w:eastAsia="仿宋" w:hAnsi="Times New Roman" w:cs="Times New Roman"/>
          <w:sz w:val="24"/>
          <w:szCs w:val="24"/>
        </w:rPr>
        <w:t>Abbreviations: UA, uric acid; SE, standard estimation.</w:t>
      </w:r>
    </w:p>
    <w:p w14:paraId="4B37A71F" w14:textId="6605024D" w:rsidR="002C3487" w:rsidRPr="007D313F" w:rsidRDefault="002C3487" w:rsidP="0028487A">
      <w:pPr>
        <w:ind w:rightChars="107" w:right="225"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eastAsia="仿宋" w:hAnsi="Times New Roman" w:cs="Times New Roman"/>
          <w:sz w:val="24"/>
          <w:szCs w:val="24"/>
        </w:rPr>
        <w:t>Model 1 adjusted for age</w:t>
      </w:r>
      <w:r w:rsidR="00F803D0" w:rsidRPr="007D313F">
        <w:rPr>
          <w:rFonts w:ascii="Times New Roman" w:eastAsia="仿宋" w:hAnsi="Times New Roman" w:cs="Times New Roman"/>
          <w:sz w:val="24"/>
          <w:szCs w:val="24"/>
        </w:rPr>
        <w:t>, sex</w:t>
      </w:r>
      <w:r w:rsidR="00284E94" w:rsidRPr="007D313F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7D313F">
        <w:rPr>
          <w:rFonts w:ascii="Times New Roman" w:eastAsia="仿宋" w:hAnsi="Times New Roman" w:cs="Times New Roman"/>
          <w:sz w:val="24"/>
          <w:szCs w:val="24"/>
        </w:rPr>
        <w:t xml:space="preserve">and education; model 2 additionally adjusted for drinking, smoking, marital status, regular exercise, body mass index, central obesity, adequate medical service; model3 additionally adjusted for hypertension, diabetes mellitus, self-reported history of heart disease, and stroke and </w:t>
      </w:r>
      <w:r w:rsidRPr="007D313F">
        <w:rPr>
          <w:rFonts w:ascii="Times New Roman" w:hAnsi="Times New Roman" w:cs="Times New Roman"/>
          <w:sz w:val="24"/>
          <w:szCs w:val="24"/>
        </w:rPr>
        <w:t>cardiovascular disease.</w:t>
      </w:r>
    </w:p>
    <w:p w14:paraId="31131CC4" w14:textId="75E5463B" w:rsidR="002C3487" w:rsidRPr="007D313F" w:rsidRDefault="002C3487" w:rsidP="0028487A">
      <w:pPr>
        <w:ind w:rightChars="107" w:right="225"/>
        <w:rPr>
          <w:rFonts w:ascii="Times New Roman" w:hAnsi="Times New Roman" w:cs="Times New Roman"/>
          <w:sz w:val="24"/>
          <w:szCs w:val="24"/>
        </w:rPr>
      </w:pPr>
      <w:proofErr w:type="spellStart"/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ED4731" w:rsidRPr="007D313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D4731" w:rsidRPr="007D313F">
        <w:rPr>
          <w:rFonts w:ascii="Times New Roman" w:hAnsi="Times New Roman" w:cs="Times New Roman"/>
          <w:sz w:val="24"/>
          <w:szCs w:val="24"/>
        </w:rPr>
        <w:t xml:space="preserve"> cutoff values were 214.2, 264.0, and 319.0 µmol/L for </w:t>
      </w:r>
      <w:r w:rsidR="00152B2B" w:rsidRPr="007D313F">
        <w:rPr>
          <w:rFonts w:ascii="Times New Roman" w:hAnsi="Times New Roman" w:cs="Times New Roman"/>
          <w:sz w:val="24"/>
          <w:szCs w:val="24"/>
        </w:rPr>
        <w:t>women</w:t>
      </w:r>
      <w:r w:rsidR="00FF31DC" w:rsidRPr="007D313F">
        <w:rPr>
          <w:rFonts w:ascii="Times New Roman" w:hAnsi="Times New Roman" w:cs="Times New Roman"/>
          <w:sz w:val="24"/>
          <w:szCs w:val="24"/>
        </w:rPr>
        <w:t xml:space="preserve">, 252.0, 304.6, and 364.5 µmol/L for </w:t>
      </w:r>
      <w:r w:rsidR="00152B2B" w:rsidRPr="007D313F">
        <w:rPr>
          <w:rFonts w:ascii="Times New Roman" w:hAnsi="Times New Roman" w:cs="Times New Roman"/>
          <w:sz w:val="24"/>
          <w:szCs w:val="24"/>
        </w:rPr>
        <w:t>men</w:t>
      </w:r>
      <w:r w:rsidR="004A42F2" w:rsidRPr="007D313F">
        <w:rPr>
          <w:rFonts w:ascii="Times New Roman" w:hAnsi="Times New Roman" w:cs="Times New Roman"/>
          <w:sz w:val="24"/>
          <w:szCs w:val="24"/>
        </w:rPr>
        <w:t>.</w:t>
      </w:r>
    </w:p>
    <w:p w14:paraId="45435023" w14:textId="75911E01" w:rsidR="002C3487" w:rsidRPr="007D313F" w:rsidRDefault="002C3487" w:rsidP="0028487A">
      <w:pPr>
        <w:ind w:rightChars="107" w:right="225"/>
        <w:rPr>
          <w:rFonts w:ascii="Times New Roman" w:hAnsi="Times New Roman" w:cs="Times New Roman"/>
          <w:sz w:val="24"/>
          <w:szCs w:val="24"/>
        </w:rPr>
      </w:pPr>
      <w:bookmarkStart w:id="14" w:name="OLE_LINK1"/>
      <w:bookmarkStart w:id="15" w:name="OLE_LINK2"/>
      <w:r w:rsidRPr="007D313F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bookmarkEnd w:id="14"/>
      <w:bookmarkEnd w:id="15"/>
      <w:r w:rsidRPr="007D31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D313F">
        <w:rPr>
          <w:rFonts w:ascii="Times New Roman" w:hAnsi="Times New Roman" w:cs="Times New Roman"/>
          <w:sz w:val="24"/>
          <w:szCs w:val="24"/>
        </w:rPr>
        <w:t>&lt;0.01.</w:t>
      </w:r>
    </w:p>
    <w:p w14:paraId="50323C6B" w14:textId="731B62A9" w:rsidR="002C3487" w:rsidRPr="007D313F" w:rsidRDefault="002C3487" w:rsidP="00741CA9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 w:rsidRPr="007D313F">
        <w:rPr>
          <w:rFonts w:ascii="Times New Roman" w:eastAsia="仿宋" w:hAnsi="Times New Roman" w:cs="Times New Roman"/>
          <w:sz w:val="24"/>
          <w:szCs w:val="24"/>
        </w:rPr>
        <w:br w:type="page"/>
      </w:r>
    </w:p>
    <w:p w14:paraId="657BB338" w14:textId="5A46BCB6" w:rsidR="0028487A" w:rsidRPr="007D313F" w:rsidRDefault="0028487A" w:rsidP="001273BC">
      <w:pPr>
        <w:widowControl/>
        <w:jc w:val="left"/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15014DB" wp14:editId="4E752408">
            <wp:simplePos x="0" y="0"/>
            <wp:positionH relativeFrom="column">
              <wp:posOffset>151130</wp:posOffset>
            </wp:positionH>
            <wp:positionV relativeFrom="paragraph">
              <wp:posOffset>172085</wp:posOffset>
            </wp:positionV>
            <wp:extent cx="5207000" cy="3561715"/>
            <wp:effectExtent l="0" t="0" r="0" b="63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3" r="8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356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08750" w14:textId="6D2B0A03" w:rsidR="001273BC" w:rsidRPr="007D313F" w:rsidRDefault="002C3487" w:rsidP="0028487A">
      <w:pPr>
        <w:widowControl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13F"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>Fig</w:t>
      </w:r>
      <w:r w:rsidR="00070D2E" w:rsidRPr="007D313F"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>.</w:t>
      </w:r>
      <w:r w:rsidRPr="007D313F">
        <w:rPr>
          <w:rFonts w:ascii="Times New Roman" w:hAnsi="Times New Roman" w:cs="Times New Roman"/>
          <w:b/>
          <w:color w:val="131413"/>
          <w:kern w:val="0"/>
          <w:sz w:val="24"/>
          <w:szCs w:val="24"/>
        </w:rPr>
        <w:t xml:space="preserve"> S</w:t>
      </w:r>
      <w:r w:rsidR="00522D7F" w:rsidRPr="007D31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D313F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6" w:name="_Hlk78061921"/>
      <w:r w:rsidRPr="007D313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7" w:name="_Hlk78061907"/>
      <w:r w:rsidRPr="007D313F">
        <w:rPr>
          <w:rFonts w:ascii="Times New Roman" w:hAnsi="Times New Roman" w:cs="Times New Roman"/>
          <w:bCs/>
          <w:sz w:val="24"/>
          <w:szCs w:val="24"/>
        </w:rPr>
        <w:t>Adjusted dose-response association between blood UA and cognition score at</w:t>
      </w:r>
      <w:r w:rsidR="00030A98" w:rsidRPr="007D31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13F">
        <w:rPr>
          <w:rFonts w:ascii="Times New Roman" w:hAnsi="Times New Roman" w:cs="Times New Roman"/>
          <w:bCs/>
          <w:sz w:val="24"/>
          <w:szCs w:val="24"/>
        </w:rPr>
        <w:t>baseline.</w:t>
      </w:r>
      <w:bookmarkEnd w:id="17"/>
      <w:r w:rsidRPr="007D31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73BC" w:rsidRPr="007D313F">
        <w:rPr>
          <w:rFonts w:ascii="Times New Roman" w:hAnsi="Times New Roman" w:cs="Times New Roman"/>
          <w:sz w:val="24"/>
          <w:szCs w:val="24"/>
        </w:rPr>
        <w:t>Abbreviation: UA, uric acid</w:t>
      </w:r>
      <w:r w:rsidR="00D94EF4" w:rsidRPr="007D313F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6"/>
    <w:p w14:paraId="50F3A7D5" w14:textId="417AA448" w:rsidR="00D94EF4" w:rsidRPr="007D313F" w:rsidRDefault="002C3487" w:rsidP="0028487A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D313F">
        <w:rPr>
          <w:rFonts w:ascii="Times New Roman" w:hAnsi="Times New Roman" w:cs="Times New Roman"/>
          <w:sz w:val="24"/>
          <w:szCs w:val="24"/>
        </w:rPr>
        <w:t>Note: UA was coded using a restricted cubic spline (RCS) function with three</w:t>
      </w:r>
      <w:r w:rsidR="00D94EF4" w:rsidRPr="007D313F">
        <w:rPr>
          <w:rFonts w:ascii="Times New Roman" w:hAnsi="Times New Roman" w:cs="Times New Roman"/>
          <w:sz w:val="24"/>
          <w:szCs w:val="24"/>
        </w:rPr>
        <w:t xml:space="preserve"> sex-specific</w:t>
      </w:r>
      <w:r w:rsidRPr="007D313F">
        <w:rPr>
          <w:rFonts w:ascii="Times New Roman" w:hAnsi="Times New Roman" w:cs="Times New Roman"/>
          <w:sz w:val="24"/>
          <w:szCs w:val="24"/>
        </w:rPr>
        <w:t xml:space="preserve"> knots, which approximately corresponded to the </w:t>
      </w:r>
      <w:proofErr w:type="spellStart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>the</w:t>
      </w:r>
      <w:proofErr w:type="spellEnd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 xml:space="preserve"> 5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th 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 xml:space="preserve">(170.5 </w:t>
      </w:r>
      <w:proofErr w:type="spellStart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>μmol</w:t>
      </w:r>
      <w:proofErr w:type="spellEnd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>/L), 50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 xml:space="preserve"> (279.6 </w:t>
      </w:r>
      <w:proofErr w:type="spellStart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>μmol</w:t>
      </w:r>
      <w:proofErr w:type="spellEnd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>/L), and 95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 xml:space="preserve"> (451.0 </w:t>
      </w:r>
      <w:proofErr w:type="spellStart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>μmol</w:t>
      </w:r>
      <w:proofErr w:type="spellEnd"/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 xml:space="preserve">/L) </w:t>
      </w:r>
      <w:r w:rsidRPr="007D313F">
        <w:rPr>
          <w:rFonts w:ascii="Times New Roman" w:hAnsi="Times New Roman" w:cs="Times New Roman"/>
          <w:sz w:val="24"/>
          <w:szCs w:val="24"/>
        </w:rPr>
        <w:t>percentiles of blood UA distribution.</w:t>
      </w:r>
    </w:p>
    <w:p w14:paraId="3C8B376E" w14:textId="1D7DCEA5" w:rsidR="00D50C1D" w:rsidRPr="007D313F" w:rsidRDefault="00D50C1D" w:rsidP="0028487A">
      <w:pPr>
        <w:widowControl/>
        <w:rPr>
          <w:rFonts w:ascii="Times New Roman" w:hAnsi="Times New Roman" w:cs="Times New Roman"/>
          <w:sz w:val="24"/>
          <w:szCs w:val="24"/>
        </w:rPr>
      </w:pP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Solid red </w:t>
      </w:r>
      <w:r w:rsidR="00846BBD" w:rsidRPr="007D313F">
        <w:rPr>
          <w:rFonts w:ascii="Times New Roman" w:hAnsi="Times New Roman" w:cs="Times New Roman"/>
          <w:kern w:val="0"/>
          <w:sz w:val="24"/>
          <w:szCs w:val="24"/>
        </w:rPr>
        <w:t xml:space="preserve">line </w:t>
      </w:r>
      <w:r w:rsidR="0004165E" w:rsidRPr="007D313F">
        <w:rPr>
          <w:rFonts w:ascii="Times New Roman" w:hAnsi="Times New Roman" w:cs="Times New Roman"/>
          <w:sz w:val="24"/>
          <w:szCs w:val="24"/>
        </w:rPr>
        <w:t xml:space="preserve">represents the adjusted estimated coefficient for cognitive score for any value of UA compared to participants </w:t>
      </w:r>
      <w:r w:rsidR="0004165E" w:rsidRPr="007D313F" w:rsidDel="002B7D2D">
        <w:rPr>
          <w:rFonts w:ascii="Times New Roman" w:hAnsi="Times New Roman" w:cs="Times New Roman"/>
          <w:sz w:val="24"/>
          <w:szCs w:val="24"/>
        </w:rPr>
        <w:t>with</w:t>
      </w:r>
      <w:r w:rsidR="00BC13C6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="00BC13C6" w:rsidRPr="007D313F">
        <w:rPr>
          <w:rFonts w:ascii="Times New Roman" w:hAnsi="Times New Roman" w:cs="Times New Roman"/>
          <w:kern w:val="0"/>
          <w:sz w:val="24"/>
          <w:szCs w:val="24"/>
        </w:rPr>
        <w:t>279.6</w:t>
      </w:r>
      <w:r w:rsidR="0004165E" w:rsidRPr="007D3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5E" w:rsidRPr="007D313F" w:rsidDel="002B7D2D">
        <w:rPr>
          <w:rFonts w:ascii="Times New Roman" w:hAnsi="Times New Roman" w:cs="Times New Roman"/>
          <w:kern w:val="0"/>
          <w:sz w:val="24"/>
          <w:szCs w:val="24"/>
        </w:rPr>
        <w:t>μmol</w:t>
      </w:r>
      <w:proofErr w:type="spellEnd"/>
      <w:r w:rsidR="0004165E" w:rsidRPr="007D313F" w:rsidDel="002B7D2D">
        <w:rPr>
          <w:rFonts w:ascii="Times New Roman" w:hAnsi="Times New Roman" w:cs="Times New Roman"/>
          <w:kern w:val="0"/>
          <w:sz w:val="24"/>
          <w:szCs w:val="24"/>
        </w:rPr>
        <w:t>/L</w:t>
      </w:r>
      <w:r w:rsidR="00933162" w:rsidRPr="007D313F">
        <w:rPr>
          <w:rFonts w:ascii="Times New Roman" w:hAnsi="Times New Roman" w:cs="Times New Roman"/>
          <w:kern w:val="0"/>
          <w:sz w:val="24"/>
          <w:szCs w:val="24"/>
        </w:rPr>
        <w:t xml:space="preserve"> (P</w:t>
      </w:r>
      <w:r w:rsidR="0004165E" w:rsidRPr="007D313F">
        <w:rPr>
          <w:rFonts w:ascii="Times New Roman" w:hAnsi="Times New Roman" w:cs="Times New Roman"/>
          <w:kern w:val="0"/>
          <w:sz w:val="24"/>
          <w:szCs w:val="24"/>
        </w:rPr>
        <w:t>5</w:t>
      </w:r>
      <w:r w:rsidR="00BC13C6" w:rsidRPr="007D313F">
        <w:rPr>
          <w:rFonts w:ascii="Times New Roman" w:hAnsi="Times New Roman" w:cs="Times New Roman"/>
          <w:kern w:val="0"/>
          <w:sz w:val="24"/>
          <w:szCs w:val="24"/>
        </w:rPr>
        <w:t>0</w:t>
      </w:r>
      <w:r w:rsidR="0004165E" w:rsidRPr="007D313F">
        <w:rPr>
          <w:rFonts w:ascii="Times New Roman" w:hAnsi="Times New Roman" w:cs="Times New Roman"/>
          <w:kern w:val="0"/>
          <w:sz w:val="24"/>
          <w:szCs w:val="24"/>
        </w:rPr>
        <w:t>)</w:t>
      </w:r>
      <w:r w:rsidR="0004165E" w:rsidRPr="007D313F" w:rsidDel="002B7D2D">
        <w:rPr>
          <w:rFonts w:ascii="Times New Roman" w:hAnsi="Times New Roman" w:cs="Times New Roman"/>
          <w:sz w:val="24"/>
          <w:szCs w:val="24"/>
        </w:rPr>
        <w:t xml:space="preserve"> of </w:t>
      </w:r>
      <w:r w:rsidR="0004165E" w:rsidRPr="007D313F">
        <w:rPr>
          <w:rFonts w:ascii="Times New Roman" w:hAnsi="Times New Roman" w:cs="Times New Roman"/>
          <w:sz w:val="24"/>
          <w:szCs w:val="24"/>
        </w:rPr>
        <w:t xml:space="preserve">blood </w:t>
      </w:r>
      <w:r w:rsidR="0004165E" w:rsidRPr="007D313F" w:rsidDel="002B7D2D">
        <w:rPr>
          <w:rFonts w:ascii="Times New Roman" w:hAnsi="Times New Roman" w:cs="Times New Roman"/>
          <w:sz w:val="24"/>
          <w:szCs w:val="24"/>
        </w:rPr>
        <w:t>UA</w:t>
      </w:r>
      <w:r w:rsidRPr="007D313F">
        <w:rPr>
          <w:rFonts w:ascii="Times New Roman" w:hAnsi="Times New Roman" w:cs="Times New Roman"/>
          <w:sz w:val="24"/>
          <w:szCs w:val="24"/>
        </w:rPr>
        <w:t xml:space="preserve"> level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, with light green shaded areas showing 95% confidence intervals derived from restricted cubic spline regressions. The green histograms show the fraction of the population with the different levels of blood UA. </w:t>
      </w:r>
      <w:r w:rsidR="00846BBD" w:rsidRPr="007D313F">
        <w:rPr>
          <w:rFonts w:ascii="Times New Roman" w:hAnsi="Times New Roman" w:cs="Times New Roman"/>
          <w:kern w:val="0"/>
          <w:sz w:val="24"/>
          <w:szCs w:val="24"/>
        </w:rPr>
        <w:t xml:space="preserve">Dashed gray line refers to the reference for the association at an </w:t>
      </w:r>
      <w:r w:rsidR="00534546" w:rsidRPr="007D313F">
        <w:rPr>
          <w:rFonts w:ascii="Times New Roman" w:hAnsi="Times New Roman" w:cs="Times New Roman"/>
          <w:sz w:val="24"/>
          <w:szCs w:val="24"/>
        </w:rPr>
        <w:t>estimated coefficient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 xml:space="preserve"> of </w:t>
      </w:r>
      <w:r w:rsidR="00534546" w:rsidRPr="007D313F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7D313F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8F544BD" w14:textId="10DE337C" w:rsidR="00D94EF4" w:rsidRPr="007D313F" w:rsidRDefault="002C3487" w:rsidP="0028487A">
      <w:pPr>
        <w:widowControl/>
        <w:rPr>
          <w:rFonts w:ascii="Times New Roman" w:hAnsi="Times New Roman" w:cs="Times New Roman"/>
          <w:sz w:val="24"/>
          <w:szCs w:val="24"/>
        </w:rPr>
      </w:pPr>
      <w:bookmarkStart w:id="18" w:name="OLE_LINK4"/>
      <w:r w:rsidRPr="007D313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55CCC" w:rsidRPr="007D313F">
        <w:rPr>
          <w:rFonts w:ascii="Times New Roman" w:hAnsi="Times New Roman" w:cs="Times New Roman"/>
          <w:sz w:val="24"/>
          <w:szCs w:val="24"/>
        </w:rPr>
        <w:t xml:space="preserve"> </w:t>
      </w:r>
      <w:r w:rsidR="00255CCC" w:rsidRPr="007D313F">
        <w:rPr>
          <w:rFonts w:ascii="Times New Roman" w:hAnsi="Times New Roman" w:cs="Times New Roman"/>
          <w:sz w:val="24"/>
          <w:szCs w:val="24"/>
          <w:vertAlign w:val="subscript"/>
        </w:rPr>
        <w:t>for non</w:t>
      </w:r>
      <w:r w:rsidR="008A62CE" w:rsidRPr="007D313F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="00255CCC" w:rsidRPr="007D313F">
        <w:rPr>
          <w:rFonts w:ascii="Times New Roman" w:hAnsi="Times New Roman" w:cs="Times New Roman"/>
          <w:sz w:val="24"/>
          <w:szCs w:val="24"/>
          <w:vertAlign w:val="subscript"/>
        </w:rPr>
        <w:t>linear</w:t>
      </w:r>
      <w:r w:rsidR="00255CCC" w:rsidRPr="007D313F">
        <w:rPr>
          <w:rFonts w:ascii="Times New Roman" w:hAnsi="Times New Roman" w:cs="Times New Roman"/>
          <w:sz w:val="24"/>
          <w:szCs w:val="24"/>
        </w:rPr>
        <w:t xml:space="preserve">= </w:t>
      </w:r>
      <w:r w:rsidR="008133C0" w:rsidRPr="007D313F">
        <w:rPr>
          <w:rFonts w:ascii="Times New Roman" w:hAnsi="Times New Roman" w:cs="Times New Roman"/>
          <w:sz w:val="24"/>
          <w:szCs w:val="24"/>
        </w:rPr>
        <w:t>0.04</w:t>
      </w:r>
      <w:bookmarkEnd w:id="18"/>
      <w:r w:rsidR="008133C0" w:rsidRPr="007D313F">
        <w:rPr>
          <w:rFonts w:ascii="Times New Roman" w:hAnsi="Times New Roman" w:cs="Times New Roman"/>
          <w:sz w:val="24"/>
          <w:szCs w:val="24"/>
        </w:rPr>
        <w:t>1</w:t>
      </w:r>
      <w:r w:rsidR="00F55A85" w:rsidRPr="007D313F">
        <w:rPr>
          <w:rFonts w:ascii="Times New Roman" w:hAnsi="Times New Roman" w:cs="Times New Roman"/>
          <w:sz w:val="24"/>
          <w:szCs w:val="24"/>
        </w:rPr>
        <w:t>.</w:t>
      </w:r>
    </w:p>
    <w:sectPr w:rsidR="00D94EF4" w:rsidRPr="007D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BFE6D" w14:textId="77777777" w:rsidR="00D55802" w:rsidRDefault="00D55802" w:rsidP="00232AC8">
      <w:r>
        <w:separator/>
      </w:r>
    </w:p>
  </w:endnote>
  <w:endnote w:type="continuationSeparator" w:id="0">
    <w:p w14:paraId="57D0047C" w14:textId="77777777" w:rsidR="00D55802" w:rsidRDefault="00D55802" w:rsidP="0023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ingHei_18030_C-Medium">
    <w:altName w:val="SimSun"/>
    <w:panose1 w:val="020A0304000101010101"/>
    <w:charset w:val="86"/>
    <w:family w:val="roman"/>
    <w:pitch w:val="variable"/>
    <w:sig w:usb0="800002BF" w:usb1="38CF7CFA" w:usb2="0000001E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B0AD" w14:textId="77777777" w:rsidR="00D55802" w:rsidRDefault="00D55802" w:rsidP="00232AC8">
      <w:r>
        <w:separator/>
      </w:r>
    </w:p>
  </w:footnote>
  <w:footnote w:type="continuationSeparator" w:id="0">
    <w:p w14:paraId="4C91955C" w14:textId="77777777" w:rsidR="00D55802" w:rsidRDefault="00D55802" w:rsidP="0023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sjQyMzYwNzCwNLVU0lEKTi0uzszPAykwNK4FAHVnk9wtAAAA"/>
  </w:docVars>
  <w:rsids>
    <w:rsidRoot w:val="002062BB"/>
    <w:rsid w:val="00013FDD"/>
    <w:rsid w:val="00030A98"/>
    <w:rsid w:val="00037C1E"/>
    <w:rsid w:val="0004165E"/>
    <w:rsid w:val="00070D2E"/>
    <w:rsid w:val="00076386"/>
    <w:rsid w:val="0008094C"/>
    <w:rsid w:val="000862CD"/>
    <w:rsid w:val="00094208"/>
    <w:rsid w:val="000A1CFE"/>
    <w:rsid w:val="000B6E19"/>
    <w:rsid w:val="000D3B11"/>
    <w:rsid w:val="000D6E7B"/>
    <w:rsid w:val="000E162D"/>
    <w:rsid w:val="000E2A12"/>
    <w:rsid w:val="000F0C8B"/>
    <w:rsid w:val="000F609C"/>
    <w:rsid w:val="001133A5"/>
    <w:rsid w:val="00117C47"/>
    <w:rsid w:val="00121AD9"/>
    <w:rsid w:val="001273BC"/>
    <w:rsid w:val="00136904"/>
    <w:rsid w:val="00147B4C"/>
    <w:rsid w:val="00152B2B"/>
    <w:rsid w:val="00174C11"/>
    <w:rsid w:val="00176B19"/>
    <w:rsid w:val="001811B5"/>
    <w:rsid w:val="001949D5"/>
    <w:rsid w:val="001B3A07"/>
    <w:rsid w:val="001C2D5C"/>
    <w:rsid w:val="001E2079"/>
    <w:rsid w:val="001E4A49"/>
    <w:rsid w:val="001F53B4"/>
    <w:rsid w:val="00203762"/>
    <w:rsid w:val="00204525"/>
    <w:rsid w:val="002062BB"/>
    <w:rsid w:val="002104F0"/>
    <w:rsid w:val="00213353"/>
    <w:rsid w:val="002139E5"/>
    <w:rsid w:val="00231218"/>
    <w:rsid w:val="00232AC8"/>
    <w:rsid w:val="002446E1"/>
    <w:rsid w:val="00245A10"/>
    <w:rsid w:val="00255CCC"/>
    <w:rsid w:val="00257AC4"/>
    <w:rsid w:val="0026042F"/>
    <w:rsid w:val="002633D0"/>
    <w:rsid w:val="00266966"/>
    <w:rsid w:val="0027543D"/>
    <w:rsid w:val="0028487A"/>
    <w:rsid w:val="00284E94"/>
    <w:rsid w:val="00292295"/>
    <w:rsid w:val="00292AE5"/>
    <w:rsid w:val="002A67FF"/>
    <w:rsid w:val="002C057F"/>
    <w:rsid w:val="002C3487"/>
    <w:rsid w:val="002D176F"/>
    <w:rsid w:val="002D7954"/>
    <w:rsid w:val="002E420F"/>
    <w:rsid w:val="002F5D2B"/>
    <w:rsid w:val="00322EB9"/>
    <w:rsid w:val="00332F12"/>
    <w:rsid w:val="00351A3C"/>
    <w:rsid w:val="00356023"/>
    <w:rsid w:val="00357ED9"/>
    <w:rsid w:val="003800AD"/>
    <w:rsid w:val="00387A6B"/>
    <w:rsid w:val="003934E4"/>
    <w:rsid w:val="003A7D75"/>
    <w:rsid w:val="003B03D8"/>
    <w:rsid w:val="003B2891"/>
    <w:rsid w:val="003C419E"/>
    <w:rsid w:val="003C7B8A"/>
    <w:rsid w:val="003D1465"/>
    <w:rsid w:val="003D46CB"/>
    <w:rsid w:val="003D566A"/>
    <w:rsid w:val="003E1C23"/>
    <w:rsid w:val="003F48BE"/>
    <w:rsid w:val="003F7EB0"/>
    <w:rsid w:val="00412545"/>
    <w:rsid w:val="004144DB"/>
    <w:rsid w:val="0042474E"/>
    <w:rsid w:val="00427ED8"/>
    <w:rsid w:val="004925C9"/>
    <w:rsid w:val="004A42F2"/>
    <w:rsid w:val="004A6ECA"/>
    <w:rsid w:val="004B0F1A"/>
    <w:rsid w:val="004B7601"/>
    <w:rsid w:val="004B7E65"/>
    <w:rsid w:val="004C6F3D"/>
    <w:rsid w:val="004F25E0"/>
    <w:rsid w:val="004F5FD8"/>
    <w:rsid w:val="00500418"/>
    <w:rsid w:val="00503484"/>
    <w:rsid w:val="00512BA6"/>
    <w:rsid w:val="00515753"/>
    <w:rsid w:val="00516D9C"/>
    <w:rsid w:val="00522D7F"/>
    <w:rsid w:val="005312C6"/>
    <w:rsid w:val="0053289D"/>
    <w:rsid w:val="005329CD"/>
    <w:rsid w:val="00534546"/>
    <w:rsid w:val="00561731"/>
    <w:rsid w:val="00586E53"/>
    <w:rsid w:val="00590348"/>
    <w:rsid w:val="005B7B9C"/>
    <w:rsid w:val="005D6FAB"/>
    <w:rsid w:val="005D7DC6"/>
    <w:rsid w:val="005E15F4"/>
    <w:rsid w:val="00615711"/>
    <w:rsid w:val="006247C0"/>
    <w:rsid w:val="00630CC1"/>
    <w:rsid w:val="006321C6"/>
    <w:rsid w:val="006377C7"/>
    <w:rsid w:val="0064562D"/>
    <w:rsid w:val="0066273B"/>
    <w:rsid w:val="00667C5D"/>
    <w:rsid w:val="006827F4"/>
    <w:rsid w:val="00683E21"/>
    <w:rsid w:val="00696FE8"/>
    <w:rsid w:val="006A711A"/>
    <w:rsid w:val="006A75C5"/>
    <w:rsid w:val="006E2D50"/>
    <w:rsid w:val="006E2E5E"/>
    <w:rsid w:val="006E4CD1"/>
    <w:rsid w:val="00705644"/>
    <w:rsid w:val="00705C4C"/>
    <w:rsid w:val="00722567"/>
    <w:rsid w:val="00723C76"/>
    <w:rsid w:val="00741CA9"/>
    <w:rsid w:val="00741E60"/>
    <w:rsid w:val="007562DD"/>
    <w:rsid w:val="007622EB"/>
    <w:rsid w:val="007648E8"/>
    <w:rsid w:val="007709B0"/>
    <w:rsid w:val="00781A16"/>
    <w:rsid w:val="00783932"/>
    <w:rsid w:val="007A35D2"/>
    <w:rsid w:val="007B6C3D"/>
    <w:rsid w:val="007C3913"/>
    <w:rsid w:val="007C62F4"/>
    <w:rsid w:val="007D1899"/>
    <w:rsid w:val="007D313F"/>
    <w:rsid w:val="007D7542"/>
    <w:rsid w:val="007E2AD3"/>
    <w:rsid w:val="007E41E5"/>
    <w:rsid w:val="008133C0"/>
    <w:rsid w:val="00835392"/>
    <w:rsid w:val="00846BBD"/>
    <w:rsid w:val="008608B6"/>
    <w:rsid w:val="00862BB6"/>
    <w:rsid w:val="008704EF"/>
    <w:rsid w:val="00886734"/>
    <w:rsid w:val="00890AAD"/>
    <w:rsid w:val="0089494F"/>
    <w:rsid w:val="00896AB9"/>
    <w:rsid w:val="008A62CE"/>
    <w:rsid w:val="008B07D5"/>
    <w:rsid w:val="008F47B2"/>
    <w:rsid w:val="008F7CCF"/>
    <w:rsid w:val="0090495B"/>
    <w:rsid w:val="009170EB"/>
    <w:rsid w:val="00917240"/>
    <w:rsid w:val="0092755E"/>
    <w:rsid w:val="00933162"/>
    <w:rsid w:val="009479FD"/>
    <w:rsid w:val="00961E62"/>
    <w:rsid w:val="009812E0"/>
    <w:rsid w:val="009B42FA"/>
    <w:rsid w:val="009C2EAD"/>
    <w:rsid w:val="009E1C54"/>
    <w:rsid w:val="00A021B9"/>
    <w:rsid w:val="00A04A38"/>
    <w:rsid w:val="00A158FE"/>
    <w:rsid w:val="00A25B6E"/>
    <w:rsid w:val="00A40227"/>
    <w:rsid w:val="00A65508"/>
    <w:rsid w:val="00A67DF8"/>
    <w:rsid w:val="00A8611E"/>
    <w:rsid w:val="00A87878"/>
    <w:rsid w:val="00A93A1A"/>
    <w:rsid w:val="00A97109"/>
    <w:rsid w:val="00A97AEE"/>
    <w:rsid w:val="00AA6159"/>
    <w:rsid w:val="00AC28A4"/>
    <w:rsid w:val="00AC3F38"/>
    <w:rsid w:val="00AD3F72"/>
    <w:rsid w:val="00AE1C4B"/>
    <w:rsid w:val="00AF06DE"/>
    <w:rsid w:val="00AF4373"/>
    <w:rsid w:val="00B076BF"/>
    <w:rsid w:val="00B154C7"/>
    <w:rsid w:val="00B37824"/>
    <w:rsid w:val="00B37BEA"/>
    <w:rsid w:val="00B74023"/>
    <w:rsid w:val="00B76FC7"/>
    <w:rsid w:val="00B82D28"/>
    <w:rsid w:val="00B97C79"/>
    <w:rsid w:val="00BA7137"/>
    <w:rsid w:val="00BC13C6"/>
    <w:rsid w:val="00BC441D"/>
    <w:rsid w:val="00BE0361"/>
    <w:rsid w:val="00BE1DF1"/>
    <w:rsid w:val="00BE43E7"/>
    <w:rsid w:val="00BE50AF"/>
    <w:rsid w:val="00C11DDA"/>
    <w:rsid w:val="00C23A20"/>
    <w:rsid w:val="00C26C02"/>
    <w:rsid w:val="00C70D2E"/>
    <w:rsid w:val="00CA1DCB"/>
    <w:rsid w:val="00CA50AA"/>
    <w:rsid w:val="00CB39C9"/>
    <w:rsid w:val="00CC034F"/>
    <w:rsid w:val="00CD1B0D"/>
    <w:rsid w:val="00CD6126"/>
    <w:rsid w:val="00CE405C"/>
    <w:rsid w:val="00CF54DD"/>
    <w:rsid w:val="00D027E9"/>
    <w:rsid w:val="00D04480"/>
    <w:rsid w:val="00D142D2"/>
    <w:rsid w:val="00D14309"/>
    <w:rsid w:val="00D21C90"/>
    <w:rsid w:val="00D24E8C"/>
    <w:rsid w:val="00D43CD5"/>
    <w:rsid w:val="00D4520C"/>
    <w:rsid w:val="00D50C1D"/>
    <w:rsid w:val="00D53722"/>
    <w:rsid w:val="00D55802"/>
    <w:rsid w:val="00D9292A"/>
    <w:rsid w:val="00D94EF4"/>
    <w:rsid w:val="00DA0E55"/>
    <w:rsid w:val="00DA2DDF"/>
    <w:rsid w:val="00DB2F0B"/>
    <w:rsid w:val="00DC035B"/>
    <w:rsid w:val="00DC65F8"/>
    <w:rsid w:val="00DD3056"/>
    <w:rsid w:val="00DD7515"/>
    <w:rsid w:val="00DD77A9"/>
    <w:rsid w:val="00DE6F13"/>
    <w:rsid w:val="00E03781"/>
    <w:rsid w:val="00E247C9"/>
    <w:rsid w:val="00E26C91"/>
    <w:rsid w:val="00E31E04"/>
    <w:rsid w:val="00E62A3E"/>
    <w:rsid w:val="00E84F90"/>
    <w:rsid w:val="00E84FA9"/>
    <w:rsid w:val="00EA602F"/>
    <w:rsid w:val="00EC08BC"/>
    <w:rsid w:val="00EC15EC"/>
    <w:rsid w:val="00ED0BDC"/>
    <w:rsid w:val="00ED3FEA"/>
    <w:rsid w:val="00ED4731"/>
    <w:rsid w:val="00EE1640"/>
    <w:rsid w:val="00EE3949"/>
    <w:rsid w:val="00EE3FF3"/>
    <w:rsid w:val="00EE5BC4"/>
    <w:rsid w:val="00EF5B59"/>
    <w:rsid w:val="00F012AD"/>
    <w:rsid w:val="00F0151E"/>
    <w:rsid w:val="00F05916"/>
    <w:rsid w:val="00F4732D"/>
    <w:rsid w:val="00F53FC7"/>
    <w:rsid w:val="00F55A85"/>
    <w:rsid w:val="00F62603"/>
    <w:rsid w:val="00F72610"/>
    <w:rsid w:val="00F803D0"/>
    <w:rsid w:val="00F93E87"/>
    <w:rsid w:val="00FB5A2E"/>
    <w:rsid w:val="00FC18C1"/>
    <w:rsid w:val="00FD6E39"/>
    <w:rsid w:val="00FE7BD2"/>
    <w:rsid w:val="00FF317F"/>
    <w:rsid w:val="00FF31DC"/>
    <w:rsid w:val="00FF3F5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4AECF"/>
  <w15:chartTrackingRefBased/>
  <w15:docId w15:val="{4F304AE3-3B77-42E9-8B2C-1CDCB40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51A3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51A3C"/>
    <w:rPr>
      <w:sz w:val="20"/>
      <w:szCs w:val="20"/>
    </w:rPr>
  </w:style>
  <w:style w:type="character" w:customStyle="1" w:styleId="a5">
    <w:name w:val="批注文字 字符"/>
    <w:basedOn w:val="a0"/>
    <w:link w:val="a4"/>
    <w:uiPriority w:val="99"/>
    <w:rsid w:val="00351A3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3487"/>
    <w:pPr>
      <w:jc w:val="left"/>
    </w:pPr>
    <w:rPr>
      <w:b/>
      <w:bCs/>
      <w:sz w:val="21"/>
      <w:szCs w:val="22"/>
    </w:rPr>
  </w:style>
  <w:style w:type="character" w:customStyle="1" w:styleId="a7">
    <w:name w:val="批注主题 字符"/>
    <w:basedOn w:val="a5"/>
    <w:link w:val="a6"/>
    <w:uiPriority w:val="99"/>
    <w:semiHidden/>
    <w:rsid w:val="002C3487"/>
    <w:rPr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3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32AC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32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32AC8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7E41E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E41E5"/>
    <w:rPr>
      <w:sz w:val="18"/>
      <w:szCs w:val="18"/>
    </w:rPr>
  </w:style>
  <w:style w:type="paragraph" w:styleId="ae">
    <w:name w:val="Revision"/>
    <w:hidden/>
    <w:uiPriority w:val="99"/>
    <w:semiHidden/>
    <w:rsid w:val="00F0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1284-2E53-459A-89CB-B699CF61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薛琴</dc:creator>
  <cp:keywords/>
  <dc:description/>
  <cp:lastModifiedBy>李 薛琴</cp:lastModifiedBy>
  <cp:revision>5</cp:revision>
  <dcterms:created xsi:type="dcterms:W3CDTF">2021-07-24T14:52:00Z</dcterms:created>
  <dcterms:modified xsi:type="dcterms:W3CDTF">2021-07-24T15:49:00Z</dcterms:modified>
</cp:coreProperties>
</file>