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AEC3E" w14:textId="344CF87A" w:rsidR="00CC2658" w:rsidRDefault="00CC2658" w:rsidP="0000699B">
      <w:pPr>
        <w:spacing w:line="480" w:lineRule="auto"/>
        <w:jc w:val="center"/>
        <w:rPr>
          <w:rFonts w:ascii="Times New Roman" w:hAnsi="Times New Roman" w:cs="Times New Roman"/>
          <w:b/>
          <w:sz w:val="24"/>
          <w:szCs w:val="24"/>
        </w:rPr>
      </w:pPr>
      <w:r w:rsidRPr="0037333E">
        <w:rPr>
          <w:rFonts w:ascii="Times New Roman" w:hAnsi="Times New Roman" w:cs="Times New Roman"/>
          <w:b/>
          <w:sz w:val="24"/>
          <w:szCs w:val="24"/>
        </w:rPr>
        <w:t xml:space="preserve">Supplementary materials for Flaxman, et </w:t>
      </w:r>
      <w:r w:rsidRPr="007F1769">
        <w:rPr>
          <w:rFonts w:ascii="Times New Roman" w:hAnsi="Times New Roman" w:cs="Times New Roman"/>
          <w:b/>
          <w:sz w:val="24"/>
          <w:szCs w:val="24"/>
        </w:rPr>
        <w:t>al, “</w:t>
      </w:r>
      <w:r w:rsidR="1910F991" w:rsidRPr="44132A5A">
        <w:rPr>
          <w:rFonts w:ascii="Times New Roman" w:eastAsia="Times New Roman" w:hAnsi="Times New Roman" w:cs="Times New Roman"/>
          <w:b/>
          <w:bCs/>
          <w:color w:val="1D1C1D"/>
          <w:sz w:val="24"/>
          <w:szCs w:val="24"/>
        </w:rPr>
        <w:t>Health impact and cost of</w:t>
      </w:r>
      <w:r w:rsidR="00755637" w:rsidRPr="44132A5A">
        <w:rPr>
          <w:rFonts w:ascii="Times New Roman" w:eastAsia="Times New Roman" w:hAnsi="Times New Roman" w:cs="Times New Roman"/>
          <w:b/>
          <w:color w:val="1D1C1D"/>
          <w:sz w:val="24"/>
          <w:szCs w:val="24"/>
        </w:rPr>
        <w:t xml:space="preserve"> COVID-19 prophylaxis</w:t>
      </w:r>
      <w:r w:rsidR="1910F991" w:rsidRPr="44132A5A">
        <w:rPr>
          <w:rFonts w:ascii="Times New Roman" w:eastAsia="Times New Roman" w:hAnsi="Times New Roman" w:cs="Times New Roman"/>
          <w:b/>
          <w:bCs/>
          <w:color w:val="1D1C1D"/>
          <w:sz w:val="24"/>
          <w:szCs w:val="24"/>
        </w:rPr>
        <w:t xml:space="preserve"> with monoclonal antibodies</w:t>
      </w:r>
      <w:r w:rsidRPr="00755637">
        <w:rPr>
          <w:rFonts w:ascii="Times New Roman" w:hAnsi="Times New Roman" w:cs="Times New Roman"/>
          <w:b/>
          <w:sz w:val="24"/>
          <w:szCs w:val="24"/>
        </w:rPr>
        <w:t>”</w:t>
      </w:r>
    </w:p>
    <w:sdt>
      <w:sdtPr>
        <w:rPr>
          <w:rFonts w:asciiTheme="minorHAnsi" w:eastAsiaTheme="minorHAnsi" w:hAnsiTheme="minorHAnsi" w:cstheme="minorBidi"/>
          <w:color w:val="auto"/>
          <w:sz w:val="22"/>
          <w:szCs w:val="22"/>
        </w:rPr>
        <w:id w:val="-224063853"/>
        <w:docPartObj>
          <w:docPartGallery w:val="Table of Contents"/>
          <w:docPartUnique/>
        </w:docPartObj>
      </w:sdtPr>
      <w:sdtEndPr>
        <w:rPr>
          <w:b/>
          <w:bCs/>
          <w:noProof/>
        </w:rPr>
      </w:sdtEndPr>
      <w:sdtContent>
        <w:p w14:paraId="65C7B0D3" w14:textId="2F76BD91" w:rsidR="00755E1E" w:rsidRDefault="00755E1E">
          <w:pPr>
            <w:pStyle w:val="TOCHeading"/>
          </w:pPr>
          <w:r>
            <w:t>Table of Contents</w:t>
          </w:r>
        </w:p>
        <w:p w14:paraId="2D360FDD" w14:textId="237E5B89" w:rsidR="00755E1E" w:rsidRDefault="00755E1E">
          <w:pPr>
            <w:pStyle w:val="TOC3"/>
            <w:tabs>
              <w:tab w:val="right" w:leader="dot" w:pos="9350"/>
            </w:tabs>
            <w:rPr>
              <w:rFonts w:eastAsiaTheme="minorEastAsia"/>
              <w:noProof/>
            </w:rPr>
          </w:pPr>
          <w:r>
            <w:fldChar w:fldCharType="begin"/>
          </w:r>
          <w:r>
            <w:instrText xml:space="preserve"> TOC \o "1-3" \h \z \u </w:instrText>
          </w:r>
          <w:r>
            <w:fldChar w:fldCharType="separate"/>
          </w:r>
          <w:hyperlink w:anchor="_Toc81219287" w:history="1">
            <w:r w:rsidRPr="00FD5FFF">
              <w:rPr>
                <w:rStyle w:val="Hyperlink"/>
                <w:noProof/>
              </w:rPr>
              <w:t>Supplemental Methods</w:t>
            </w:r>
            <w:r>
              <w:rPr>
                <w:noProof/>
                <w:webHidden/>
              </w:rPr>
              <w:tab/>
            </w:r>
            <w:r>
              <w:rPr>
                <w:noProof/>
                <w:webHidden/>
              </w:rPr>
              <w:fldChar w:fldCharType="begin"/>
            </w:r>
            <w:r>
              <w:rPr>
                <w:noProof/>
                <w:webHidden/>
              </w:rPr>
              <w:instrText xml:space="preserve"> PAGEREF _Toc81219287 \h </w:instrText>
            </w:r>
            <w:r>
              <w:rPr>
                <w:noProof/>
                <w:webHidden/>
              </w:rPr>
            </w:r>
            <w:r>
              <w:rPr>
                <w:noProof/>
                <w:webHidden/>
              </w:rPr>
              <w:fldChar w:fldCharType="separate"/>
            </w:r>
            <w:r>
              <w:rPr>
                <w:noProof/>
                <w:webHidden/>
              </w:rPr>
              <w:t>1</w:t>
            </w:r>
            <w:r>
              <w:rPr>
                <w:noProof/>
                <w:webHidden/>
              </w:rPr>
              <w:fldChar w:fldCharType="end"/>
            </w:r>
          </w:hyperlink>
        </w:p>
        <w:p w14:paraId="0E0B5087" w14:textId="4F857EBC" w:rsidR="00755E1E" w:rsidRDefault="0000699B">
          <w:pPr>
            <w:pStyle w:val="TOC3"/>
            <w:tabs>
              <w:tab w:val="right" w:leader="dot" w:pos="9350"/>
            </w:tabs>
            <w:rPr>
              <w:rFonts w:eastAsiaTheme="minorEastAsia"/>
              <w:noProof/>
            </w:rPr>
          </w:pPr>
          <w:hyperlink w:anchor="_Toc81219288" w:history="1">
            <w:r w:rsidR="00755E1E" w:rsidRPr="00FD5FFF">
              <w:rPr>
                <w:rStyle w:val="Hyperlink"/>
                <w:noProof/>
              </w:rPr>
              <w:t>Reporting checklist for economic evaluation of health interventions (CHEERS)</w:t>
            </w:r>
            <w:r w:rsidR="00755E1E">
              <w:rPr>
                <w:noProof/>
                <w:webHidden/>
              </w:rPr>
              <w:tab/>
            </w:r>
            <w:r w:rsidR="00755E1E">
              <w:rPr>
                <w:noProof/>
                <w:webHidden/>
              </w:rPr>
              <w:fldChar w:fldCharType="begin"/>
            </w:r>
            <w:r w:rsidR="00755E1E">
              <w:rPr>
                <w:noProof/>
                <w:webHidden/>
              </w:rPr>
              <w:instrText xml:space="preserve"> PAGEREF _Toc81219288 \h </w:instrText>
            </w:r>
            <w:r w:rsidR="00755E1E">
              <w:rPr>
                <w:noProof/>
                <w:webHidden/>
              </w:rPr>
            </w:r>
            <w:r w:rsidR="00755E1E">
              <w:rPr>
                <w:noProof/>
                <w:webHidden/>
              </w:rPr>
              <w:fldChar w:fldCharType="separate"/>
            </w:r>
            <w:r w:rsidR="00755E1E">
              <w:rPr>
                <w:noProof/>
                <w:webHidden/>
              </w:rPr>
              <w:t>4</w:t>
            </w:r>
            <w:r w:rsidR="00755E1E">
              <w:rPr>
                <w:noProof/>
                <w:webHidden/>
              </w:rPr>
              <w:fldChar w:fldCharType="end"/>
            </w:r>
          </w:hyperlink>
        </w:p>
        <w:p w14:paraId="631D0A35" w14:textId="389A6E7A" w:rsidR="00755E1E" w:rsidRDefault="0000699B">
          <w:pPr>
            <w:pStyle w:val="TOC3"/>
            <w:tabs>
              <w:tab w:val="right" w:leader="dot" w:pos="9350"/>
            </w:tabs>
            <w:rPr>
              <w:rFonts w:eastAsiaTheme="minorEastAsia"/>
              <w:noProof/>
            </w:rPr>
          </w:pPr>
          <w:hyperlink w:anchor="_Toc81219289" w:history="1">
            <w:r w:rsidR="00755E1E" w:rsidRPr="00FD5FFF">
              <w:rPr>
                <w:rStyle w:val="Hyperlink"/>
                <w:noProof/>
              </w:rPr>
              <w:t>References</w:t>
            </w:r>
            <w:r w:rsidR="00755E1E">
              <w:rPr>
                <w:noProof/>
                <w:webHidden/>
              </w:rPr>
              <w:tab/>
            </w:r>
            <w:r w:rsidR="00755E1E">
              <w:rPr>
                <w:noProof/>
                <w:webHidden/>
              </w:rPr>
              <w:fldChar w:fldCharType="begin"/>
            </w:r>
            <w:r w:rsidR="00755E1E">
              <w:rPr>
                <w:noProof/>
                <w:webHidden/>
              </w:rPr>
              <w:instrText xml:space="preserve"> PAGEREF _Toc81219289 \h </w:instrText>
            </w:r>
            <w:r w:rsidR="00755E1E">
              <w:rPr>
                <w:noProof/>
                <w:webHidden/>
              </w:rPr>
            </w:r>
            <w:r w:rsidR="00755E1E">
              <w:rPr>
                <w:noProof/>
                <w:webHidden/>
              </w:rPr>
              <w:fldChar w:fldCharType="separate"/>
            </w:r>
            <w:r w:rsidR="00755E1E">
              <w:rPr>
                <w:noProof/>
                <w:webHidden/>
              </w:rPr>
              <w:t>8</w:t>
            </w:r>
            <w:r w:rsidR="00755E1E">
              <w:rPr>
                <w:noProof/>
                <w:webHidden/>
              </w:rPr>
              <w:fldChar w:fldCharType="end"/>
            </w:r>
          </w:hyperlink>
        </w:p>
        <w:p w14:paraId="38D781D1" w14:textId="6C1D71D0" w:rsidR="00755E1E" w:rsidRDefault="00755E1E">
          <w:r>
            <w:rPr>
              <w:b/>
              <w:bCs/>
              <w:noProof/>
            </w:rPr>
            <w:fldChar w:fldCharType="end"/>
          </w:r>
        </w:p>
      </w:sdtContent>
    </w:sdt>
    <w:p w14:paraId="44C508E7" w14:textId="19648EAA" w:rsidR="00331081" w:rsidRPr="007F1769" w:rsidRDefault="00D85194" w:rsidP="00D85194">
      <w:pPr>
        <w:pStyle w:val="Heading3"/>
      </w:pPr>
      <w:bookmarkStart w:id="0" w:name="_Toc81219287"/>
      <w:r>
        <w:t>Supplemental Methods</w:t>
      </w:r>
      <w:bookmarkEnd w:id="0"/>
    </w:p>
    <w:p w14:paraId="55D3BABF" w14:textId="77777777" w:rsidR="00CC2658" w:rsidRDefault="00CC2658" w:rsidP="00175197">
      <w:pPr>
        <w:pStyle w:val="Heading4"/>
      </w:pPr>
      <w:r>
        <w:t>Analytical steps:</w:t>
      </w:r>
    </w:p>
    <w:p w14:paraId="36B02155" w14:textId="62B5E4D3" w:rsidR="00CC2658" w:rsidRPr="00BA5340" w:rsidRDefault="00CC2658" w:rsidP="00BA5340">
      <w:pPr>
        <w:pStyle w:val="ListParagraph"/>
        <w:numPr>
          <w:ilvl w:val="0"/>
          <w:numId w:val="1"/>
        </w:numPr>
        <w:rPr>
          <w:rFonts w:ascii="Times New Roman" w:hAnsi="Times New Roman" w:cs="Times New Roman"/>
          <w:sz w:val="24"/>
          <w:szCs w:val="24"/>
        </w:rPr>
      </w:pPr>
      <w:r w:rsidRPr="00BA5340">
        <w:rPr>
          <w:rFonts w:ascii="Times New Roman" w:hAnsi="Times New Roman" w:cs="Times New Roman"/>
          <w:sz w:val="24"/>
          <w:szCs w:val="24"/>
        </w:rPr>
        <w:t xml:space="preserve">Estimate the number of COVID-19 case count,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r w:rsidRPr="00BA5340">
        <w:rPr>
          <w:rFonts w:ascii="Times New Roman" w:eastAsiaTheme="minorEastAsia" w:hAnsi="Times New Roman" w:cs="Times New Roman"/>
          <w:sz w:val="24"/>
          <w:szCs w:val="24"/>
        </w:rPr>
        <w:t>, and the age-/sex-/race-stratified case counts as</w:t>
      </w:r>
      <w:r w:rsidRPr="00BA5340">
        <w:rPr>
          <w:rFonts w:ascii="Times New Roman" w:eastAsiaTheme="minorEastAsia" w:hAnsi="Times New Roman" w:cs="Times New Roman"/>
          <w:sz w:val="24"/>
          <w:szCs w:val="24"/>
        </w:rPr>
        <w:br/>
      </w:r>
      <m:oMathPara>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a,s,r</m:t>
              </m:r>
            </m:e>
          </m:d>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 xml:space="preserve"> cases for strata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a,s,r</m:t>
              </m:r>
            </m:e>
          </m:d>
          <m:r>
            <w:rPr>
              <w:rFonts w:ascii="Cambria Math" w:eastAsiaTheme="minorEastAsia" w:hAnsi="Cambria Math" w:cs="Times New Roman"/>
              <w:sz w:val="24"/>
              <w:szCs w:val="24"/>
            </w:rPr>
            <m:t>.</m:t>
          </m:r>
        </m:oMath>
      </m:oMathPara>
    </w:p>
    <w:p w14:paraId="77186E81" w14:textId="77777777" w:rsidR="00BA5340" w:rsidRPr="00BA5340" w:rsidRDefault="00BA5340" w:rsidP="00BA5340">
      <w:pPr>
        <w:pStyle w:val="ListParagraph"/>
        <w:ind w:left="360"/>
        <w:rPr>
          <w:rFonts w:ascii="Times New Roman" w:hAnsi="Times New Roman" w:cs="Times New Roman"/>
          <w:sz w:val="24"/>
          <w:szCs w:val="24"/>
        </w:rPr>
      </w:pPr>
    </w:p>
    <w:p w14:paraId="1DFB7B98" w14:textId="45C7AAEB" w:rsidR="00CC2658" w:rsidRPr="00BA5340" w:rsidRDefault="00CC2658" w:rsidP="00BA5340">
      <w:pPr>
        <w:pStyle w:val="ListParagraph"/>
        <w:numPr>
          <w:ilvl w:val="0"/>
          <w:numId w:val="3"/>
        </w:numPr>
        <w:spacing w:line="256" w:lineRule="auto"/>
        <w:rPr>
          <w:rFonts w:ascii="Times New Roman" w:hAnsi="Times New Roman" w:cs="Times New Roman"/>
          <w:sz w:val="24"/>
          <w:szCs w:val="24"/>
        </w:rPr>
      </w:pPr>
      <w:r w:rsidRPr="00BA5340">
        <w:rPr>
          <w:rFonts w:ascii="Times New Roman" w:eastAsiaTheme="minorEastAsia" w:hAnsi="Times New Roman" w:cs="Times New Roman"/>
          <w:sz w:val="24"/>
          <w:szCs w:val="24"/>
        </w:rPr>
        <w:t xml:space="preserve">Estimate the stratified number of </w:t>
      </w:r>
      <w:r w:rsidR="00755637" w:rsidRPr="00BA5340">
        <w:rPr>
          <w:rFonts w:ascii="Times New Roman" w:eastAsiaTheme="minorEastAsia" w:hAnsi="Times New Roman" w:cs="Times New Roman"/>
          <w:sz w:val="24"/>
          <w:szCs w:val="24"/>
        </w:rPr>
        <w:t xml:space="preserve">unvaccinated </w:t>
      </w:r>
      <w:r w:rsidRPr="00BA5340">
        <w:rPr>
          <w:rFonts w:ascii="Times New Roman" w:eastAsiaTheme="minorEastAsia" w:hAnsi="Times New Roman" w:cs="Times New Roman"/>
          <w:sz w:val="24"/>
          <w:szCs w:val="24"/>
        </w:rPr>
        <w:t xml:space="preserve">household contacts who might benefit from </w:t>
      </w:r>
      <w:proofErr w:type="spellStart"/>
      <w:r w:rsidRPr="00BA5340">
        <w:rPr>
          <w:rFonts w:ascii="Times New Roman" w:eastAsiaTheme="minorEastAsia" w:hAnsi="Times New Roman" w:cs="Times New Roman"/>
          <w:sz w:val="24"/>
          <w:szCs w:val="24"/>
        </w:rPr>
        <w:t>mAbs</w:t>
      </w:r>
      <w:proofErr w:type="spellEnd"/>
      <w:r w:rsidRPr="00BA5340">
        <w:rPr>
          <w:rFonts w:ascii="Times New Roman" w:eastAsiaTheme="minorEastAsia" w:hAnsi="Times New Roman" w:cs="Times New Roman"/>
          <w:sz w:val="24"/>
          <w:szCs w:val="24"/>
        </w:rPr>
        <w:t xml:space="preserve"> PEP as</w:t>
      </w:r>
      <w:r w:rsidRPr="00BA5340">
        <w:rPr>
          <w:rFonts w:ascii="Times New Roman" w:eastAsiaTheme="minorEastAsia" w:hAnsi="Times New Roman" w:cs="Times New Roman"/>
          <w:sz w:val="24"/>
          <w:szCs w:val="24"/>
        </w:rPr>
        <w:br/>
      </w:r>
      <m:oMathPara>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a,s,r</m:t>
              </m:r>
            </m:e>
          </m:d>
          <m:r>
            <w:rPr>
              <w:rFonts w:ascii="Cambria Math" w:hAnsi="Cambria Math" w:cs="Times New Roman"/>
              <w:sz w:val="24"/>
              <w:szCs w:val="24"/>
            </w:rPr>
            <m:t>=</m:t>
          </m:r>
          <m:nary>
            <m:naryPr>
              <m:chr m:val="∑"/>
              <m:supHide m:val="1"/>
              <m:ctrlPr>
                <w:rPr>
                  <w:rFonts w:ascii="Cambria Math" w:hAnsi="Cambria Math" w:cs="Times New Roman"/>
                  <w:i/>
                  <w:sz w:val="24"/>
                  <w:szCs w:val="24"/>
                </w:rPr>
              </m:ctrlPr>
            </m:naryPr>
            <m:sub>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m:t>
                  </m:r>
                </m:sup>
              </m:sSup>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m:rPr>
                      <m:sty m:val="p"/>
                    </m:rPr>
                    <w:rPr>
                      <w:rFonts w:ascii="Cambria Math" w:eastAsiaTheme="minorEastAsia" w:hAnsi="Cambria Math" w:cs="Times New Roman"/>
                      <w:sz w:val="24"/>
                      <w:szCs w:val="24"/>
                    </w:rPr>
                    <m:t>unvax</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m:t>
                  </m:r>
                </m:sup>
              </m:sSup>
              <m:r>
                <w:rPr>
                  <w:rFonts w:ascii="Cambria Math" w:hAnsi="Cambria Math" w:cs="Times New Roman"/>
                  <w:sz w:val="24"/>
                  <w:szCs w:val="24"/>
                </w:rPr>
                <m:t>)</m:t>
              </m:r>
            </m:e>
          </m:nary>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hh</m:t>
              </m:r>
            </m:sub>
            <m:sup>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m:t>
                  </m:r>
                </m:sup>
              </m:sSup>
            </m:sup>
          </m:sSubSup>
          <m:d>
            <m:dPr>
              <m:ctrlPr>
                <w:rPr>
                  <w:rFonts w:ascii="Cambria Math" w:hAnsi="Cambria Math" w:cs="Times New Roman"/>
                  <w:i/>
                  <w:sz w:val="24"/>
                  <w:szCs w:val="24"/>
                </w:rPr>
              </m:ctrlPr>
            </m:dPr>
            <m:e>
              <m:r>
                <w:rPr>
                  <w:rFonts w:ascii="Cambria Math" w:hAnsi="Cambria Math" w:cs="Times New Roman"/>
                  <w:sz w:val="24"/>
                  <w:szCs w:val="24"/>
                </w:rPr>
                <m:t>a,s,r</m:t>
              </m:r>
            </m:e>
          </m:d>
          <m:r>
            <w:rPr>
              <w:rFonts w:ascii="Cambria Math" w:hAnsi="Cambria Math" w:cs="Times New Roman"/>
              <w:sz w:val="24"/>
              <w:szCs w:val="24"/>
            </w:rPr>
            <m:t>,</m:t>
          </m:r>
        </m:oMath>
      </m:oMathPara>
    </w:p>
    <w:p w14:paraId="53C13528" w14:textId="77777777" w:rsidR="00CC2658" w:rsidRPr="00BA5340" w:rsidRDefault="00CC2658" w:rsidP="00BA5340">
      <w:pPr>
        <w:pStyle w:val="ListParagraph"/>
        <w:ind w:left="0"/>
        <w:rPr>
          <w:rFonts w:ascii="Times New Roman" w:hAnsi="Times New Roman" w:cs="Times New Roman"/>
          <w:sz w:val="24"/>
          <w:szCs w:val="24"/>
        </w:rPr>
      </w:pPr>
    </w:p>
    <w:p w14:paraId="36212F8D" w14:textId="7F5454BA" w:rsidR="00CC2658" w:rsidRDefault="00CC2658" w:rsidP="00BA5340">
      <w:pPr>
        <w:pStyle w:val="ListParagraph"/>
        <w:rPr>
          <w:rFonts w:ascii="Times New Roman" w:eastAsiaTheme="minorEastAsia" w:hAnsi="Times New Roman" w:cs="Times New Roman"/>
          <w:sz w:val="24"/>
          <w:szCs w:val="24"/>
        </w:rPr>
      </w:pPr>
      <w:r w:rsidRPr="00BA5340">
        <w:rPr>
          <w:rFonts w:ascii="Times New Roman" w:eastAsiaTheme="minorEastAsia" w:hAnsi="Times New Roman" w:cs="Times New Roman"/>
          <w:sz w:val="24"/>
          <w:szCs w:val="24"/>
        </w:rPr>
        <w:t xml:space="preserve">where </w:t>
      </w:r>
      <m:oMath>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hh</m:t>
            </m:r>
          </m:sub>
          <m:sup>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m:t>
                </m:r>
              </m:sup>
            </m:sSup>
          </m:sup>
        </m:sSubSup>
        <m:d>
          <m:dPr>
            <m:ctrlPr>
              <w:rPr>
                <w:rFonts w:ascii="Cambria Math" w:hAnsi="Cambria Math" w:cs="Times New Roman"/>
                <w:i/>
                <w:sz w:val="24"/>
                <w:szCs w:val="24"/>
              </w:rPr>
            </m:ctrlPr>
          </m:dPr>
          <m:e>
            <m:r>
              <w:rPr>
                <w:rFonts w:ascii="Cambria Math" w:hAnsi="Cambria Math" w:cs="Times New Roman"/>
                <w:sz w:val="24"/>
                <w:szCs w:val="24"/>
              </w:rPr>
              <m:t>a,s,r</m:t>
            </m:r>
          </m:e>
        </m:d>
      </m:oMath>
      <w:r w:rsidRPr="00BA5340">
        <w:rPr>
          <w:rFonts w:ascii="Times New Roman" w:eastAsiaTheme="minorEastAsia" w:hAnsi="Times New Roman" w:cs="Times New Roman"/>
          <w:sz w:val="24"/>
          <w:szCs w:val="24"/>
        </w:rPr>
        <w:t xml:space="preserve"> denotes the mean number of </w:t>
      </w:r>
      <w:r w:rsidRPr="00BA5340">
        <w:rPr>
          <w:rFonts w:ascii="Times New Roman" w:eastAsiaTheme="minorEastAsia" w:hAnsi="Times New Roman" w:cs="Times New Roman"/>
          <w:i/>
          <w:sz w:val="24"/>
          <w:szCs w:val="24"/>
        </w:rPr>
        <w:t>other</w:t>
      </w:r>
      <w:r w:rsidRPr="00BA5340">
        <w:rPr>
          <w:rFonts w:ascii="Times New Roman" w:eastAsiaTheme="minorEastAsia" w:hAnsi="Times New Roman" w:cs="Times New Roman"/>
          <w:sz w:val="24"/>
          <w:szCs w:val="24"/>
        </w:rPr>
        <w:t xml:space="preserve"> people in strata </w:t>
      </w:r>
      <m:oMath>
        <m:d>
          <m:dPr>
            <m:ctrlPr>
              <w:rPr>
                <w:rFonts w:ascii="Cambria Math" w:hAnsi="Cambria Math" w:cs="Times New Roman"/>
                <w:i/>
                <w:sz w:val="24"/>
                <w:szCs w:val="24"/>
              </w:rPr>
            </m:ctrlPr>
          </m:dPr>
          <m:e>
            <m:r>
              <w:rPr>
                <w:rFonts w:ascii="Cambria Math" w:hAnsi="Cambria Math" w:cs="Times New Roman"/>
                <w:sz w:val="24"/>
                <w:szCs w:val="24"/>
              </w:rPr>
              <m:t>a,s,r</m:t>
            </m:r>
          </m:e>
        </m:d>
      </m:oMath>
      <w:r w:rsidRPr="00BA5340">
        <w:rPr>
          <w:rFonts w:ascii="Times New Roman" w:eastAsiaTheme="minorEastAsia" w:hAnsi="Times New Roman" w:cs="Times New Roman"/>
          <w:sz w:val="24"/>
          <w:szCs w:val="24"/>
        </w:rPr>
        <w:t xml:space="preserve"> who live in a household with a person in strata </w:t>
      </w:r>
      <m:oMath>
        <m:d>
          <m:dPr>
            <m:ctrlPr>
              <w:rPr>
                <w:rFonts w:ascii="Cambria Math" w:hAnsi="Cambria Math" w:cs="Times New Roman"/>
                <w:i/>
                <w:sz w:val="24"/>
                <w:szCs w:val="24"/>
              </w:rPr>
            </m:ctrlPr>
          </m:dPr>
          <m:e>
            <m:r>
              <w:rPr>
                <w:rFonts w:ascii="Cambria Math" w:hAnsi="Cambria Math" w:cs="Times New Roman"/>
                <w:sz w:val="24"/>
                <w:szCs w:val="24"/>
              </w:rPr>
              <m:t>a',s',r'</m:t>
            </m:r>
          </m:e>
        </m:d>
      </m:oMath>
      <w:r w:rsidRPr="00BA5340">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m:rPr>
                <m:sty m:val="p"/>
              </m:rPr>
              <w:rPr>
                <w:rFonts w:ascii="Cambria Math" w:eastAsiaTheme="minorEastAsia" w:hAnsi="Cambria Math" w:cs="Times New Roman"/>
                <w:sz w:val="24"/>
                <w:szCs w:val="24"/>
              </w:rPr>
              <m:t>unvax</m:t>
            </m:r>
          </m:sub>
        </m:sSub>
      </m:oMath>
      <w:r w:rsidRPr="00BA5340">
        <w:rPr>
          <w:rFonts w:ascii="Times New Roman" w:eastAsiaTheme="minorEastAsia" w:hAnsi="Times New Roman" w:cs="Times New Roman"/>
          <w:sz w:val="24"/>
          <w:szCs w:val="24"/>
        </w:rPr>
        <w:t xml:space="preserve"> denotes the probability that a COVID-19 case occurs in a completely unvaccinated household.</w:t>
      </w:r>
    </w:p>
    <w:p w14:paraId="61436C2A" w14:textId="77777777" w:rsidR="00BA5340" w:rsidRPr="00BA5340" w:rsidRDefault="00BA5340" w:rsidP="00BA5340">
      <w:pPr>
        <w:pStyle w:val="ListParagraph"/>
        <w:rPr>
          <w:rFonts w:ascii="Times New Roman" w:eastAsiaTheme="minorEastAsia" w:hAnsi="Times New Roman" w:cs="Times New Roman"/>
          <w:sz w:val="24"/>
          <w:szCs w:val="24"/>
        </w:rPr>
      </w:pPr>
    </w:p>
    <w:p w14:paraId="7B6A37B9" w14:textId="1C034234" w:rsidR="20295A47" w:rsidRPr="00BA5340" w:rsidRDefault="0AC676AD" w:rsidP="00BA5340">
      <w:pPr>
        <w:pStyle w:val="ListParagraph"/>
        <w:numPr>
          <w:ilvl w:val="0"/>
          <w:numId w:val="6"/>
        </w:numPr>
        <w:rPr>
          <w:rFonts w:ascii="Times New Roman" w:eastAsiaTheme="minorEastAsia" w:hAnsi="Times New Roman" w:cs="Times New Roman"/>
          <w:sz w:val="24"/>
          <w:szCs w:val="24"/>
        </w:rPr>
      </w:pPr>
      <w:r w:rsidRPr="00BA5340">
        <w:rPr>
          <w:rFonts w:ascii="Times New Roman" w:eastAsiaTheme="minorEastAsia" w:hAnsi="Times New Roman" w:cs="Times New Roman"/>
          <w:sz w:val="24"/>
          <w:szCs w:val="24"/>
        </w:rPr>
        <w:t xml:space="preserve"> </w:t>
      </w:r>
      <w:r w:rsidR="6DF2F70E" w:rsidRPr="00BA5340">
        <w:rPr>
          <w:rFonts w:ascii="Times New Roman" w:eastAsiaTheme="minorEastAsia" w:hAnsi="Times New Roman" w:cs="Times New Roman"/>
          <w:sz w:val="24"/>
          <w:szCs w:val="24"/>
        </w:rPr>
        <w:t>Calculate the probability that a COVID-19 case occurs in a completely unvaccinated household as</w:t>
      </w:r>
      <w:r w:rsidR="708B8F42" w:rsidRPr="00BA5340">
        <w:rPr>
          <w:rFonts w:ascii="Times New Roman" w:eastAsiaTheme="minorEastAsia" w:hAnsi="Times New Roman" w:cs="Times New Roman"/>
          <w:sz w:val="24"/>
          <w:szCs w:val="24"/>
        </w:rPr>
        <w:t>:</w:t>
      </w:r>
    </w:p>
    <w:p w14:paraId="6342714D" w14:textId="7BAD423D" w:rsidR="20295A47" w:rsidRDefault="3859FFBC" w:rsidP="1238D6BD">
      <w:pPr>
        <w:pStyle w:val="ListParagraph"/>
        <w:numPr>
          <w:ilvl w:val="0"/>
          <w:numId w:val="5"/>
        </w:numPr>
        <w:rPr>
          <w:rFonts w:eastAsiaTheme="minorEastAsia"/>
          <w:color w:val="000000" w:themeColor="text1"/>
        </w:rPr>
      </w:pPr>
      <w:r w:rsidRPr="1238D6BD">
        <w:rPr>
          <w:rFonts w:ascii="Calibri" w:eastAsia="Calibri" w:hAnsi="Calibri" w:cs="Calibri"/>
          <w:color w:val="000000" w:themeColor="text1"/>
        </w:rPr>
        <w:t xml:space="preserve">Equation 1:  </w:t>
      </w:r>
    </w:p>
    <w:p w14:paraId="22CB88F8" w14:textId="496395BC" w:rsidR="20295A47" w:rsidRDefault="3859FFBC" w:rsidP="1238D6BD">
      <w:pPr>
        <w:jc w:val="center"/>
      </w:pPr>
      <w:proofErr w:type="spellStart"/>
      <w:proofErr w:type="gramStart"/>
      <w:r w:rsidRPr="1238D6BD">
        <w:rPr>
          <w:rFonts w:ascii="MathJax_Main" w:eastAsia="MathJax_Main" w:hAnsi="MathJax_Main" w:cs="MathJax_Main"/>
          <w:color w:val="000000" w:themeColor="text1"/>
        </w:rPr>
        <w:t>Pr</w:t>
      </w:r>
      <w:proofErr w:type="spellEnd"/>
      <w:r w:rsidRPr="1238D6BD">
        <w:rPr>
          <w:rFonts w:ascii="MathJax_Main" w:eastAsia="MathJax_Main" w:hAnsi="MathJax_Main" w:cs="MathJax_Main"/>
          <w:color w:val="000000" w:themeColor="text1"/>
        </w:rPr>
        <w:t>(</w:t>
      </w:r>
      <w:proofErr w:type="gramEnd"/>
      <w:r w:rsidRPr="1238D6BD">
        <w:rPr>
          <w:rFonts w:ascii="MathJax_Math-italic" w:eastAsia="MathJax_Math-italic" w:hAnsi="MathJax_Math-italic" w:cs="MathJax_Math-italic"/>
          <w:color w:val="000000" w:themeColor="text1"/>
        </w:rPr>
        <w:t>CC</w:t>
      </w:r>
      <w:r w:rsidRPr="1238D6BD">
        <w:rPr>
          <w:rFonts w:ascii="MathJax_Main" w:eastAsia="MathJax_Main" w:hAnsi="MathJax_Main" w:cs="MathJax_Main"/>
          <w:color w:val="000000" w:themeColor="text1"/>
        </w:rPr>
        <w:t>)=(</w:t>
      </w:r>
      <w:proofErr w:type="spellStart"/>
      <w:r w:rsidRPr="1238D6BD">
        <w:rPr>
          <w:rFonts w:ascii="MathJax_Main" w:eastAsia="MathJax_Main" w:hAnsi="MathJax_Main" w:cs="MathJax_Main"/>
          <w:color w:val="000000" w:themeColor="text1"/>
        </w:rPr>
        <w:t>Pr</w:t>
      </w:r>
      <w:proofErr w:type="spellEnd"/>
      <w:r w:rsidRPr="1238D6BD">
        <w:rPr>
          <w:rFonts w:ascii="MathJax_Main" w:eastAsia="MathJax_Main" w:hAnsi="MathJax_Main" w:cs="MathJax_Main"/>
          <w:color w:val="000000" w:themeColor="text1"/>
        </w:rPr>
        <w:t>(</w:t>
      </w:r>
      <w:proofErr w:type="spellStart"/>
      <w:r w:rsidRPr="1238D6BD">
        <w:rPr>
          <w:rFonts w:ascii="MathJax_Math-italic" w:eastAsia="MathJax_Math-italic" w:hAnsi="MathJax_Math-italic" w:cs="MathJax_Math-italic"/>
          <w:color w:val="000000" w:themeColor="text1"/>
        </w:rPr>
        <w:t>CC</w:t>
      </w:r>
      <w:r w:rsidRPr="1238D6BD">
        <w:rPr>
          <w:rFonts w:ascii="MathJax_Main" w:eastAsia="MathJax_Main" w:hAnsi="MathJax_Main" w:cs="MathJax_Main"/>
          <w:color w:val="000000" w:themeColor="text1"/>
        </w:rPr>
        <w:t>|</w:t>
      </w:r>
      <w:r w:rsidRPr="1238D6BD">
        <w:rPr>
          <w:rFonts w:ascii="MathJax_Math-italic" w:eastAsia="MathJax_Math-italic" w:hAnsi="MathJax_Math-italic" w:cs="MathJax_Math-italic"/>
          <w:color w:val="000000" w:themeColor="text1"/>
        </w:rPr>
        <w:t>vax</w:t>
      </w:r>
      <w:proofErr w:type="spellEnd"/>
      <w:r w:rsidRPr="1238D6BD">
        <w:rPr>
          <w:rFonts w:ascii="MathJax_Main" w:eastAsia="MathJax_Main" w:hAnsi="MathJax_Main" w:cs="MathJax_Main"/>
          <w:color w:val="000000" w:themeColor="text1"/>
        </w:rPr>
        <w:t>)×</w:t>
      </w:r>
      <w:proofErr w:type="spellStart"/>
      <w:r w:rsidRPr="1238D6BD">
        <w:rPr>
          <w:rFonts w:ascii="MathJax_Main" w:eastAsia="MathJax_Main" w:hAnsi="MathJax_Main" w:cs="MathJax_Main"/>
          <w:color w:val="000000" w:themeColor="text1"/>
        </w:rPr>
        <w:t>Pr</w:t>
      </w:r>
      <w:proofErr w:type="spellEnd"/>
      <w:r w:rsidRPr="1238D6BD">
        <w:rPr>
          <w:rFonts w:ascii="MathJax_Main" w:eastAsia="MathJax_Main" w:hAnsi="MathJax_Main" w:cs="MathJax_Main"/>
          <w:color w:val="000000" w:themeColor="text1"/>
        </w:rPr>
        <w:t>(</w:t>
      </w:r>
      <w:r w:rsidRPr="1238D6BD">
        <w:rPr>
          <w:rFonts w:ascii="MathJax_Math-italic" w:eastAsia="MathJax_Math-italic" w:hAnsi="MathJax_Math-italic" w:cs="MathJax_Math-italic"/>
          <w:color w:val="000000" w:themeColor="text1"/>
        </w:rPr>
        <w:t>vax</w:t>
      </w:r>
      <w:r w:rsidRPr="1238D6BD">
        <w:rPr>
          <w:rFonts w:ascii="MathJax_Main" w:eastAsia="MathJax_Main" w:hAnsi="MathJax_Main" w:cs="MathJax_Main"/>
          <w:color w:val="000000" w:themeColor="text1"/>
        </w:rPr>
        <w:t>))+(</w:t>
      </w:r>
      <w:proofErr w:type="spellStart"/>
      <w:r w:rsidRPr="1238D6BD">
        <w:rPr>
          <w:rFonts w:ascii="MathJax_Main" w:eastAsia="MathJax_Main" w:hAnsi="MathJax_Main" w:cs="MathJax_Main"/>
          <w:color w:val="000000" w:themeColor="text1"/>
        </w:rPr>
        <w:t>Pr</w:t>
      </w:r>
      <w:proofErr w:type="spellEnd"/>
      <w:r w:rsidRPr="1238D6BD">
        <w:rPr>
          <w:rFonts w:ascii="MathJax_Main" w:eastAsia="MathJax_Main" w:hAnsi="MathJax_Main" w:cs="MathJax_Main"/>
          <w:color w:val="000000" w:themeColor="text1"/>
        </w:rPr>
        <w:t>(</w:t>
      </w:r>
      <w:proofErr w:type="spellStart"/>
      <w:r w:rsidRPr="1238D6BD">
        <w:rPr>
          <w:rFonts w:ascii="MathJax_Math-italic" w:eastAsia="MathJax_Math-italic" w:hAnsi="MathJax_Math-italic" w:cs="MathJax_Math-italic"/>
          <w:color w:val="000000" w:themeColor="text1"/>
        </w:rPr>
        <w:t>CC</w:t>
      </w:r>
      <w:r w:rsidRPr="1238D6BD">
        <w:rPr>
          <w:rFonts w:ascii="MathJax_Main" w:eastAsia="MathJax_Main" w:hAnsi="MathJax_Main" w:cs="MathJax_Main"/>
          <w:color w:val="000000" w:themeColor="text1"/>
        </w:rPr>
        <w:t>|</w:t>
      </w:r>
      <w:r w:rsidRPr="1238D6BD">
        <w:rPr>
          <w:rFonts w:ascii="MathJax_Math-italic" w:eastAsia="MathJax_Math-italic" w:hAnsi="MathJax_Math-italic" w:cs="MathJax_Math-italic"/>
          <w:color w:val="000000" w:themeColor="text1"/>
        </w:rPr>
        <w:t>unvax</w:t>
      </w:r>
      <w:proofErr w:type="spellEnd"/>
      <w:r w:rsidRPr="1238D6BD">
        <w:rPr>
          <w:rFonts w:ascii="MathJax_Main" w:eastAsia="MathJax_Main" w:hAnsi="MathJax_Main" w:cs="MathJax_Main"/>
          <w:color w:val="000000" w:themeColor="text1"/>
        </w:rPr>
        <w:t>)×</w:t>
      </w:r>
      <w:proofErr w:type="spellStart"/>
      <w:r w:rsidRPr="1238D6BD">
        <w:rPr>
          <w:rFonts w:ascii="MathJax_Main" w:eastAsia="MathJax_Main" w:hAnsi="MathJax_Main" w:cs="MathJax_Main"/>
          <w:color w:val="000000" w:themeColor="text1"/>
        </w:rPr>
        <w:t>Pr</w:t>
      </w:r>
      <w:proofErr w:type="spellEnd"/>
      <w:r w:rsidRPr="1238D6BD">
        <w:rPr>
          <w:rFonts w:ascii="MathJax_Main" w:eastAsia="MathJax_Main" w:hAnsi="MathJax_Main" w:cs="MathJax_Main"/>
          <w:color w:val="000000" w:themeColor="text1"/>
        </w:rPr>
        <w:t>(</w:t>
      </w:r>
      <w:proofErr w:type="spellStart"/>
      <w:r w:rsidRPr="1238D6BD">
        <w:rPr>
          <w:rFonts w:ascii="MathJax_Math-italic" w:eastAsia="MathJax_Math-italic" w:hAnsi="MathJax_Math-italic" w:cs="MathJax_Math-italic"/>
          <w:color w:val="000000" w:themeColor="text1"/>
        </w:rPr>
        <w:t>unvax</w:t>
      </w:r>
      <w:proofErr w:type="spellEnd"/>
      <w:r w:rsidRPr="1238D6BD">
        <w:rPr>
          <w:rFonts w:ascii="MathJax_Main" w:eastAsia="MathJax_Main" w:hAnsi="MathJax_Main" w:cs="MathJax_Main"/>
          <w:color w:val="000000" w:themeColor="text1"/>
        </w:rPr>
        <w:t>))</w:t>
      </w:r>
    </w:p>
    <w:p w14:paraId="5DF7CEBC" w14:textId="65F8ABAE" w:rsidR="20295A47" w:rsidRDefault="3859FFBC" w:rsidP="1238D6BD">
      <w:pPr>
        <w:pStyle w:val="ListParagraph"/>
        <w:numPr>
          <w:ilvl w:val="0"/>
          <w:numId w:val="5"/>
        </w:numPr>
        <w:rPr>
          <w:rFonts w:eastAsiaTheme="minorEastAsia"/>
          <w:color w:val="000000" w:themeColor="text1"/>
        </w:rPr>
      </w:pPr>
      <w:r w:rsidRPr="1238D6BD">
        <w:rPr>
          <w:rFonts w:ascii="Calibri" w:eastAsia="Calibri" w:hAnsi="Calibri" w:cs="Calibri"/>
          <w:color w:val="000000" w:themeColor="text1"/>
        </w:rPr>
        <w:t>Equation 2:</w:t>
      </w:r>
    </w:p>
    <w:p w14:paraId="0F6613EB" w14:textId="583A46CE" w:rsidR="20295A47" w:rsidRDefault="3859FFBC" w:rsidP="1238D6BD">
      <w:pPr>
        <w:jc w:val="center"/>
      </w:pPr>
      <w:r w:rsidRPr="1238D6BD">
        <w:rPr>
          <w:rFonts w:ascii="MathJax_Main" w:eastAsia="MathJax_Main" w:hAnsi="MathJax_Main" w:cs="MathJax_Main"/>
          <w:color w:val="000000" w:themeColor="text1"/>
        </w:rPr>
        <w:t xml:space="preserve"> </w:t>
      </w:r>
      <w:proofErr w:type="spellStart"/>
      <w:r w:rsidRPr="1238D6BD">
        <w:rPr>
          <w:rFonts w:ascii="MathJax_Math-italic" w:eastAsia="MathJax_Math-italic" w:hAnsi="MathJax_Math-italic" w:cs="MathJax_Math-italic"/>
          <w:color w:val="000000" w:themeColor="text1"/>
        </w:rPr>
        <w:t>Pr</w:t>
      </w:r>
      <w:proofErr w:type="spellEnd"/>
      <w:r w:rsidRPr="1238D6BD">
        <w:rPr>
          <w:rFonts w:ascii="MathJax_Main" w:eastAsia="MathJax_Main" w:hAnsi="MathJax_Main" w:cs="MathJax_Main"/>
          <w:color w:val="000000" w:themeColor="text1"/>
        </w:rPr>
        <w:t>(</w:t>
      </w:r>
      <w:proofErr w:type="spellStart"/>
      <w:r w:rsidRPr="1238D6BD">
        <w:rPr>
          <w:rFonts w:ascii="MathJax_Math-italic" w:eastAsia="MathJax_Math-italic" w:hAnsi="MathJax_Math-italic" w:cs="MathJax_Math-italic"/>
          <w:color w:val="000000" w:themeColor="text1"/>
        </w:rPr>
        <w:t>unvax</w:t>
      </w:r>
      <w:r w:rsidRPr="1238D6BD">
        <w:rPr>
          <w:rFonts w:ascii="MathJax_Main" w:eastAsia="MathJax_Main" w:hAnsi="MathJax_Main" w:cs="MathJax_Main"/>
          <w:color w:val="000000" w:themeColor="text1"/>
        </w:rPr>
        <w:t>|</w:t>
      </w:r>
      <w:proofErr w:type="gramStart"/>
      <w:r w:rsidRPr="1238D6BD">
        <w:rPr>
          <w:rFonts w:ascii="MathJax_Math-italic" w:eastAsia="MathJax_Math-italic" w:hAnsi="MathJax_Math-italic" w:cs="MathJax_Math-italic"/>
          <w:color w:val="000000" w:themeColor="text1"/>
        </w:rPr>
        <w:t>CC</w:t>
      </w:r>
      <w:proofErr w:type="spellEnd"/>
      <w:r w:rsidRPr="1238D6BD">
        <w:rPr>
          <w:rFonts w:ascii="MathJax_Main" w:eastAsia="MathJax_Main" w:hAnsi="MathJax_Main" w:cs="MathJax_Main"/>
          <w:color w:val="000000" w:themeColor="text1"/>
        </w:rPr>
        <w:t>)=</w:t>
      </w:r>
      <w:proofErr w:type="spellStart"/>
      <w:proofErr w:type="gramEnd"/>
      <w:r w:rsidRPr="1238D6BD">
        <w:rPr>
          <w:rFonts w:ascii="MathJax_Math-italic" w:eastAsia="MathJax_Math-italic" w:hAnsi="MathJax_Math-italic" w:cs="MathJax_Math-italic"/>
          <w:color w:val="000000" w:themeColor="text1"/>
        </w:rPr>
        <w:t>Pr</w:t>
      </w:r>
      <w:proofErr w:type="spellEnd"/>
      <w:r w:rsidRPr="1238D6BD">
        <w:rPr>
          <w:rFonts w:ascii="MathJax_Main" w:eastAsia="MathJax_Main" w:hAnsi="MathJax_Main" w:cs="MathJax_Main"/>
          <w:color w:val="000000" w:themeColor="text1"/>
        </w:rPr>
        <w:t>(</w:t>
      </w:r>
      <w:proofErr w:type="spellStart"/>
      <w:r w:rsidRPr="1238D6BD">
        <w:rPr>
          <w:rFonts w:ascii="MathJax_Math-italic" w:eastAsia="MathJax_Math-italic" w:hAnsi="MathJax_Math-italic" w:cs="MathJax_Math-italic"/>
          <w:color w:val="000000" w:themeColor="text1"/>
        </w:rPr>
        <w:t>CC</w:t>
      </w:r>
      <w:r w:rsidRPr="1238D6BD">
        <w:rPr>
          <w:rFonts w:ascii="MathJax_Main" w:eastAsia="MathJax_Main" w:hAnsi="MathJax_Main" w:cs="MathJax_Main"/>
          <w:color w:val="000000" w:themeColor="text1"/>
        </w:rPr>
        <w:t>|</w:t>
      </w:r>
      <w:r w:rsidRPr="1238D6BD">
        <w:rPr>
          <w:rFonts w:ascii="MathJax_Math-italic" w:eastAsia="MathJax_Math-italic" w:hAnsi="MathJax_Math-italic" w:cs="MathJax_Math-italic"/>
          <w:color w:val="000000" w:themeColor="text1"/>
        </w:rPr>
        <w:t>unvax</w:t>
      </w:r>
      <w:proofErr w:type="spellEnd"/>
      <w:r w:rsidRPr="1238D6BD">
        <w:rPr>
          <w:rFonts w:ascii="MathJax_Main" w:eastAsia="MathJax_Main" w:hAnsi="MathJax_Main" w:cs="MathJax_Main"/>
          <w:color w:val="000000" w:themeColor="text1"/>
        </w:rPr>
        <w:t>)×</w:t>
      </w:r>
      <w:proofErr w:type="spellStart"/>
      <w:r w:rsidRPr="1238D6BD">
        <w:rPr>
          <w:rFonts w:ascii="MathJax_Math-italic" w:eastAsia="MathJax_Math-italic" w:hAnsi="MathJax_Math-italic" w:cs="MathJax_Math-italic"/>
          <w:color w:val="000000" w:themeColor="text1"/>
        </w:rPr>
        <w:t>Pr</w:t>
      </w:r>
      <w:proofErr w:type="spellEnd"/>
      <w:r w:rsidRPr="1238D6BD">
        <w:rPr>
          <w:rFonts w:ascii="MathJax_Main" w:eastAsia="MathJax_Main" w:hAnsi="MathJax_Main" w:cs="MathJax_Main"/>
          <w:color w:val="000000" w:themeColor="text1"/>
        </w:rPr>
        <w:t>(</w:t>
      </w:r>
      <w:proofErr w:type="spellStart"/>
      <w:r w:rsidRPr="1238D6BD">
        <w:rPr>
          <w:rFonts w:ascii="MathJax_Math-italic" w:eastAsia="MathJax_Math-italic" w:hAnsi="MathJax_Math-italic" w:cs="MathJax_Math-italic"/>
          <w:color w:val="000000" w:themeColor="text1"/>
        </w:rPr>
        <w:t>unvax</w:t>
      </w:r>
      <w:proofErr w:type="spellEnd"/>
      <w:r w:rsidRPr="1238D6BD">
        <w:rPr>
          <w:rFonts w:ascii="MathJax_Main" w:eastAsia="MathJax_Main" w:hAnsi="MathJax_Main" w:cs="MathJax_Main"/>
          <w:color w:val="000000" w:themeColor="text1"/>
        </w:rPr>
        <w:t>)</w:t>
      </w:r>
      <w:proofErr w:type="spellStart"/>
      <w:r w:rsidRPr="1238D6BD">
        <w:rPr>
          <w:rFonts w:ascii="MathJax_Math-italic" w:eastAsia="MathJax_Math-italic" w:hAnsi="MathJax_Math-italic" w:cs="MathJax_Math-italic"/>
          <w:color w:val="000000" w:themeColor="text1"/>
        </w:rPr>
        <w:t>Pr</w:t>
      </w:r>
      <w:proofErr w:type="spellEnd"/>
      <w:r w:rsidRPr="1238D6BD">
        <w:rPr>
          <w:rFonts w:ascii="MathJax_Main" w:eastAsia="MathJax_Main" w:hAnsi="MathJax_Main" w:cs="MathJax_Main"/>
          <w:color w:val="000000" w:themeColor="text1"/>
        </w:rPr>
        <w:t>(</w:t>
      </w:r>
      <w:r w:rsidRPr="1238D6BD">
        <w:rPr>
          <w:rFonts w:ascii="MathJax_Math-italic" w:eastAsia="MathJax_Math-italic" w:hAnsi="MathJax_Math-italic" w:cs="MathJax_Math-italic"/>
          <w:color w:val="000000" w:themeColor="text1"/>
        </w:rPr>
        <w:t>CC</w:t>
      </w:r>
      <w:r w:rsidRPr="1238D6BD">
        <w:rPr>
          <w:rFonts w:ascii="MathJax_Main" w:eastAsia="MathJax_Main" w:hAnsi="MathJax_Main" w:cs="MathJax_Main"/>
          <w:color w:val="000000" w:themeColor="text1"/>
        </w:rPr>
        <w:t>)</w:t>
      </w:r>
    </w:p>
    <w:p w14:paraId="747F59E7" w14:textId="6D325773" w:rsidR="20295A47" w:rsidRDefault="3859FFBC" w:rsidP="1238D6BD">
      <w:pPr>
        <w:pStyle w:val="ListParagraph"/>
        <w:numPr>
          <w:ilvl w:val="0"/>
          <w:numId w:val="5"/>
        </w:numPr>
        <w:rPr>
          <w:rFonts w:eastAsiaTheme="minorEastAsia"/>
          <w:color w:val="000000" w:themeColor="text1"/>
        </w:rPr>
      </w:pPr>
      <w:r w:rsidRPr="1238D6BD">
        <w:rPr>
          <w:rFonts w:ascii="Calibri" w:eastAsia="Calibri" w:hAnsi="Calibri" w:cs="Calibri"/>
          <w:color w:val="000000" w:themeColor="text1"/>
        </w:rPr>
        <w:t xml:space="preserve">Equation 3: </w:t>
      </w:r>
    </w:p>
    <w:p w14:paraId="05E5B152" w14:textId="71193BE0" w:rsidR="20295A47" w:rsidRDefault="3859FFBC" w:rsidP="1238D6BD">
      <w:pPr>
        <w:jc w:val="center"/>
        <w:rPr>
          <w:rFonts w:ascii="Cambria Math" w:eastAsia="Cambria Math" w:hAnsi="Cambria Math" w:cs="Cambria Math"/>
          <w:i/>
          <w:iCs/>
          <w:color w:val="000000" w:themeColor="text1"/>
        </w:rPr>
      </w:pPr>
      <w:proofErr w:type="spellStart"/>
      <w:proofErr w:type="gramStart"/>
      <w:r w:rsidRPr="1238D6BD">
        <w:rPr>
          <w:rFonts w:ascii="MathJax_Main" w:eastAsia="MathJax_Main" w:hAnsi="MathJax_Main" w:cs="MathJax_Main"/>
          <w:color w:val="000000" w:themeColor="text1"/>
        </w:rPr>
        <w:t>Pr</w:t>
      </w:r>
      <w:proofErr w:type="spellEnd"/>
      <w:r w:rsidRPr="1238D6BD">
        <w:rPr>
          <w:rFonts w:ascii="MathJax_Main" w:eastAsia="MathJax_Main" w:hAnsi="MathJax_Main" w:cs="MathJax_Main"/>
          <w:color w:val="000000" w:themeColor="text1"/>
        </w:rPr>
        <w:t>(</w:t>
      </w:r>
      <w:proofErr w:type="spellStart"/>
      <w:proofErr w:type="gramEnd"/>
      <w:r w:rsidRPr="1238D6BD">
        <w:rPr>
          <w:rFonts w:ascii="MathJax_Math-italic" w:eastAsia="MathJax_Math-italic" w:hAnsi="MathJax_Math-italic" w:cs="MathJax_Math-italic"/>
          <w:color w:val="000000" w:themeColor="text1"/>
        </w:rPr>
        <w:t>CC</w:t>
      </w:r>
      <w:r w:rsidRPr="1238D6BD">
        <w:rPr>
          <w:rFonts w:ascii="MathJax_Main" w:eastAsia="MathJax_Main" w:hAnsi="MathJax_Main" w:cs="MathJax_Main"/>
          <w:color w:val="000000" w:themeColor="text1"/>
        </w:rPr>
        <w:t>|</w:t>
      </w:r>
      <w:r w:rsidRPr="1238D6BD">
        <w:rPr>
          <w:rFonts w:ascii="MathJax_Math-italic" w:eastAsia="MathJax_Math-italic" w:hAnsi="MathJax_Math-italic" w:cs="MathJax_Math-italic"/>
          <w:color w:val="000000" w:themeColor="text1"/>
        </w:rPr>
        <w:t>vax</w:t>
      </w:r>
      <w:proofErr w:type="spellEnd"/>
      <w:r w:rsidRPr="1238D6BD">
        <w:rPr>
          <w:rFonts w:ascii="MathJax_Main" w:eastAsia="MathJax_Main" w:hAnsi="MathJax_Main" w:cs="MathJax_Main"/>
          <w:color w:val="000000" w:themeColor="text1"/>
        </w:rPr>
        <w:t>)=(1−</w:t>
      </w:r>
      <w:r w:rsidRPr="1238D6BD">
        <w:rPr>
          <w:rFonts w:ascii="MathJax_Math-italic" w:eastAsia="MathJax_Math-italic" w:hAnsi="MathJax_Math-italic" w:cs="MathJax_Math-italic"/>
          <w:color w:val="000000" w:themeColor="text1"/>
        </w:rPr>
        <w:t>efficacy</w:t>
      </w:r>
      <w:r w:rsidRPr="1238D6BD">
        <w:rPr>
          <w:rFonts w:ascii="MathJax_Main" w:eastAsia="MathJax_Main" w:hAnsi="MathJax_Main" w:cs="MathJax_Main"/>
          <w:color w:val="000000" w:themeColor="text1"/>
        </w:rPr>
        <w:t>)×</w:t>
      </w:r>
      <w:proofErr w:type="spellStart"/>
      <w:r w:rsidRPr="1238D6BD">
        <w:rPr>
          <w:rFonts w:ascii="MathJax_Math-italic" w:eastAsia="MathJax_Math-italic" w:hAnsi="MathJax_Math-italic" w:cs="MathJax_Math-italic"/>
          <w:color w:val="000000" w:themeColor="text1"/>
        </w:rPr>
        <w:t>Pr</w:t>
      </w:r>
      <w:proofErr w:type="spellEnd"/>
      <w:r w:rsidRPr="1238D6BD">
        <w:rPr>
          <w:rFonts w:ascii="MathJax_Main" w:eastAsia="MathJax_Main" w:hAnsi="MathJax_Main" w:cs="MathJax_Main"/>
          <w:color w:val="000000" w:themeColor="text1"/>
        </w:rPr>
        <w:t>(</w:t>
      </w:r>
      <w:proofErr w:type="spellStart"/>
      <w:r w:rsidRPr="1238D6BD">
        <w:rPr>
          <w:rFonts w:ascii="MathJax_Math-italic" w:eastAsia="MathJax_Math-italic" w:hAnsi="MathJax_Math-italic" w:cs="MathJax_Math-italic"/>
          <w:color w:val="000000" w:themeColor="text1"/>
        </w:rPr>
        <w:t>CC</w:t>
      </w:r>
      <w:r w:rsidRPr="1238D6BD">
        <w:rPr>
          <w:rFonts w:ascii="MathJax_Main" w:eastAsia="MathJax_Main" w:hAnsi="MathJax_Main" w:cs="MathJax_Main"/>
          <w:color w:val="000000" w:themeColor="text1"/>
        </w:rPr>
        <w:t>|</w:t>
      </w:r>
      <w:r w:rsidRPr="1238D6BD">
        <w:rPr>
          <w:rFonts w:ascii="MathJax_Math-italic" w:eastAsia="MathJax_Math-italic" w:hAnsi="MathJax_Math-italic" w:cs="MathJax_Math-italic"/>
          <w:color w:val="000000" w:themeColor="text1"/>
        </w:rPr>
        <w:t>unvax</w:t>
      </w:r>
      <w:proofErr w:type="spellEnd"/>
      <w:r w:rsidRPr="1238D6BD">
        <w:rPr>
          <w:rFonts w:ascii="MathJax_Main" w:eastAsia="MathJax_Main" w:hAnsi="MathJax_Main" w:cs="MathJax_Main"/>
          <w:color w:val="000000" w:themeColor="text1"/>
        </w:rPr>
        <w:t>)</w:t>
      </w:r>
    </w:p>
    <w:p w14:paraId="39BA4273" w14:textId="594C359F" w:rsidR="20295A47" w:rsidRDefault="3859FFBC" w:rsidP="1238D6BD">
      <w:pPr>
        <w:pStyle w:val="ListParagraph"/>
        <w:numPr>
          <w:ilvl w:val="0"/>
          <w:numId w:val="4"/>
        </w:numPr>
        <w:rPr>
          <w:rFonts w:eastAsiaTheme="minorEastAsia"/>
          <w:color w:val="000000" w:themeColor="text1"/>
        </w:rPr>
      </w:pPr>
      <w:r w:rsidRPr="1238D6BD">
        <w:rPr>
          <w:rFonts w:ascii="Calibri" w:eastAsia="Calibri" w:hAnsi="Calibri" w:cs="Calibri"/>
          <w:color w:val="000000" w:themeColor="text1"/>
        </w:rPr>
        <w:t>Substitute Equation 3 into Equation 1:</w:t>
      </w:r>
    </w:p>
    <w:p w14:paraId="5A9BDABF" w14:textId="2319226E" w:rsidR="20295A47" w:rsidRDefault="3859FFBC" w:rsidP="1238D6BD">
      <w:pPr>
        <w:jc w:val="center"/>
        <w:rPr>
          <w:rFonts w:ascii="Cambria Math" w:eastAsia="Cambria Math" w:hAnsi="Cambria Math" w:cs="Cambria Math"/>
          <w:i/>
          <w:iCs/>
          <w:color w:val="000000" w:themeColor="text1"/>
        </w:rPr>
      </w:pPr>
      <w:proofErr w:type="gramStart"/>
      <w:r w:rsidRPr="1238D6BD">
        <w:rPr>
          <w:rFonts w:ascii="MathJax_Main" w:eastAsia="MathJax_Main" w:hAnsi="MathJax_Main" w:cs="MathJax_Main"/>
          <w:color w:val="000000" w:themeColor="text1"/>
        </w:rPr>
        <w:t>Pr(</w:t>
      </w:r>
      <w:proofErr w:type="gramEnd"/>
      <w:r w:rsidRPr="1238D6BD">
        <w:rPr>
          <w:rFonts w:ascii="MathJax_Math-italic" w:eastAsia="MathJax_Math-italic" w:hAnsi="MathJax_Math-italic" w:cs="MathJax_Math-italic"/>
          <w:color w:val="000000" w:themeColor="text1"/>
        </w:rPr>
        <w:t>CC</w:t>
      </w:r>
      <w:r w:rsidRPr="1238D6BD">
        <w:rPr>
          <w:rFonts w:ascii="MathJax_Main" w:eastAsia="MathJax_Main" w:hAnsi="MathJax_Main" w:cs="MathJax_Main"/>
          <w:color w:val="000000" w:themeColor="text1"/>
        </w:rPr>
        <w:t>)=((1−</w:t>
      </w:r>
      <w:r w:rsidRPr="1238D6BD">
        <w:rPr>
          <w:rFonts w:ascii="MathJax_Math-italic" w:eastAsia="MathJax_Math-italic" w:hAnsi="MathJax_Math-italic" w:cs="MathJax_Math-italic"/>
          <w:color w:val="000000" w:themeColor="text1"/>
        </w:rPr>
        <w:t>efficacy</w:t>
      </w:r>
      <w:r w:rsidRPr="1238D6BD">
        <w:rPr>
          <w:rFonts w:ascii="MathJax_Main" w:eastAsia="MathJax_Main" w:hAnsi="MathJax_Main" w:cs="MathJax_Main"/>
          <w:color w:val="000000" w:themeColor="text1"/>
        </w:rPr>
        <w:t>)×</w:t>
      </w:r>
      <w:r w:rsidRPr="1238D6BD">
        <w:rPr>
          <w:rFonts w:ascii="MathJax_Math-italic" w:eastAsia="MathJax_Math-italic" w:hAnsi="MathJax_Math-italic" w:cs="MathJax_Math-italic"/>
          <w:color w:val="000000" w:themeColor="text1"/>
        </w:rPr>
        <w:t>Pr</w:t>
      </w:r>
      <w:r w:rsidRPr="1238D6BD">
        <w:rPr>
          <w:rFonts w:ascii="MathJax_Main" w:eastAsia="MathJax_Main" w:hAnsi="MathJax_Main" w:cs="MathJax_Main"/>
          <w:color w:val="000000" w:themeColor="text1"/>
        </w:rPr>
        <w:t>(</w:t>
      </w:r>
      <w:r w:rsidRPr="1238D6BD">
        <w:rPr>
          <w:rFonts w:ascii="MathJax_Math-italic" w:eastAsia="MathJax_Math-italic" w:hAnsi="MathJax_Math-italic" w:cs="MathJax_Math-italic"/>
          <w:color w:val="000000" w:themeColor="text1"/>
        </w:rPr>
        <w:t>CC</w:t>
      </w:r>
      <w:r w:rsidRPr="1238D6BD">
        <w:rPr>
          <w:rFonts w:ascii="MathJax_Main" w:eastAsia="MathJax_Main" w:hAnsi="MathJax_Main" w:cs="MathJax_Main"/>
          <w:color w:val="000000" w:themeColor="text1"/>
        </w:rPr>
        <w:t>|</w:t>
      </w:r>
      <w:r w:rsidRPr="1238D6BD">
        <w:rPr>
          <w:rFonts w:ascii="MathJax_Math-italic" w:eastAsia="MathJax_Math-italic" w:hAnsi="MathJax_Math-italic" w:cs="MathJax_Math-italic"/>
          <w:color w:val="000000" w:themeColor="text1"/>
        </w:rPr>
        <w:t>unvax</w:t>
      </w:r>
      <w:r w:rsidRPr="1238D6BD">
        <w:rPr>
          <w:rFonts w:ascii="MathJax_Main" w:eastAsia="MathJax_Main" w:hAnsi="MathJax_Main" w:cs="MathJax_Main"/>
          <w:color w:val="000000" w:themeColor="text1"/>
        </w:rPr>
        <w:t>)×Pr(</w:t>
      </w:r>
      <w:r w:rsidRPr="1238D6BD">
        <w:rPr>
          <w:rFonts w:ascii="MathJax_Math-italic" w:eastAsia="MathJax_Math-italic" w:hAnsi="MathJax_Math-italic" w:cs="MathJax_Math-italic"/>
          <w:color w:val="000000" w:themeColor="text1"/>
        </w:rPr>
        <w:t>vax</w:t>
      </w:r>
      <w:r w:rsidRPr="1238D6BD">
        <w:rPr>
          <w:rFonts w:ascii="MathJax_Main" w:eastAsia="MathJax_Main" w:hAnsi="MathJax_Main" w:cs="MathJax_Main"/>
          <w:color w:val="000000" w:themeColor="text1"/>
        </w:rPr>
        <w:t>))+(Pr(</w:t>
      </w:r>
      <w:r w:rsidRPr="1238D6BD">
        <w:rPr>
          <w:rFonts w:ascii="MathJax_Math-italic" w:eastAsia="MathJax_Math-italic" w:hAnsi="MathJax_Math-italic" w:cs="MathJax_Math-italic"/>
          <w:color w:val="000000" w:themeColor="text1"/>
        </w:rPr>
        <w:t>CC</w:t>
      </w:r>
      <w:r w:rsidRPr="1238D6BD">
        <w:rPr>
          <w:rFonts w:ascii="MathJax_Main" w:eastAsia="MathJax_Main" w:hAnsi="MathJax_Main" w:cs="MathJax_Main"/>
          <w:color w:val="000000" w:themeColor="text1"/>
        </w:rPr>
        <w:t>|</w:t>
      </w:r>
      <w:r w:rsidRPr="1238D6BD">
        <w:rPr>
          <w:rFonts w:ascii="MathJax_Math-italic" w:eastAsia="MathJax_Math-italic" w:hAnsi="MathJax_Math-italic" w:cs="MathJax_Math-italic"/>
          <w:color w:val="000000" w:themeColor="text1"/>
        </w:rPr>
        <w:t>unvax</w:t>
      </w:r>
      <w:r w:rsidRPr="1238D6BD">
        <w:rPr>
          <w:rFonts w:ascii="MathJax_Main" w:eastAsia="MathJax_Main" w:hAnsi="MathJax_Main" w:cs="MathJax_Main"/>
          <w:color w:val="000000" w:themeColor="text1"/>
        </w:rPr>
        <w:t>)×Pr(</w:t>
      </w:r>
      <w:r w:rsidRPr="1238D6BD">
        <w:rPr>
          <w:rFonts w:ascii="MathJax_Math-italic" w:eastAsia="MathJax_Math-italic" w:hAnsi="MathJax_Math-italic" w:cs="MathJax_Math-italic"/>
          <w:color w:val="000000" w:themeColor="text1"/>
        </w:rPr>
        <w:t>unvax</w:t>
      </w:r>
      <w:r w:rsidRPr="1238D6BD">
        <w:rPr>
          <w:rFonts w:ascii="MathJax_Main" w:eastAsia="MathJax_Main" w:hAnsi="MathJax_Main" w:cs="MathJax_Main"/>
          <w:color w:val="000000" w:themeColor="text1"/>
        </w:rPr>
        <w:t>))</w:t>
      </w:r>
    </w:p>
    <w:p w14:paraId="36FF9D0A" w14:textId="47AACDD6" w:rsidR="20295A47" w:rsidRDefault="3859FFBC" w:rsidP="1238D6BD">
      <w:pPr>
        <w:jc w:val="center"/>
      </w:pPr>
      <w:r w:rsidRPr="1238D6BD">
        <w:rPr>
          <w:rFonts w:ascii="MathJax_Main" w:eastAsia="MathJax_Main" w:hAnsi="MathJax_Main" w:cs="MathJax_Main"/>
          <w:color w:val="000000" w:themeColor="text1"/>
        </w:rPr>
        <w:t>=</w:t>
      </w:r>
      <w:proofErr w:type="spellStart"/>
      <w:proofErr w:type="gramStart"/>
      <w:r w:rsidRPr="1238D6BD">
        <w:rPr>
          <w:rFonts w:ascii="MathJax_Math-italic" w:eastAsia="MathJax_Math-italic" w:hAnsi="MathJax_Math-italic" w:cs="MathJax_Math-italic"/>
          <w:color w:val="000000" w:themeColor="text1"/>
        </w:rPr>
        <w:t>Pr</w:t>
      </w:r>
      <w:proofErr w:type="spellEnd"/>
      <w:r w:rsidRPr="1238D6BD">
        <w:rPr>
          <w:rFonts w:ascii="MathJax_Main" w:eastAsia="MathJax_Main" w:hAnsi="MathJax_Main" w:cs="MathJax_Main"/>
          <w:color w:val="000000" w:themeColor="text1"/>
        </w:rPr>
        <w:t>(</w:t>
      </w:r>
      <w:proofErr w:type="spellStart"/>
      <w:proofErr w:type="gramEnd"/>
      <w:r w:rsidRPr="1238D6BD">
        <w:rPr>
          <w:rFonts w:ascii="MathJax_Math-italic" w:eastAsia="MathJax_Math-italic" w:hAnsi="MathJax_Math-italic" w:cs="MathJax_Math-italic"/>
          <w:color w:val="000000" w:themeColor="text1"/>
        </w:rPr>
        <w:t>CC</w:t>
      </w:r>
      <w:r w:rsidRPr="1238D6BD">
        <w:rPr>
          <w:rFonts w:ascii="MathJax_Main" w:eastAsia="MathJax_Main" w:hAnsi="MathJax_Main" w:cs="MathJax_Main"/>
          <w:color w:val="000000" w:themeColor="text1"/>
        </w:rPr>
        <w:t>|</w:t>
      </w:r>
      <w:r w:rsidRPr="1238D6BD">
        <w:rPr>
          <w:rFonts w:ascii="MathJax_Math-italic" w:eastAsia="MathJax_Math-italic" w:hAnsi="MathJax_Math-italic" w:cs="MathJax_Math-italic"/>
          <w:color w:val="000000" w:themeColor="text1"/>
        </w:rPr>
        <w:t>unvax</w:t>
      </w:r>
      <w:proofErr w:type="spellEnd"/>
      <w:r w:rsidRPr="1238D6BD">
        <w:rPr>
          <w:rFonts w:ascii="MathJax_Main" w:eastAsia="MathJax_Main" w:hAnsi="MathJax_Main" w:cs="MathJax_Main"/>
          <w:color w:val="000000" w:themeColor="text1"/>
        </w:rPr>
        <w:t>)(((1−</w:t>
      </w:r>
      <w:r w:rsidRPr="1238D6BD">
        <w:rPr>
          <w:rFonts w:ascii="MathJax_Math-italic" w:eastAsia="MathJax_Math-italic" w:hAnsi="MathJax_Math-italic" w:cs="MathJax_Math-italic"/>
          <w:color w:val="000000" w:themeColor="text1"/>
        </w:rPr>
        <w:t>efficacy</w:t>
      </w:r>
      <w:r w:rsidRPr="1238D6BD">
        <w:rPr>
          <w:rFonts w:ascii="MathJax_Main" w:eastAsia="MathJax_Main" w:hAnsi="MathJax_Main" w:cs="MathJax_Main"/>
          <w:color w:val="000000" w:themeColor="text1"/>
        </w:rPr>
        <w:t>) ×</w:t>
      </w:r>
      <w:proofErr w:type="spellStart"/>
      <w:r w:rsidRPr="1238D6BD">
        <w:rPr>
          <w:rFonts w:ascii="MathJax_Main" w:eastAsia="MathJax_Main" w:hAnsi="MathJax_Main" w:cs="MathJax_Main"/>
          <w:color w:val="000000" w:themeColor="text1"/>
        </w:rPr>
        <w:t>Pr</w:t>
      </w:r>
      <w:proofErr w:type="spellEnd"/>
      <w:r w:rsidRPr="1238D6BD">
        <w:rPr>
          <w:rFonts w:ascii="MathJax_Main" w:eastAsia="MathJax_Main" w:hAnsi="MathJax_Main" w:cs="MathJax_Main"/>
          <w:color w:val="000000" w:themeColor="text1"/>
        </w:rPr>
        <w:t>(</w:t>
      </w:r>
      <w:r w:rsidRPr="1238D6BD">
        <w:rPr>
          <w:rFonts w:ascii="MathJax_Math-italic" w:eastAsia="MathJax_Math-italic" w:hAnsi="MathJax_Math-italic" w:cs="MathJax_Math-italic"/>
          <w:color w:val="000000" w:themeColor="text1"/>
        </w:rPr>
        <w:t>vax</w:t>
      </w:r>
      <w:r w:rsidRPr="1238D6BD">
        <w:rPr>
          <w:rFonts w:ascii="MathJax_Main" w:eastAsia="MathJax_Main" w:hAnsi="MathJax_Main" w:cs="MathJax_Main"/>
          <w:color w:val="000000" w:themeColor="text1"/>
        </w:rPr>
        <w:t>))+</w:t>
      </w:r>
      <w:proofErr w:type="spellStart"/>
      <w:r w:rsidRPr="1238D6BD">
        <w:rPr>
          <w:rFonts w:ascii="MathJax_Main" w:eastAsia="MathJax_Main" w:hAnsi="MathJax_Main" w:cs="MathJax_Main"/>
          <w:color w:val="000000" w:themeColor="text1"/>
        </w:rPr>
        <w:t>Pr</w:t>
      </w:r>
      <w:proofErr w:type="spellEnd"/>
      <w:r w:rsidRPr="1238D6BD">
        <w:rPr>
          <w:rFonts w:ascii="MathJax_Main" w:eastAsia="MathJax_Main" w:hAnsi="MathJax_Main" w:cs="MathJax_Main"/>
          <w:color w:val="000000" w:themeColor="text1"/>
        </w:rPr>
        <w:t>(</w:t>
      </w:r>
      <w:proofErr w:type="spellStart"/>
      <w:r w:rsidRPr="1238D6BD">
        <w:rPr>
          <w:rFonts w:ascii="MathJax_Math-italic" w:eastAsia="MathJax_Math-italic" w:hAnsi="MathJax_Math-italic" w:cs="MathJax_Math-italic"/>
          <w:color w:val="000000" w:themeColor="text1"/>
        </w:rPr>
        <w:t>unvax</w:t>
      </w:r>
      <w:proofErr w:type="spellEnd"/>
      <w:r w:rsidRPr="1238D6BD">
        <w:rPr>
          <w:rFonts w:ascii="MathJax_Main" w:eastAsia="MathJax_Main" w:hAnsi="MathJax_Main" w:cs="MathJax_Main"/>
          <w:color w:val="000000" w:themeColor="text1"/>
        </w:rPr>
        <w:t>))</w:t>
      </w:r>
      <w:r w:rsidRPr="1238D6BD">
        <w:rPr>
          <w:rFonts w:ascii="Cambria Math" w:eastAsia="Cambria Math" w:hAnsi="Cambria Math" w:cs="Cambria Math"/>
          <w:i/>
          <w:iCs/>
          <w:color w:val="000000" w:themeColor="text1"/>
        </w:rPr>
        <w:t>=</w:t>
      </w:r>
    </w:p>
    <w:p w14:paraId="3A0AE4D9" w14:textId="70581BEC" w:rsidR="20295A47" w:rsidRDefault="3859FFBC" w:rsidP="1238D6BD">
      <w:pPr>
        <w:pStyle w:val="ListParagraph"/>
        <w:numPr>
          <w:ilvl w:val="0"/>
          <w:numId w:val="4"/>
        </w:numPr>
        <w:rPr>
          <w:rFonts w:eastAsiaTheme="minorEastAsia"/>
          <w:color w:val="000000" w:themeColor="text1"/>
        </w:rPr>
      </w:pPr>
      <w:r w:rsidRPr="1238D6BD">
        <w:rPr>
          <w:rFonts w:ascii="Calibri" w:eastAsia="Calibri" w:hAnsi="Calibri" w:cs="Calibri"/>
          <w:color w:val="000000" w:themeColor="text1"/>
        </w:rPr>
        <w:lastRenderedPageBreak/>
        <w:t xml:space="preserve">Substitute Equation 1 into Equation 2: </w:t>
      </w:r>
    </w:p>
    <w:p w14:paraId="349DC3E2" w14:textId="4E941427" w:rsidR="20295A47" w:rsidRDefault="3859FFBC" w:rsidP="1238D6BD">
      <w:pPr>
        <w:jc w:val="center"/>
      </w:pPr>
      <w:proofErr w:type="spellStart"/>
      <w:r w:rsidRPr="1238D6BD">
        <w:rPr>
          <w:rFonts w:ascii="MathJax_Math-italic" w:eastAsia="MathJax_Math-italic" w:hAnsi="MathJax_Math-italic" w:cs="MathJax_Math-italic"/>
          <w:color w:val="000000" w:themeColor="text1"/>
        </w:rPr>
        <w:t>Pr</w:t>
      </w:r>
      <w:proofErr w:type="spellEnd"/>
      <w:r w:rsidRPr="1238D6BD">
        <w:rPr>
          <w:rFonts w:ascii="MathJax_Main" w:eastAsia="MathJax_Main" w:hAnsi="MathJax_Main" w:cs="MathJax_Main"/>
          <w:color w:val="000000" w:themeColor="text1"/>
        </w:rPr>
        <w:t>(</w:t>
      </w:r>
      <w:proofErr w:type="spellStart"/>
      <w:r w:rsidRPr="1238D6BD">
        <w:rPr>
          <w:rFonts w:ascii="MathJax_Math-italic" w:eastAsia="MathJax_Math-italic" w:hAnsi="MathJax_Math-italic" w:cs="MathJax_Math-italic"/>
          <w:color w:val="000000" w:themeColor="text1"/>
        </w:rPr>
        <w:t>unvax</w:t>
      </w:r>
      <w:r w:rsidRPr="1238D6BD">
        <w:rPr>
          <w:rFonts w:ascii="MathJax_Main" w:eastAsia="MathJax_Main" w:hAnsi="MathJax_Main" w:cs="MathJax_Main"/>
          <w:color w:val="000000" w:themeColor="text1"/>
        </w:rPr>
        <w:t>|</w:t>
      </w:r>
      <w:proofErr w:type="gramStart"/>
      <w:r w:rsidRPr="1238D6BD">
        <w:rPr>
          <w:rFonts w:ascii="MathJax_Math-italic" w:eastAsia="MathJax_Math-italic" w:hAnsi="MathJax_Math-italic" w:cs="MathJax_Math-italic"/>
          <w:color w:val="000000" w:themeColor="text1"/>
        </w:rPr>
        <w:t>CC</w:t>
      </w:r>
      <w:proofErr w:type="spellEnd"/>
      <w:r w:rsidRPr="1238D6BD">
        <w:rPr>
          <w:rFonts w:ascii="MathJax_Main" w:eastAsia="MathJax_Main" w:hAnsi="MathJax_Main" w:cs="MathJax_Main"/>
          <w:color w:val="000000" w:themeColor="text1"/>
        </w:rPr>
        <w:t>)=</w:t>
      </w:r>
      <w:proofErr w:type="spellStart"/>
      <w:proofErr w:type="gramEnd"/>
      <w:r w:rsidRPr="1238D6BD">
        <w:rPr>
          <w:rFonts w:ascii="MathJax_Math-italic" w:eastAsia="MathJax_Math-italic" w:hAnsi="MathJax_Math-italic" w:cs="MathJax_Math-italic"/>
          <w:color w:val="000000" w:themeColor="text1"/>
        </w:rPr>
        <w:t>Pr</w:t>
      </w:r>
      <w:proofErr w:type="spellEnd"/>
      <w:r w:rsidRPr="1238D6BD">
        <w:rPr>
          <w:rFonts w:ascii="MathJax_Main" w:eastAsia="MathJax_Main" w:hAnsi="MathJax_Main" w:cs="MathJax_Main"/>
          <w:color w:val="000000" w:themeColor="text1"/>
        </w:rPr>
        <w:t>(</w:t>
      </w:r>
      <w:proofErr w:type="spellStart"/>
      <w:r w:rsidRPr="1238D6BD">
        <w:rPr>
          <w:rFonts w:ascii="MathJax_Math-italic" w:eastAsia="MathJax_Math-italic" w:hAnsi="MathJax_Math-italic" w:cs="MathJax_Math-italic"/>
          <w:color w:val="000000" w:themeColor="text1"/>
        </w:rPr>
        <w:t>CC</w:t>
      </w:r>
      <w:r w:rsidRPr="1238D6BD">
        <w:rPr>
          <w:rFonts w:ascii="MathJax_Main" w:eastAsia="MathJax_Main" w:hAnsi="MathJax_Main" w:cs="MathJax_Main"/>
          <w:color w:val="000000" w:themeColor="text1"/>
        </w:rPr>
        <w:t>|</w:t>
      </w:r>
      <w:r w:rsidRPr="1238D6BD">
        <w:rPr>
          <w:rFonts w:ascii="MathJax_Math-italic" w:eastAsia="MathJax_Math-italic" w:hAnsi="MathJax_Math-italic" w:cs="MathJax_Math-italic"/>
          <w:color w:val="000000" w:themeColor="text1"/>
        </w:rPr>
        <w:t>unvax</w:t>
      </w:r>
      <w:proofErr w:type="spellEnd"/>
      <w:r w:rsidRPr="1238D6BD">
        <w:rPr>
          <w:rFonts w:ascii="MathJax_Main" w:eastAsia="MathJax_Main" w:hAnsi="MathJax_Main" w:cs="MathJax_Main"/>
          <w:color w:val="000000" w:themeColor="text1"/>
        </w:rPr>
        <w:t>)×</w:t>
      </w:r>
      <w:proofErr w:type="spellStart"/>
      <w:r w:rsidRPr="1238D6BD">
        <w:rPr>
          <w:rFonts w:ascii="MathJax_Math-italic" w:eastAsia="MathJax_Math-italic" w:hAnsi="MathJax_Math-italic" w:cs="MathJax_Math-italic"/>
          <w:color w:val="000000" w:themeColor="text1"/>
        </w:rPr>
        <w:t>Pr</w:t>
      </w:r>
      <w:proofErr w:type="spellEnd"/>
      <w:r w:rsidRPr="1238D6BD">
        <w:rPr>
          <w:rFonts w:ascii="MathJax_Main" w:eastAsia="MathJax_Main" w:hAnsi="MathJax_Main" w:cs="MathJax_Main"/>
          <w:color w:val="000000" w:themeColor="text1"/>
        </w:rPr>
        <w:t>(</w:t>
      </w:r>
      <w:proofErr w:type="spellStart"/>
      <w:r w:rsidRPr="1238D6BD">
        <w:rPr>
          <w:rFonts w:ascii="MathJax_Math-italic" w:eastAsia="MathJax_Math-italic" w:hAnsi="MathJax_Math-italic" w:cs="MathJax_Math-italic"/>
          <w:color w:val="000000" w:themeColor="text1"/>
        </w:rPr>
        <w:t>unvax</w:t>
      </w:r>
      <w:proofErr w:type="spellEnd"/>
      <w:r w:rsidRPr="1238D6BD">
        <w:rPr>
          <w:rFonts w:ascii="MathJax_Main" w:eastAsia="MathJax_Main" w:hAnsi="MathJax_Main" w:cs="MathJax_Main"/>
          <w:color w:val="000000" w:themeColor="text1"/>
        </w:rPr>
        <w:t>)</w:t>
      </w:r>
      <w:proofErr w:type="spellStart"/>
      <w:r w:rsidRPr="1238D6BD">
        <w:rPr>
          <w:rFonts w:ascii="MathJax_Math-italic" w:eastAsia="MathJax_Math-italic" w:hAnsi="MathJax_Math-italic" w:cs="MathJax_Math-italic"/>
          <w:color w:val="000000" w:themeColor="text1"/>
        </w:rPr>
        <w:t>Pr</w:t>
      </w:r>
      <w:proofErr w:type="spellEnd"/>
      <w:r w:rsidRPr="1238D6BD">
        <w:rPr>
          <w:rFonts w:ascii="MathJax_Main" w:eastAsia="MathJax_Main" w:hAnsi="MathJax_Main" w:cs="MathJax_Main"/>
          <w:color w:val="000000" w:themeColor="text1"/>
        </w:rPr>
        <w:t>(</w:t>
      </w:r>
      <w:proofErr w:type="spellStart"/>
      <w:r w:rsidRPr="1238D6BD">
        <w:rPr>
          <w:rFonts w:ascii="MathJax_Math-italic" w:eastAsia="MathJax_Math-italic" w:hAnsi="MathJax_Math-italic" w:cs="MathJax_Math-italic"/>
          <w:color w:val="000000" w:themeColor="text1"/>
        </w:rPr>
        <w:t>CC</w:t>
      </w:r>
      <w:r w:rsidRPr="1238D6BD">
        <w:rPr>
          <w:rFonts w:ascii="MathJax_Main" w:eastAsia="MathJax_Main" w:hAnsi="MathJax_Main" w:cs="MathJax_Main"/>
          <w:color w:val="000000" w:themeColor="text1"/>
        </w:rPr>
        <w:t>|</w:t>
      </w:r>
      <w:r w:rsidRPr="1238D6BD">
        <w:rPr>
          <w:rFonts w:ascii="MathJax_Math-italic" w:eastAsia="MathJax_Math-italic" w:hAnsi="MathJax_Math-italic" w:cs="MathJax_Math-italic"/>
          <w:color w:val="000000" w:themeColor="text1"/>
        </w:rPr>
        <w:t>unvax</w:t>
      </w:r>
      <w:proofErr w:type="spellEnd"/>
      <w:r w:rsidRPr="1238D6BD">
        <w:rPr>
          <w:rFonts w:ascii="MathJax_Main" w:eastAsia="MathJax_Main" w:hAnsi="MathJax_Main" w:cs="MathJax_Main"/>
          <w:color w:val="000000" w:themeColor="text1"/>
        </w:rPr>
        <w:t>)(((1−</w:t>
      </w:r>
      <w:r w:rsidRPr="1238D6BD">
        <w:rPr>
          <w:rFonts w:ascii="MathJax_Math-italic" w:eastAsia="MathJax_Math-italic" w:hAnsi="MathJax_Math-italic" w:cs="MathJax_Math-italic"/>
          <w:color w:val="000000" w:themeColor="text1"/>
        </w:rPr>
        <w:t>efficacy</w:t>
      </w:r>
      <w:r w:rsidRPr="1238D6BD">
        <w:rPr>
          <w:rFonts w:ascii="MathJax_Main" w:eastAsia="MathJax_Main" w:hAnsi="MathJax_Main" w:cs="MathJax_Main"/>
          <w:color w:val="000000" w:themeColor="text1"/>
        </w:rPr>
        <w:t>) ×</w:t>
      </w:r>
      <w:proofErr w:type="spellStart"/>
      <w:r w:rsidRPr="1238D6BD">
        <w:rPr>
          <w:rFonts w:ascii="MathJax_Main" w:eastAsia="MathJax_Main" w:hAnsi="MathJax_Main" w:cs="MathJax_Main"/>
          <w:color w:val="000000" w:themeColor="text1"/>
        </w:rPr>
        <w:t>Pr</w:t>
      </w:r>
      <w:proofErr w:type="spellEnd"/>
      <w:r w:rsidRPr="1238D6BD">
        <w:rPr>
          <w:rFonts w:ascii="MathJax_Main" w:eastAsia="MathJax_Main" w:hAnsi="MathJax_Main" w:cs="MathJax_Main"/>
          <w:color w:val="000000" w:themeColor="text1"/>
        </w:rPr>
        <w:t>(</w:t>
      </w:r>
      <w:r w:rsidRPr="1238D6BD">
        <w:rPr>
          <w:rFonts w:ascii="MathJax_Math-italic" w:eastAsia="MathJax_Math-italic" w:hAnsi="MathJax_Math-italic" w:cs="MathJax_Math-italic"/>
          <w:color w:val="000000" w:themeColor="text1"/>
        </w:rPr>
        <w:t>vax</w:t>
      </w:r>
      <w:r w:rsidRPr="1238D6BD">
        <w:rPr>
          <w:rFonts w:ascii="MathJax_Main" w:eastAsia="MathJax_Main" w:hAnsi="MathJax_Main" w:cs="MathJax_Main"/>
          <w:color w:val="000000" w:themeColor="text1"/>
        </w:rPr>
        <w:t>))+</w:t>
      </w:r>
      <w:proofErr w:type="spellStart"/>
      <w:r w:rsidRPr="1238D6BD">
        <w:rPr>
          <w:rFonts w:ascii="MathJax_Main" w:eastAsia="MathJax_Main" w:hAnsi="MathJax_Main" w:cs="MathJax_Main"/>
          <w:color w:val="000000" w:themeColor="text1"/>
        </w:rPr>
        <w:t>Pr</w:t>
      </w:r>
      <w:proofErr w:type="spellEnd"/>
      <w:r w:rsidRPr="1238D6BD">
        <w:rPr>
          <w:rFonts w:ascii="MathJax_Main" w:eastAsia="MathJax_Main" w:hAnsi="MathJax_Main" w:cs="MathJax_Main"/>
          <w:color w:val="000000" w:themeColor="text1"/>
        </w:rPr>
        <w:t>(</w:t>
      </w:r>
      <w:proofErr w:type="spellStart"/>
      <w:r w:rsidRPr="1238D6BD">
        <w:rPr>
          <w:rFonts w:ascii="MathJax_Math-italic" w:eastAsia="MathJax_Math-italic" w:hAnsi="MathJax_Math-italic" w:cs="MathJax_Math-italic"/>
          <w:color w:val="000000" w:themeColor="text1"/>
        </w:rPr>
        <w:t>unvax</w:t>
      </w:r>
      <w:proofErr w:type="spellEnd"/>
      <w:r w:rsidRPr="1238D6BD">
        <w:rPr>
          <w:rFonts w:ascii="MathJax_Main" w:eastAsia="MathJax_Main" w:hAnsi="MathJax_Main" w:cs="MathJax_Main"/>
          <w:color w:val="000000" w:themeColor="text1"/>
        </w:rPr>
        <w:t>))</w:t>
      </w:r>
      <w:r w:rsidRPr="1238D6BD">
        <w:rPr>
          <w:rFonts w:ascii="Cambria Math" w:eastAsia="Cambria Math" w:hAnsi="Cambria Math" w:cs="Cambria Math"/>
          <w:i/>
          <w:iCs/>
          <w:color w:val="000000" w:themeColor="text1"/>
        </w:rPr>
        <w:t>P</w:t>
      </w:r>
    </w:p>
    <w:p w14:paraId="0913D8CF" w14:textId="2317DD91" w:rsidR="20295A47" w:rsidRDefault="3859FFBC" w:rsidP="1238D6BD">
      <w:pPr>
        <w:jc w:val="center"/>
        <w:rPr>
          <w:rFonts w:ascii="Cambria Math" w:eastAsia="Cambria Math" w:hAnsi="Cambria Math" w:cs="Cambria Math"/>
          <w:i/>
          <w:iCs/>
          <w:color w:val="000000" w:themeColor="text1"/>
        </w:rPr>
      </w:pPr>
      <w:r w:rsidRPr="1238D6BD">
        <w:rPr>
          <w:rFonts w:ascii="MathJax_Main" w:eastAsia="MathJax_Main" w:hAnsi="MathJax_Main" w:cs="MathJax_Main"/>
          <w:color w:val="000000" w:themeColor="text1"/>
        </w:rPr>
        <w:t>=</w:t>
      </w:r>
      <w:proofErr w:type="spellStart"/>
      <w:r w:rsidRPr="1238D6BD">
        <w:rPr>
          <w:rFonts w:ascii="MathJax_Math-italic" w:eastAsia="MathJax_Math-italic" w:hAnsi="MathJax_Math-italic" w:cs="MathJax_Math-italic"/>
          <w:color w:val="000000" w:themeColor="text1"/>
        </w:rPr>
        <w:t>Pr</w:t>
      </w:r>
      <w:proofErr w:type="spellEnd"/>
      <w:r w:rsidRPr="1238D6BD">
        <w:rPr>
          <w:rFonts w:ascii="MathJax_Main" w:eastAsia="MathJax_Main" w:hAnsi="MathJax_Main" w:cs="MathJax_Main"/>
          <w:color w:val="000000" w:themeColor="text1"/>
        </w:rPr>
        <w:t>(</w:t>
      </w:r>
      <w:proofErr w:type="spellStart"/>
      <w:r w:rsidRPr="1238D6BD">
        <w:rPr>
          <w:rFonts w:ascii="MathJax_Math-italic" w:eastAsia="MathJax_Math-italic" w:hAnsi="MathJax_Math-italic" w:cs="MathJax_Math-italic"/>
          <w:color w:val="000000" w:themeColor="text1"/>
        </w:rPr>
        <w:t>unvax</w:t>
      </w:r>
      <w:proofErr w:type="spellEnd"/>
      <w:r w:rsidRPr="1238D6BD">
        <w:rPr>
          <w:rFonts w:ascii="MathJax_Main" w:eastAsia="MathJax_Main" w:hAnsi="MathJax_Main" w:cs="MathJax_Main"/>
          <w:color w:val="000000" w:themeColor="text1"/>
        </w:rPr>
        <w:t>)((1−</w:t>
      </w:r>
      <w:r w:rsidRPr="1238D6BD">
        <w:rPr>
          <w:rFonts w:ascii="MathJax_Math-italic" w:eastAsia="MathJax_Math-italic" w:hAnsi="MathJax_Math-italic" w:cs="MathJax_Math-italic"/>
          <w:color w:val="000000" w:themeColor="text1"/>
        </w:rPr>
        <w:t>efficacy</w:t>
      </w:r>
      <w:r w:rsidRPr="1238D6BD">
        <w:rPr>
          <w:rFonts w:ascii="MathJax_Main" w:eastAsia="MathJax_Main" w:hAnsi="MathJax_Main" w:cs="MathJax_Main"/>
          <w:color w:val="000000" w:themeColor="text1"/>
        </w:rPr>
        <w:t>) ×</w:t>
      </w:r>
      <w:proofErr w:type="spellStart"/>
      <w:r w:rsidRPr="1238D6BD">
        <w:rPr>
          <w:rFonts w:ascii="MathJax_Main" w:eastAsia="MathJax_Main" w:hAnsi="MathJax_Main" w:cs="MathJax_Main"/>
          <w:color w:val="000000" w:themeColor="text1"/>
        </w:rPr>
        <w:t>Pr</w:t>
      </w:r>
      <w:proofErr w:type="spellEnd"/>
      <w:r w:rsidRPr="1238D6BD">
        <w:rPr>
          <w:rFonts w:ascii="MathJax_Main" w:eastAsia="MathJax_Main" w:hAnsi="MathJax_Main" w:cs="MathJax_Main"/>
          <w:color w:val="000000" w:themeColor="text1"/>
        </w:rPr>
        <w:t>(</w:t>
      </w:r>
      <w:r w:rsidRPr="1238D6BD">
        <w:rPr>
          <w:rFonts w:ascii="MathJax_Math-italic" w:eastAsia="MathJax_Math-italic" w:hAnsi="MathJax_Math-italic" w:cs="MathJax_Math-italic"/>
          <w:color w:val="000000" w:themeColor="text1"/>
        </w:rPr>
        <w:t>vax</w:t>
      </w:r>
      <w:proofErr w:type="gramStart"/>
      <w:r w:rsidRPr="1238D6BD">
        <w:rPr>
          <w:rFonts w:ascii="MathJax_Main" w:eastAsia="MathJax_Main" w:hAnsi="MathJax_Main" w:cs="MathJax_Main"/>
          <w:color w:val="000000" w:themeColor="text1"/>
        </w:rPr>
        <w:t>))+</w:t>
      </w:r>
      <w:proofErr w:type="spellStart"/>
      <w:proofErr w:type="gramEnd"/>
      <w:r w:rsidRPr="1238D6BD">
        <w:rPr>
          <w:rFonts w:ascii="MathJax_Main" w:eastAsia="MathJax_Main" w:hAnsi="MathJax_Main" w:cs="MathJax_Main"/>
          <w:color w:val="000000" w:themeColor="text1"/>
        </w:rPr>
        <w:t>Pr</w:t>
      </w:r>
      <w:proofErr w:type="spellEnd"/>
      <w:r w:rsidRPr="1238D6BD">
        <w:rPr>
          <w:rFonts w:ascii="MathJax_Main" w:eastAsia="MathJax_Main" w:hAnsi="MathJax_Main" w:cs="MathJax_Main"/>
          <w:color w:val="000000" w:themeColor="text1"/>
        </w:rPr>
        <w:t>(</w:t>
      </w:r>
      <w:proofErr w:type="spellStart"/>
      <w:r w:rsidRPr="1238D6BD">
        <w:rPr>
          <w:rFonts w:ascii="MathJax_Math-italic" w:eastAsia="MathJax_Math-italic" w:hAnsi="MathJax_Math-italic" w:cs="MathJax_Math-italic"/>
          <w:color w:val="000000" w:themeColor="text1"/>
        </w:rPr>
        <w:t>unvax</w:t>
      </w:r>
      <w:proofErr w:type="spellEnd"/>
      <w:r w:rsidRPr="1238D6BD">
        <w:rPr>
          <w:rFonts w:ascii="MathJax_Main" w:eastAsia="MathJax_Main" w:hAnsi="MathJax_Main" w:cs="MathJax_Main"/>
          <w:color w:val="000000" w:themeColor="text1"/>
        </w:rPr>
        <w:t>)</w:t>
      </w:r>
    </w:p>
    <w:p w14:paraId="40ADF1E9" w14:textId="260671D0" w:rsidR="20295A47" w:rsidRDefault="20295A47" w:rsidP="20295A47">
      <w:pPr>
        <w:jc w:val="center"/>
        <w:rPr>
          <w:rFonts w:eastAsiaTheme="minorEastAsia"/>
          <w:sz w:val="24"/>
          <w:szCs w:val="24"/>
        </w:rPr>
      </w:pPr>
    </w:p>
    <w:p w14:paraId="3229FCE7" w14:textId="77777777" w:rsidR="00CC2658" w:rsidRPr="00003BA4" w:rsidRDefault="00CC2658" w:rsidP="004C5FE2">
      <w:pPr>
        <w:pStyle w:val="ListParagraph"/>
        <w:numPr>
          <w:ilvl w:val="0"/>
          <w:numId w:val="6"/>
        </w:numPr>
        <w:rPr>
          <w:rFonts w:ascii="Times New Roman" w:hAnsi="Times New Roman" w:cs="Times New Roman"/>
          <w:sz w:val="24"/>
          <w:szCs w:val="24"/>
        </w:rPr>
      </w:pPr>
      <w:r>
        <w:rPr>
          <w:rFonts w:ascii="Times New Roman" w:eastAsiaTheme="minorEastAsia" w:hAnsi="Times New Roman" w:cs="Times New Roman"/>
          <w:sz w:val="24"/>
          <w:szCs w:val="24"/>
        </w:rPr>
        <w:t xml:space="preserve">Estimate the number of people who receive PEP in scenarios with a range of coverage levels </w:t>
      </w:r>
      <m:oMath>
        <m:r>
          <w:rPr>
            <w:rFonts w:ascii="Cambria Math" w:eastAsiaTheme="minorEastAsia" w:hAnsi="Cambria Math" w:cs="Times New Roman"/>
            <w:sz w:val="24"/>
            <w:szCs w:val="24"/>
          </w:rPr>
          <m:t>c</m:t>
        </m:r>
      </m:oMath>
      <w:r>
        <w:rPr>
          <w:rFonts w:ascii="Times New Roman" w:eastAsiaTheme="minorEastAsia" w:hAnsi="Times New Roman" w:cs="Times New Roman"/>
          <w:sz w:val="24"/>
          <w:szCs w:val="24"/>
        </w:rPr>
        <w:t xml:space="preserve"> and minimum age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for receiving PEP as</w:t>
      </w:r>
      <w:r>
        <w:rPr>
          <w:rFonts w:ascii="Times New Roman" w:eastAsiaTheme="minorEastAsia" w:hAnsi="Times New Roman" w:cs="Times New Roman"/>
          <w:sz w:val="24"/>
          <w:szCs w:val="24"/>
        </w:rPr>
        <w:br/>
      </w:r>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m:rPr>
                  <m:sty m:val="p"/>
                </m:rPr>
                <w:rPr>
                  <w:rFonts w:ascii="Cambria Math" w:eastAsiaTheme="minorEastAsia" w:hAnsi="Cambria Math" w:cs="Times New Roman"/>
                  <w:sz w:val="24"/>
                  <w:szCs w:val="24"/>
                </w:rPr>
                <m:t>PEP</m:t>
              </m:r>
              <m:ctrlPr>
                <w:rPr>
                  <w:rFonts w:ascii="Cambria Math" w:eastAsiaTheme="minorEastAsia" w:hAnsi="Cambria Math" w:cs="Times New Roman"/>
                  <w:sz w:val="24"/>
                  <w:szCs w:val="24"/>
                </w:rPr>
              </m:ctrlPr>
            </m:sub>
            <m:sup>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0</m:t>
                  </m:r>
                </m:sub>
              </m:sSub>
            </m:sup>
          </m:sSub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a,s,r</m:t>
              </m:r>
            </m:e>
          </m:d>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a,s,r</m:t>
              </m:r>
            </m:e>
          </m:d>
          <m:r>
            <w:rPr>
              <w:rFonts w:ascii="Cambria Math" w:eastAsiaTheme="minorEastAsia" w:hAnsi="Cambria Math" w:cs="Times New Roman"/>
              <w:sz w:val="24"/>
              <w:szCs w:val="24"/>
            </w:rPr>
            <m:t>×[a≥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oMath>
      </m:oMathPara>
    </w:p>
    <w:p w14:paraId="0FD80B1A" w14:textId="77777777" w:rsidR="00CC2658" w:rsidRDefault="00CC2658" w:rsidP="004C5FE2">
      <w:pPr>
        <w:pStyle w:val="ListParagrap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m:oMath>
        <m:r>
          <w:rPr>
            <w:rFonts w:ascii="Cambria Math" w:eastAsiaTheme="minorEastAsia" w:hAnsi="Cambria Math" w:cs="Times New Roman"/>
            <w:sz w:val="24"/>
            <w:szCs w:val="24"/>
          </w:rPr>
          <m:t>[a≥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is equal to 1 if </w:t>
      </w:r>
      <m:oMath>
        <m:r>
          <w:rPr>
            <w:rFonts w:ascii="Cambria Math" w:eastAsiaTheme="minorEastAsia" w:hAnsi="Cambria Math" w:cs="Times New Roman"/>
            <w:sz w:val="24"/>
            <w:szCs w:val="24"/>
          </w:rPr>
          <m:t>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and 0 otherwise.</w:t>
      </w:r>
    </w:p>
    <w:p w14:paraId="6E2EAE79" w14:textId="77777777" w:rsidR="00CC2658" w:rsidRPr="00897839" w:rsidRDefault="00CC2658" w:rsidP="004C5FE2">
      <w:pPr>
        <w:pStyle w:val="ListParagraph"/>
        <w:numPr>
          <w:ilvl w:val="0"/>
          <w:numId w:val="6"/>
        </w:numPr>
        <w:rPr>
          <w:rFonts w:ascii="Times New Roman" w:hAnsi="Times New Roman" w:cs="Times New Roman"/>
          <w:sz w:val="24"/>
          <w:szCs w:val="24"/>
        </w:rPr>
      </w:pPr>
      <w:r>
        <w:rPr>
          <w:rFonts w:ascii="Times New Roman" w:eastAsiaTheme="minorEastAsia" w:hAnsi="Times New Roman" w:cs="Times New Roman"/>
          <w:sz w:val="24"/>
          <w:szCs w:val="24"/>
        </w:rPr>
        <w:t>Estimate the number of people who develop a symptomatic COVID-19 infection in each scenario as</w:t>
      </w:r>
      <w:r>
        <w:rPr>
          <w:rFonts w:ascii="Times New Roman" w:eastAsiaTheme="minorEastAsia" w:hAnsi="Times New Roman" w:cs="Times New Roman"/>
          <w:sz w:val="24"/>
          <w:szCs w:val="24"/>
        </w:rPr>
        <w:br/>
      </w:r>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m:rPr>
                  <m:sty m:val="p"/>
                </m:rPr>
                <w:rPr>
                  <w:rFonts w:ascii="Cambria Math" w:eastAsiaTheme="minorEastAsia" w:hAnsi="Cambria Math" w:cs="Times New Roman"/>
                  <w:sz w:val="24"/>
                  <w:szCs w:val="24"/>
                </w:rPr>
                <m:t>COVID</m:t>
              </m:r>
            </m:sub>
            <m:sup>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0</m:t>
                  </m:r>
                </m:sub>
              </m:sSub>
            </m:sup>
          </m:sSub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a,s,r</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ar</m:t>
              </m:r>
            </m:e>
            <m:sub>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PEP</m:t>
                  </m:r>
                </m:e>
              </m:acc>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a,s,r</m:t>
                  </m:r>
                </m:e>
              </m:d>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m:rPr>
                      <m:sty m:val="p"/>
                    </m:rPr>
                    <w:rPr>
                      <w:rFonts w:ascii="Cambria Math" w:eastAsiaTheme="minorEastAsia" w:hAnsi="Cambria Math" w:cs="Times New Roman"/>
                      <w:sz w:val="24"/>
                      <w:szCs w:val="24"/>
                    </w:rPr>
                    <m:t>PEP</m:t>
                  </m:r>
                </m:sub>
                <m:sup>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0</m:t>
                      </m:r>
                    </m:sub>
                  </m:sSub>
                </m:sup>
              </m:sSub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a,s,r</m:t>
                  </m:r>
                </m:e>
              </m:d>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ar</m:t>
              </m:r>
            </m:e>
            <m:sub>
              <m:r>
                <m:rPr>
                  <m:sty m:val="p"/>
                </m:rPr>
                <w:rPr>
                  <w:rFonts w:ascii="Cambria Math" w:eastAsiaTheme="minorEastAsia" w:hAnsi="Cambria Math" w:cs="Times New Roman"/>
                  <w:sz w:val="24"/>
                  <w:szCs w:val="24"/>
                </w:rPr>
                <m:t>PEP</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m:rPr>
                  <m:sty m:val="p"/>
                </m:rPr>
                <w:rPr>
                  <w:rFonts w:ascii="Cambria Math" w:eastAsiaTheme="minorEastAsia" w:hAnsi="Cambria Math" w:cs="Times New Roman"/>
                  <w:sz w:val="24"/>
                  <w:szCs w:val="24"/>
                </w:rPr>
                <m:t>PEP</m:t>
              </m:r>
            </m:sub>
            <m:sup>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0</m:t>
                  </m:r>
                </m:sub>
              </m:sSub>
            </m:sup>
          </m:sSub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a,s,r</m:t>
              </m:r>
            </m:e>
          </m:d>
          <m:r>
            <w:rPr>
              <w:rFonts w:ascii="Cambria Math" w:eastAsiaTheme="minorEastAsia" w:hAnsi="Cambria Math" w:cs="Times New Roman"/>
              <w:sz w:val="24"/>
              <w:szCs w:val="24"/>
            </w:rPr>
            <m:t>,</m:t>
          </m:r>
        </m:oMath>
      </m:oMathPara>
    </w:p>
    <w:p w14:paraId="0FE8437B" w14:textId="77777777" w:rsidR="00CC2658" w:rsidRDefault="00CC2658" w:rsidP="004C5FE2">
      <w:pPr>
        <w:pStyle w:val="ListParagrap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ar</m:t>
            </m:r>
          </m:e>
          <m:sub>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PEP</m:t>
                </m:r>
              </m:e>
            </m:acc>
          </m:sub>
        </m:sSub>
      </m:oMath>
      <w:r>
        <w:rPr>
          <w:rFonts w:ascii="Times New Roman" w:eastAsiaTheme="minorEastAsia" w:hAnsi="Times New Roman" w:cs="Times New Roman"/>
          <w:sz w:val="24"/>
          <w:szCs w:val="24"/>
        </w:rPr>
        <w:t xml:space="preserve"> is the secondary attack rate without mAbs and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ar</m:t>
            </m:r>
          </m:e>
          <m:sub>
            <m:r>
              <m:rPr>
                <m:sty m:val="p"/>
              </m:rPr>
              <w:rPr>
                <w:rFonts w:ascii="Cambria Math" w:eastAsiaTheme="minorEastAsia" w:hAnsi="Cambria Math" w:cs="Times New Roman"/>
                <w:sz w:val="24"/>
                <w:szCs w:val="24"/>
              </w:rPr>
              <m:t>PEP</m:t>
            </m:r>
          </m:sub>
        </m:sSub>
      </m:oMath>
      <w:r>
        <w:rPr>
          <w:rFonts w:ascii="Times New Roman" w:eastAsiaTheme="minorEastAsia" w:hAnsi="Times New Roman" w:cs="Times New Roman"/>
          <w:sz w:val="24"/>
          <w:szCs w:val="24"/>
        </w:rPr>
        <w:t xml:space="preserve"> is the secondary attack rate with </w:t>
      </w:r>
      <w:proofErr w:type="spellStart"/>
      <w:proofErr w:type="gramStart"/>
      <w:r>
        <w:rPr>
          <w:rFonts w:ascii="Times New Roman" w:eastAsiaTheme="minorEastAsia" w:hAnsi="Times New Roman" w:cs="Times New Roman"/>
          <w:sz w:val="24"/>
          <w:szCs w:val="24"/>
        </w:rPr>
        <w:t>mAbs</w:t>
      </w:r>
      <w:proofErr w:type="spellEnd"/>
      <w:r>
        <w:rPr>
          <w:rFonts w:ascii="Times New Roman" w:eastAsiaTheme="minorEastAsia" w:hAnsi="Times New Roman" w:cs="Times New Roman"/>
          <w:sz w:val="24"/>
          <w:szCs w:val="24"/>
        </w:rPr>
        <w:t>.</w:t>
      </w:r>
      <w:proofErr w:type="gramEnd"/>
    </w:p>
    <w:p w14:paraId="5C719255" w14:textId="77777777" w:rsidR="00CC2658" w:rsidRPr="005D218E" w:rsidRDefault="00CC2658" w:rsidP="004C5FE2">
      <w:pPr>
        <w:pStyle w:val="ListParagraph"/>
        <w:numPr>
          <w:ilvl w:val="0"/>
          <w:numId w:val="6"/>
        </w:numPr>
        <w:rPr>
          <w:rFonts w:ascii="Times New Roman" w:hAnsi="Times New Roman" w:cs="Times New Roman"/>
          <w:sz w:val="24"/>
          <w:szCs w:val="24"/>
        </w:rPr>
      </w:pPr>
      <w:r>
        <w:rPr>
          <w:rFonts w:ascii="Times New Roman" w:eastAsiaTheme="minorEastAsia" w:hAnsi="Times New Roman" w:cs="Times New Roman"/>
          <w:sz w:val="24"/>
          <w:szCs w:val="24"/>
        </w:rPr>
        <w:t>Estimate the number of hospitalizations in each scenario as</w:t>
      </w:r>
      <w:r>
        <w:rPr>
          <w:rFonts w:ascii="Times New Roman" w:eastAsiaTheme="minorEastAsia" w:hAnsi="Times New Roman" w:cs="Times New Roman"/>
          <w:sz w:val="24"/>
          <w:szCs w:val="24"/>
        </w:rPr>
        <w:br/>
      </w:r>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m:rPr>
                  <m:sty m:val="p"/>
                </m:rPr>
                <w:rPr>
                  <w:rFonts w:ascii="Cambria Math" w:eastAsiaTheme="minorEastAsia" w:hAnsi="Cambria Math" w:cs="Times New Roman"/>
                  <w:sz w:val="24"/>
                  <w:szCs w:val="24"/>
                </w:rPr>
                <m:t>hosp</m:t>
              </m:r>
            </m:sub>
            <m:sup>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0</m:t>
                  </m:r>
                </m:sub>
              </m:sSub>
            </m:sup>
          </m:sSub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a,s,r</m:t>
              </m:r>
            </m:e>
          </m:d>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hr</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a,s,r</m:t>
              </m:r>
            </m:e>
          </m:d>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m:rPr>
                  <m:sty m:val="p"/>
                </m:rPr>
                <w:rPr>
                  <w:rFonts w:ascii="Cambria Math" w:eastAsiaTheme="minorEastAsia" w:hAnsi="Cambria Math" w:cs="Times New Roman"/>
                  <w:sz w:val="24"/>
                  <w:szCs w:val="24"/>
                </w:rPr>
                <m:t>COVID</m:t>
              </m:r>
            </m:sub>
            <m:sup>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0</m:t>
                  </m:r>
                </m:sub>
              </m:sSub>
            </m:sup>
          </m:sSub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a,s,r</m:t>
              </m:r>
            </m:e>
          </m:d>
          <m:r>
            <w:rPr>
              <w:rFonts w:ascii="Cambria Math" w:eastAsiaTheme="minorEastAsia" w:hAnsi="Cambria Math" w:cs="Times New Roman"/>
              <w:sz w:val="24"/>
              <w:szCs w:val="24"/>
            </w:rPr>
            <m:t>,</m:t>
          </m:r>
        </m:oMath>
      </m:oMathPara>
    </w:p>
    <w:p w14:paraId="0C07C01E" w14:textId="77777777" w:rsidR="00CC2658" w:rsidRDefault="00CC2658" w:rsidP="004C5FE2">
      <w:pPr>
        <w:pStyle w:val="ListParagrap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m:oMath>
        <m:r>
          <m:rPr>
            <m:sty m:val="p"/>
          </m:rPr>
          <w:rPr>
            <w:rFonts w:ascii="Cambria Math" w:eastAsiaTheme="minorEastAsia" w:hAnsi="Cambria Math" w:cs="Times New Roman"/>
            <w:sz w:val="24"/>
            <w:szCs w:val="24"/>
          </w:rPr>
          <m:t>hr</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a,s,r</m:t>
            </m:r>
          </m:e>
        </m:d>
      </m:oMath>
      <w:r>
        <w:rPr>
          <w:rFonts w:ascii="Times New Roman" w:eastAsiaTheme="minorEastAsia" w:hAnsi="Times New Roman" w:cs="Times New Roman"/>
          <w:sz w:val="24"/>
          <w:szCs w:val="24"/>
        </w:rPr>
        <w:t xml:space="preserve"> is the hospitalization rate for strata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a,s,r</m:t>
            </m:r>
          </m:e>
        </m:d>
      </m:oMath>
      <w:r>
        <w:rPr>
          <w:rFonts w:ascii="Times New Roman" w:eastAsiaTheme="minorEastAsia" w:hAnsi="Times New Roman" w:cs="Times New Roman"/>
          <w:sz w:val="24"/>
          <w:szCs w:val="24"/>
        </w:rPr>
        <w:t>.</w:t>
      </w:r>
    </w:p>
    <w:p w14:paraId="2061EE55" w14:textId="77777777" w:rsidR="00CC2658" w:rsidRPr="005D218E" w:rsidRDefault="00CC2658" w:rsidP="004C5FE2">
      <w:pPr>
        <w:pStyle w:val="ListParagraph"/>
        <w:numPr>
          <w:ilvl w:val="0"/>
          <w:numId w:val="6"/>
        </w:numPr>
        <w:rPr>
          <w:rFonts w:ascii="Times New Roman" w:hAnsi="Times New Roman" w:cs="Times New Roman"/>
          <w:sz w:val="24"/>
          <w:szCs w:val="24"/>
        </w:rPr>
      </w:pPr>
      <w:r>
        <w:rPr>
          <w:rFonts w:ascii="Times New Roman" w:eastAsiaTheme="minorEastAsia" w:hAnsi="Times New Roman" w:cs="Times New Roman"/>
          <w:sz w:val="24"/>
          <w:szCs w:val="24"/>
        </w:rPr>
        <w:t>Estimate the number of deaths in each scenario as</w:t>
      </w:r>
      <w:r>
        <w:rPr>
          <w:rFonts w:ascii="Times New Roman" w:eastAsiaTheme="minorEastAsia" w:hAnsi="Times New Roman" w:cs="Times New Roman"/>
          <w:sz w:val="24"/>
          <w:szCs w:val="24"/>
        </w:rPr>
        <w:br/>
      </w:r>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m:rPr>
                  <m:sty m:val="p"/>
                </m:rPr>
                <w:rPr>
                  <w:rFonts w:ascii="Cambria Math" w:eastAsiaTheme="minorEastAsia" w:hAnsi="Cambria Math" w:cs="Times New Roman"/>
                  <w:sz w:val="24"/>
                  <w:szCs w:val="24"/>
                </w:rPr>
                <m:t>death</m:t>
              </m:r>
            </m:sub>
            <m:sup>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0</m:t>
                  </m:r>
                </m:sub>
              </m:sSub>
            </m:sup>
          </m:sSub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a,s,r</m:t>
              </m:r>
            </m:e>
          </m:d>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hfr</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a,s,r</m:t>
              </m:r>
            </m:e>
          </m:d>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m:rPr>
                  <m:sty m:val="p"/>
                </m:rPr>
                <w:rPr>
                  <w:rFonts w:ascii="Cambria Math" w:eastAsiaTheme="minorEastAsia" w:hAnsi="Cambria Math" w:cs="Times New Roman"/>
                  <w:sz w:val="24"/>
                  <w:szCs w:val="24"/>
                </w:rPr>
                <m:t>hosp</m:t>
              </m:r>
            </m:sub>
            <m:sup>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0</m:t>
                  </m:r>
                </m:sub>
              </m:sSub>
            </m:sup>
          </m:sSub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a,s,r</m:t>
              </m:r>
            </m:e>
          </m:d>
          <m:r>
            <w:rPr>
              <w:rFonts w:ascii="Cambria Math" w:eastAsiaTheme="minorEastAsia" w:hAnsi="Cambria Math" w:cs="Times New Roman"/>
              <w:sz w:val="24"/>
              <w:szCs w:val="24"/>
            </w:rPr>
            <m:t>,</m:t>
          </m:r>
        </m:oMath>
      </m:oMathPara>
    </w:p>
    <w:p w14:paraId="6800E587" w14:textId="77777777" w:rsidR="00CC2658" w:rsidRDefault="00CC2658" w:rsidP="004C5FE2">
      <w:pPr>
        <w:pStyle w:val="ListParagrap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m:oMath>
        <m:r>
          <m:rPr>
            <m:sty m:val="p"/>
          </m:rPr>
          <w:rPr>
            <w:rFonts w:ascii="Cambria Math" w:eastAsiaTheme="minorEastAsia" w:hAnsi="Cambria Math" w:cs="Times New Roman"/>
            <w:sz w:val="24"/>
            <w:szCs w:val="24"/>
          </w:rPr>
          <m:t>hfr</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a,s,r</m:t>
            </m:r>
          </m:e>
        </m:d>
      </m:oMath>
      <w:r>
        <w:rPr>
          <w:rFonts w:ascii="Times New Roman" w:eastAsiaTheme="minorEastAsia" w:hAnsi="Times New Roman" w:cs="Times New Roman"/>
          <w:sz w:val="24"/>
          <w:szCs w:val="24"/>
        </w:rPr>
        <w:t xml:space="preserve"> is the hospitalization fatality ratio for strata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a,s,r</m:t>
            </m:r>
          </m:e>
        </m:d>
      </m:oMath>
      <w:r>
        <w:rPr>
          <w:rFonts w:ascii="Times New Roman" w:eastAsiaTheme="minorEastAsia" w:hAnsi="Times New Roman" w:cs="Times New Roman"/>
          <w:sz w:val="24"/>
          <w:szCs w:val="24"/>
        </w:rPr>
        <w:t>.</w:t>
      </w:r>
    </w:p>
    <w:p w14:paraId="05726428" w14:textId="77777777" w:rsidR="00CC2658" w:rsidRPr="00490233" w:rsidRDefault="00CC2658" w:rsidP="004C5FE2">
      <w:pPr>
        <w:pStyle w:val="ListParagraph"/>
        <w:numPr>
          <w:ilvl w:val="0"/>
          <w:numId w:val="6"/>
        </w:numPr>
        <w:rPr>
          <w:rFonts w:ascii="Times New Roman" w:hAnsi="Times New Roman" w:cs="Times New Roman"/>
          <w:sz w:val="24"/>
          <w:szCs w:val="24"/>
        </w:rPr>
      </w:pPr>
      <w:r>
        <w:rPr>
          <w:rFonts w:ascii="Times New Roman" w:eastAsiaTheme="minorEastAsia" w:hAnsi="Times New Roman" w:cs="Times New Roman"/>
          <w:sz w:val="24"/>
          <w:szCs w:val="24"/>
        </w:rPr>
        <w:t xml:space="preserve">Estimate the cost of administering </w:t>
      </w:r>
      <w:proofErr w:type="spellStart"/>
      <w:r>
        <w:rPr>
          <w:rFonts w:ascii="Times New Roman" w:eastAsiaTheme="minorEastAsia" w:hAnsi="Times New Roman" w:cs="Times New Roman"/>
          <w:sz w:val="24"/>
          <w:szCs w:val="24"/>
        </w:rPr>
        <w:t>mAbs</w:t>
      </w:r>
      <w:proofErr w:type="spellEnd"/>
      <w:r>
        <w:rPr>
          <w:rFonts w:ascii="Times New Roman" w:eastAsiaTheme="minorEastAsia" w:hAnsi="Times New Roman" w:cs="Times New Roman"/>
          <w:sz w:val="24"/>
          <w:szCs w:val="24"/>
        </w:rPr>
        <w:t xml:space="preserve"> and the cost of COVID-19 hospitalizations as</w:t>
      </w:r>
    </w:p>
    <w:p w14:paraId="10790C87" w14:textId="77777777" w:rsidR="00CC2658" w:rsidRPr="00490233" w:rsidRDefault="0000699B" w:rsidP="00CC2658">
      <w:pPr>
        <w:pStyle w:val="ListParagraph"/>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eastAsiaTheme="minorEastAsia" w:hAnsi="Cambria Math" w:cs="Times New Roman"/>
                  <w:sz w:val="24"/>
                  <w:szCs w:val="24"/>
                </w:rPr>
                <m:t>c</m:t>
              </m:r>
              <m:ctrlPr>
                <w:rPr>
                  <w:rFonts w:ascii="Cambria Math" w:eastAsiaTheme="minorEastAsia" w:hAnsi="Cambria Math" w:cs="Times New Roman"/>
                  <w:i/>
                  <w:sz w:val="24"/>
                  <w:szCs w:val="24"/>
                </w:rPr>
              </m:ctrlPr>
            </m:e>
            <m:sub>
              <m:r>
                <m:rPr>
                  <m:sty m:val="p"/>
                </m:rPr>
                <w:rPr>
                  <w:rFonts w:ascii="Cambria Math" w:eastAsiaTheme="minorEastAsia" w:hAnsi="Cambria Math" w:cs="Times New Roman"/>
                  <w:sz w:val="24"/>
                  <w:szCs w:val="24"/>
                </w:rPr>
                <m:t>mAbs</m:t>
              </m:r>
              <m:ctrlPr>
                <w:rPr>
                  <w:rFonts w:ascii="Cambria Math" w:eastAsiaTheme="minorEastAsia" w:hAnsi="Cambria Math" w:cs="Times New Roman"/>
                  <w:sz w:val="24"/>
                  <w:szCs w:val="24"/>
                </w:rPr>
              </m:ctrlPr>
            </m:sub>
            <m:sup>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sup>
          </m:sSubSup>
          <m:r>
            <w:rPr>
              <w:rFonts w:ascii="Cambria Math" w:eastAsiaTheme="minorEastAsia" w:hAnsi="Cambria Math" w:cs="Times New Roman"/>
              <w:sz w:val="24"/>
              <w:szCs w:val="24"/>
            </w:rPr>
            <m:t>=u</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m:rPr>
                  <m:sty m:val="p"/>
                </m:rPr>
                <w:rPr>
                  <w:rFonts w:ascii="Cambria Math" w:eastAsiaTheme="minorEastAsia" w:hAnsi="Cambria Math" w:cs="Times New Roman"/>
                  <w:sz w:val="24"/>
                  <w:szCs w:val="24"/>
                </w:rPr>
                <m:t>mAbs</m:t>
              </m:r>
            </m:sub>
          </m:sSub>
          <m:r>
            <w:rPr>
              <w:rFonts w:ascii="Cambria Math" w:eastAsiaTheme="minorEastAsia"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a,s,r</m:t>
              </m:r>
            </m:sub>
            <m:sup/>
            <m:e>
              <m:sSubSup>
                <m:sSubSupPr>
                  <m:ctrlPr>
                    <w:rPr>
                      <w:rFonts w:ascii="Cambria Math" w:hAnsi="Cambria Math" w:cs="Times New Roman"/>
                      <w:i/>
                      <w:sz w:val="24"/>
                      <w:szCs w:val="24"/>
                    </w:rPr>
                  </m:ctrlPr>
                </m:sSubSupPr>
                <m:e>
                  <m:r>
                    <w:rPr>
                      <w:rFonts w:ascii="Cambria Math" w:hAnsi="Cambria Math" w:cs="Times New Roman"/>
                      <w:sz w:val="24"/>
                      <w:szCs w:val="24"/>
                    </w:rPr>
                    <m:t>n</m:t>
                  </m:r>
                </m:e>
                <m:sub>
                  <m:r>
                    <m:rPr>
                      <m:sty m:val="p"/>
                    </m:rPr>
                    <w:rPr>
                      <w:rFonts w:ascii="Cambria Math" w:hAnsi="Cambria Math" w:cs="Times New Roman"/>
                      <w:sz w:val="24"/>
                      <w:szCs w:val="24"/>
                    </w:rPr>
                    <m:t>PEP</m:t>
                  </m:r>
                  <m:ctrlPr>
                    <w:rPr>
                      <w:rFonts w:ascii="Cambria Math" w:hAnsi="Cambria Math" w:cs="Times New Roman"/>
                      <w:sz w:val="24"/>
                      <w:szCs w:val="24"/>
                    </w:rPr>
                  </m:ctrlPr>
                </m:sub>
                <m:sup>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sup>
              </m:sSubSup>
              <m:r>
                <w:rPr>
                  <w:rFonts w:ascii="Cambria Math" w:hAnsi="Cambria Math" w:cs="Times New Roman"/>
                  <w:sz w:val="24"/>
                  <w:szCs w:val="24"/>
                </w:rPr>
                <m:t>(a,s,r)</m:t>
              </m:r>
            </m:e>
          </m:nary>
          <m:r>
            <w:rPr>
              <w:rFonts w:ascii="Cambria Math" w:hAnsi="Cambria Math" w:cs="Times New Roman"/>
              <w:sz w:val="24"/>
              <w:szCs w:val="24"/>
            </w:rPr>
            <m:t>,</m:t>
          </m:r>
        </m:oMath>
      </m:oMathPara>
    </w:p>
    <w:p w14:paraId="0EE26126" w14:textId="77777777" w:rsidR="00CC2658" w:rsidRDefault="0000699B" w:rsidP="00CC2658">
      <w:pPr>
        <w:pStyle w:val="ListParagraph"/>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eastAsiaTheme="minorEastAsia" w:hAnsi="Cambria Math" w:cs="Times New Roman"/>
                  <w:sz w:val="24"/>
                  <w:szCs w:val="24"/>
                </w:rPr>
                <m:t>c</m:t>
              </m:r>
              <m:ctrlPr>
                <w:rPr>
                  <w:rFonts w:ascii="Cambria Math" w:eastAsiaTheme="minorEastAsia" w:hAnsi="Cambria Math" w:cs="Times New Roman"/>
                  <w:i/>
                  <w:sz w:val="24"/>
                  <w:szCs w:val="24"/>
                </w:rPr>
              </m:ctrlPr>
            </m:e>
            <m:sub>
              <m:r>
                <m:rPr>
                  <m:sty m:val="p"/>
                </m:rPr>
                <w:rPr>
                  <w:rFonts w:ascii="Cambria Math" w:eastAsiaTheme="minorEastAsia" w:hAnsi="Cambria Math" w:cs="Times New Roman"/>
                  <w:sz w:val="24"/>
                  <w:szCs w:val="24"/>
                </w:rPr>
                <m:t>hosp</m:t>
              </m:r>
              <m:ctrlPr>
                <w:rPr>
                  <w:rFonts w:ascii="Cambria Math" w:eastAsiaTheme="minorEastAsia" w:hAnsi="Cambria Math" w:cs="Times New Roman"/>
                  <w:sz w:val="24"/>
                  <w:szCs w:val="24"/>
                </w:rPr>
              </m:ctrlPr>
            </m:sub>
            <m:sup>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sup>
          </m:sSubSup>
          <m:r>
            <w:rPr>
              <w:rFonts w:ascii="Cambria Math" w:eastAsiaTheme="minorEastAsia" w:hAnsi="Cambria Math" w:cs="Times New Roman"/>
              <w:sz w:val="24"/>
              <w:szCs w:val="24"/>
            </w:rPr>
            <m:t>=u</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m:rPr>
                  <m:sty m:val="p"/>
                </m:rPr>
                <w:rPr>
                  <w:rFonts w:ascii="Cambria Math" w:eastAsiaTheme="minorEastAsia" w:hAnsi="Cambria Math" w:cs="Times New Roman"/>
                  <w:sz w:val="24"/>
                  <w:szCs w:val="24"/>
                </w:rPr>
                <m:t>hosp</m:t>
              </m:r>
            </m:sub>
          </m:sSub>
          <m:r>
            <w:rPr>
              <w:rFonts w:ascii="Cambria Math" w:eastAsiaTheme="minorEastAsia" w:hAnsi="Cambria Math" w:cs="Times New Roman"/>
              <w:sz w:val="24"/>
              <w:szCs w:val="24"/>
            </w:rPr>
            <m:t>×</m:t>
          </m:r>
          <m:nary>
            <m:naryPr>
              <m:chr m:val="∑"/>
              <m:supHide m:val="1"/>
              <m:ctrlPr>
                <w:rPr>
                  <w:rFonts w:ascii="Cambria Math" w:hAnsi="Cambria Math" w:cs="Times New Roman"/>
                  <w:i/>
                  <w:sz w:val="24"/>
                  <w:szCs w:val="24"/>
                </w:rPr>
              </m:ctrlPr>
            </m:naryPr>
            <m:sub>
              <m:r>
                <w:rPr>
                  <w:rFonts w:ascii="Cambria Math" w:hAnsi="Cambria Math" w:cs="Times New Roman"/>
                  <w:sz w:val="24"/>
                  <w:szCs w:val="24"/>
                </w:rPr>
                <m:t>a,s,r</m:t>
              </m:r>
            </m:sub>
            <m:sup/>
            <m:e>
              <m:sSubSup>
                <m:sSubSupPr>
                  <m:ctrlPr>
                    <w:rPr>
                      <w:rFonts w:ascii="Cambria Math" w:hAnsi="Cambria Math" w:cs="Times New Roman"/>
                      <w:i/>
                      <w:sz w:val="24"/>
                      <w:szCs w:val="24"/>
                    </w:rPr>
                  </m:ctrlPr>
                </m:sSubSupPr>
                <m:e>
                  <m:r>
                    <w:rPr>
                      <w:rFonts w:ascii="Cambria Math" w:hAnsi="Cambria Math" w:cs="Times New Roman"/>
                      <w:sz w:val="24"/>
                      <w:szCs w:val="24"/>
                    </w:rPr>
                    <m:t>n</m:t>
                  </m:r>
                </m:e>
                <m:sub>
                  <m:r>
                    <m:rPr>
                      <m:sty m:val="p"/>
                    </m:rPr>
                    <w:rPr>
                      <w:rFonts w:ascii="Cambria Math" w:hAnsi="Cambria Math" w:cs="Times New Roman"/>
                      <w:sz w:val="24"/>
                      <w:szCs w:val="24"/>
                    </w:rPr>
                    <m:t>hosp</m:t>
                  </m:r>
                  <m:ctrlPr>
                    <w:rPr>
                      <w:rFonts w:ascii="Cambria Math" w:hAnsi="Cambria Math" w:cs="Times New Roman"/>
                      <w:sz w:val="24"/>
                      <w:szCs w:val="24"/>
                    </w:rPr>
                  </m:ctrlPr>
                </m:sub>
                <m:sup>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sup>
              </m:sSubSup>
              <m:r>
                <w:rPr>
                  <w:rFonts w:ascii="Cambria Math" w:hAnsi="Cambria Math" w:cs="Times New Roman"/>
                  <w:sz w:val="24"/>
                  <w:szCs w:val="24"/>
                </w:rPr>
                <m:t>(a,s,r)</m:t>
              </m:r>
            </m:e>
          </m:nary>
          <m:r>
            <w:rPr>
              <w:rFonts w:ascii="Cambria Math" w:hAnsi="Cambria Math" w:cs="Times New Roman"/>
              <w:sz w:val="24"/>
              <w:szCs w:val="24"/>
            </w:rPr>
            <m:t>,</m:t>
          </m:r>
          <m:r>
            <m:rPr>
              <m:sty m:val="p"/>
            </m:rPr>
            <w:rPr>
              <w:rFonts w:ascii="Times New Roman" w:eastAsiaTheme="minorEastAsia" w:hAnsi="Times New Roman" w:cs="Times New Roman"/>
              <w:sz w:val="24"/>
              <w:szCs w:val="24"/>
            </w:rPr>
            <w:br/>
          </m:r>
        </m:oMath>
      </m:oMathPara>
      <w:r w:rsidR="00CC2658">
        <w:rPr>
          <w:rFonts w:ascii="Times New Roman" w:eastAsiaTheme="minorEastAsia" w:hAnsi="Times New Roman" w:cs="Times New Roman"/>
          <w:sz w:val="24"/>
          <w:szCs w:val="24"/>
        </w:rPr>
        <w:t xml:space="preserve">where </w:t>
      </w:r>
      <m:oMath>
        <m:r>
          <w:rPr>
            <w:rFonts w:ascii="Cambria Math" w:eastAsiaTheme="minorEastAsia" w:hAnsi="Cambria Math" w:cs="Times New Roman"/>
            <w:sz w:val="24"/>
            <w:szCs w:val="24"/>
          </w:rPr>
          <m:t>u</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m:rPr>
                <m:sty m:val="p"/>
              </m:rPr>
              <w:rPr>
                <w:rFonts w:ascii="Cambria Math" w:eastAsiaTheme="minorEastAsia" w:hAnsi="Cambria Math" w:cs="Times New Roman"/>
                <w:sz w:val="24"/>
                <w:szCs w:val="24"/>
              </w:rPr>
              <m:t>mAbs</m:t>
            </m:r>
          </m:sub>
        </m:sSub>
      </m:oMath>
      <w:r w:rsidR="00CC2658">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u</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m:rPr>
                <m:sty m:val="p"/>
              </m:rPr>
              <w:rPr>
                <w:rFonts w:ascii="Cambria Math" w:eastAsiaTheme="minorEastAsia" w:hAnsi="Cambria Math" w:cs="Times New Roman"/>
                <w:sz w:val="24"/>
                <w:szCs w:val="24"/>
              </w:rPr>
              <m:t>hosp</m:t>
            </m:r>
          </m:sub>
        </m:sSub>
      </m:oMath>
      <w:r w:rsidR="00CC2658">
        <w:rPr>
          <w:rFonts w:ascii="Times New Roman" w:eastAsiaTheme="minorEastAsia" w:hAnsi="Times New Roman" w:cs="Times New Roman"/>
          <w:sz w:val="24"/>
          <w:szCs w:val="24"/>
        </w:rPr>
        <w:t xml:space="preserve"> are the unit costs for mAbs and COVID-19 hospitalization.</w:t>
      </w:r>
    </w:p>
    <w:p w14:paraId="1DB5BAEF" w14:textId="77777777" w:rsidR="00CC2658" w:rsidRDefault="00CC2658" w:rsidP="00175197">
      <w:pPr>
        <w:pStyle w:val="Heading4"/>
        <w:rPr>
          <w:rFonts w:eastAsiaTheme="minorEastAsia"/>
        </w:rPr>
      </w:pPr>
      <w:r>
        <w:rPr>
          <w:rFonts w:eastAsiaTheme="minorEastAsia"/>
        </w:rPr>
        <w:t>Parameters, values, data sources, and analytical methods:</w:t>
      </w:r>
    </w:p>
    <w:p w14:paraId="5FD12B47" w14:textId="7258ECE6" w:rsidR="00CC2658" w:rsidRPr="00FF4D1C" w:rsidRDefault="0000699B" w:rsidP="00CC2658">
      <w:pPr>
        <w:pStyle w:val="ListParagraph"/>
        <w:numPr>
          <w:ilvl w:val="0"/>
          <w:numId w:val="2"/>
        </w:num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a,s,r</m:t>
            </m:r>
          </m:e>
        </m:d>
      </m:oMath>
      <w:r w:rsidR="00CC2658" w:rsidRPr="00FF4D1C">
        <w:rPr>
          <w:rFonts w:ascii="Times New Roman" w:eastAsiaTheme="minorEastAsia" w:hAnsi="Times New Roman" w:cs="Times New Roman"/>
          <w:sz w:val="24"/>
          <w:szCs w:val="24"/>
        </w:rPr>
        <w:t xml:space="preserve"> comes from CDC confirmed cases; to deal with missing data, we computed the fraction of cases by age, sex, and race/ethnic</w:t>
      </w:r>
      <w:r w:rsidR="00047E04">
        <w:rPr>
          <w:rFonts w:ascii="Times New Roman" w:eastAsiaTheme="minorEastAsia" w:hAnsi="Times New Roman" w:cs="Times New Roman"/>
          <w:sz w:val="24"/>
          <w:szCs w:val="24"/>
        </w:rPr>
        <w:t>i</w:t>
      </w:r>
      <w:r w:rsidR="00CC2658" w:rsidRPr="00FF4D1C">
        <w:rPr>
          <w:rFonts w:ascii="Times New Roman" w:eastAsiaTheme="minorEastAsia" w:hAnsi="Times New Roman" w:cs="Times New Roman"/>
          <w:sz w:val="24"/>
          <w:szCs w:val="24"/>
        </w:rPr>
        <w:t xml:space="preserve">ty from the rows with complete data (complete-case analysis) [[and then scaled this value to the total number of cases detected during </w:t>
      </w:r>
      <w:r w:rsidR="006B46E6">
        <w:rPr>
          <w:rFonts w:ascii="Times New Roman" w:eastAsiaTheme="minorEastAsia" w:hAnsi="Times New Roman" w:cs="Times New Roman"/>
          <w:sz w:val="24"/>
          <w:szCs w:val="24"/>
        </w:rPr>
        <w:t>May</w:t>
      </w:r>
      <w:r w:rsidR="00CC2658" w:rsidRPr="00FF4D1C">
        <w:rPr>
          <w:rFonts w:ascii="Times New Roman" w:eastAsiaTheme="minorEastAsia" w:hAnsi="Times New Roman" w:cs="Times New Roman"/>
          <w:sz w:val="24"/>
          <w:szCs w:val="24"/>
        </w:rPr>
        <w:t xml:space="preserve"> 2021.]].  We selected age groups to match those available in the CDC data, and collapsed race/ethnicity to white, Black, Hispanic, and all other race/ethnicities.</w:t>
      </w:r>
      <w:r w:rsidR="00B9370A">
        <w:rPr>
          <w:rFonts w:ascii="Times New Roman" w:eastAsiaTheme="minorEastAsia" w:hAnsi="Times New Roman" w:cs="Times New Roman"/>
          <w:sz w:val="24"/>
          <w:szCs w:val="24"/>
        </w:rPr>
        <w:fldChar w:fldCharType="begin"/>
      </w:r>
      <w:r w:rsidR="00B9370A">
        <w:rPr>
          <w:rFonts w:ascii="Times New Roman" w:eastAsiaTheme="minorEastAsia" w:hAnsi="Times New Roman" w:cs="Times New Roman"/>
          <w:sz w:val="24"/>
          <w:szCs w:val="24"/>
        </w:rPr>
        <w:instrText xml:space="preserve"> ADDIN ZOTERO_ITEM CSL_CITATION {"citationID":"0aw1O4Na","properties":{"formattedCitation":"\\super 1\\nosupersub{}","plainCitation":"1","noteIndex":0},"citationItems":[{"id":2963,"uris":["http://zotero.org/groups/2851760/items/H29Y3SCG"],"uri":["http://zotero.org/groups/2851760/items/H29Y3SCG"],"itemData":{"id":2963,"type":"report","title":"COVID-19  Case Surveillance Public Use Data","URL":"https://dev.socrata.com/foundry/data.cdc.gov/vbim-akqf","author":[{"family":"CDC Case Surveillance Task Force","given":""}],"accessed":{"date-parts":[["2021",6,1]]}}}],"schema":"https://github.com/citation-style-language/schema/raw/master/csl-citation.json"} </w:instrText>
      </w:r>
      <w:r w:rsidR="00B9370A">
        <w:rPr>
          <w:rFonts w:ascii="Times New Roman" w:eastAsiaTheme="minorEastAsia" w:hAnsi="Times New Roman" w:cs="Times New Roman"/>
          <w:sz w:val="24"/>
          <w:szCs w:val="24"/>
        </w:rPr>
        <w:fldChar w:fldCharType="separate"/>
      </w:r>
      <w:r w:rsidR="00A33F4A" w:rsidRPr="00A33F4A">
        <w:rPr>
          <w:rFonts w:ascii="Times New Roman" w:hAnsi="Times New Roman" w:cs="Times New Roman"/>
          <w:sz w:val="24"/>
          <w:szCs w:val="24"/>
          <w:vertAlign w:val="superscript"/>
        </w:rPr>
        <w:t>1</w:t>
      </w:r>
      <w:r w:rsidR="00B9370A">
        <w:rPr>
          <w:rFonts w:ascii="Times New Roman" w:eastAsiaTheme="minorEastAsia" w:hAnsi="Times New Roman" w:cs="Times New Roman"/>
          <w:sz w:val="24"/>
          <w:szCs w:val="24"/>
        </w:rPr>
        <w:fldChar w:fldCharType="end"/>
      </w:r>
    </w:p>
    <w:p w14:paraId="7676356E" w14:textId="1B84CA54" w:rsidR="00CC2658" w:rsidRPr="00FF4D1C" w:rsidRDefault="0000699B" w:rsidP="00CC2658">
      <w:pPr>
        <w:pStyle w:val="ListParagraph"/>
        <w:numPr>
          <w:ilvl w:val="0"/>
          <w:numId w:val="2"/>
        </w:num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hh</m:t>
            </m:r>
          </m:sub>
          <m:sup>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m:t>
                </m:r>
              </m:sup>
            </m:sSup>
          </m:sup>
        </m:sSubSup>
        <m:d>
          <m:dPr>
            <m:ctrlPr>
              <w:rPr>
                <w:rFonts w:ascii="Cambria Math" w:hAnsi="Cambria Math" w:cs="Times New Roman"/>
                <w:i/>
                <w:sz w:val="24"/>
                <w:szCs w:val="24"/>
              </w:rPr>
            </m:ctrlPr>
          </m:dPr>
          <m:e>
            <m:r>
              <w:rPr>
                <w:rFonts w:ascii="Cambria Math" w:hAnsi="Cambria Math" w:cs="Times New Roman"/>
                <w:sz w:val="24"/>
                <w:szCs w:val="24"/>
              </w:rPr>
              <m:t>a,s,r</m:t>
            </m:r>
          </m:e>
        </m:d>
      </m:oMath>
      <w:r w:rsidR="00CC2658" w:rsidRPr="00FF4D1C">
        <w:rPr>
          <w:rFonts w:ascii="Times New Roman" w:eastAsiaTheme="minorEastAsia" w:hAnsi="Times New Roman" w:cs="Times New Roman"/>
          <w:sz w:val="24"/>
          <w:szCs w:val="24"/>
        </w:rPr>
        <w:t xml:space="preserve"> comes from ACS PUMS data, which includes age in years, sex, race/ethnicity, and household </w:t>
      </w:r>
      <w:r w:rsidR="00C7648C">
        <w:rPr>
          <w:rFonts w:ascii="Times New Roman" w:eastAsiaTheme="minorEastAsia" w:hAnsi="Times New Roman" w:cs="Times New Roman"/>
          <w:sz w:val="24"/>
          <w:szCs w:val="24"/>
        </w:rPr>
        <w:t>ID</w:t>
      </w:r>
      <w:r w:rsidR="00CC2658" w:rsidRPr="00FF4D1C">
        <w:rPr>
          <w:rFonts w:ascii="Times New Roman" w:eastAsiaTheme="minorEastAsia" w:hAnsi="Times New Roman" w:cs="Times New Roman"/>
          <w:sz w:val="24"/>
          <w:szCs w:val="24"/>
        </w:rPr>
        <w:t>.</w:t>
      </w:r>
      <w:r w:rsidR="00C7648C">
        <w:rPr>
          <w:rFonts w:ascii="Times New Roman" w:eastAsiaTheme="minorEastAsia" w:hAnsi="Times New Roman" w:cs="Times New Roman"/>
          <w:sz w:val="24"/>
          <w:szCs w:val="24"/>
        </w:rPr>
        <w:fldChar w:fldCharType="begin"/>
      </w:r>
      <w:r w:rsidR="00C7648C">
        <w:rPr>
          <w:rFonts w:ascii="Times New Roman" w:eastAsiaTheme="minorEastAsia" w:hAnsi="Times New Roman" w:cs="Times New Roman"/>
          <w:sz w:val="24"/>
          <w:szCs w:val="24"/>
        </w:rPr>
        <w:instrText xml:space="preserve"> ADDIN ZOTERO_ITEM CSL_CITATION {"citationID":"rHO8q2fU","properties":{"formattedCitation":"\\super 2\\nosupersub{}","plainCitation":"2","noteIndex":0},"citationItems":[{"id":2962,"uris":["http://zotero.org/groups/2851760/items/JYM3E6RC"],"uri":["http://zotero.org/groups/2851760/items/JYM3E6RC"],"itemData":{"id":2962,"type":"report","title":"2017 American Community Survey Public Use Microdata Samples","author":[{"family":"U.S. Census Bureau","given":""}]}}],"schema":"https://github.com/citation-style-language/schema/raw/master/csl-citation.json"} </w:instrText>
      </w:r>
      <w:r w:rsidR="00C7648C">
        <w:rPr>
          <w:rFonts w:ascii="Times New Roman" w:eastAsiaTheme="minorEastAsia" w:hAnsi="Times New Roman" w:cs="Times New Roman"/>
          <w:sz w:val="24"/>
          <w:szCs w:val="24"/>
        </w:rPr>
        <w:fldChar w:fldCharType="separate"/>
      </w:r>
      <w:r w:rsidR="00A33F4A" w:rsidRPr="00A33F4A">
        <w:rPr>
          <w:rFonts w:ascii="Times New Roman" w:hAnsi="Times New Roman" w:cs="Times New Roman"/>
          <w:sz w:val="24"/>
          <w:szCs w:val="24"/>
          <w:vertAlign w:val="superscript"/>
        </w:rPr>
        <w:t>2</w:t>
      </w:r>
      <w:r w:rsidR="00C7648C">
        <w:rPr>
          <w:rFonts w:ascii="Times New Roman" w:eastAsiaTheme="minorEastAsia" w:hAnsi="Times New Roman" w:cs="Times New Roman"/>
          <w:sz w:val="24"/>
          <w:szCs w:val="24"/>
        </w:rPr>
        <w:fldChar w:fldCharType="end"/>
      </w:r>
    </w:p>
    <w:p w14:paraId="2FECB9B8" w14:textId="77777777" w:rsidR="00CC2658" w:rsidRPr="00FF4D1C" w:rsidRDefault="00CC2658" w:rsidP="00CC2658">
      <w:pPr>
        <w:pStyle w:val="ListParagraph"/>
        <w:numPr>
          <w:ilvl w:val="0"/>
          <w:numId w:val="2"/>
        </w:numPr>
        <w:rPr>
          <w:rFonts w:ascii="Times New Roman" w:eastAsiaTheme="minorEastAsia" w:hAnsi="Times New Roman" w:cs="Times New Roman"/>
          <w:sz w:val="24"/>
          <w:szCs w:val="24"/>
        </w:rPr>
      </w:pPr>
      <w:r w:rsidRPr="00FF4D1C">
        <w:rPr>
          <w:rFonts w:ascii="Times New Roman" w:eastAsiaTheme="minorEastAsia" w:hAnsi="Times New Roman" w:cs="Times New Roman"/>
          <w:sz w:val="24"/>
          <w:szCs w:val="24"/>
        </w:rPr>
        <w:t>We examined scenarios corresponding to all combinations of the age thresholds matched to the age groups from CDC data, and coverage levels of 0, 33%, 50%, 67%, and 100%.</w:t>
      </w:r>
    </w:p>
    <w:p w14:paraId="279D8BF5" w14:textId="1E486318" w:rsidR="00CC2658" w:rsidRPr="00FF4D1C" w:rsidRDefault="0000699B" w:rsidP="00CC2658">
      <w:pPr>
        <w:pStyle w:val="ListParagraph"/>
        <w:numPr>
          <w:ilvl w:val="0"/>
          <w:numId w:val="2"/>
        </w:numPr>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ar</m:t>
            </m:r>
          </m:e>
          <m:sub>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PEP</m:t>
                </m:r>
              </m:e>
            </m:acc>
          </m:sub>
        </m:sSub>
        <m:r>
          <w:rPr>
            <w:rFonts w:ascii="Cambria Math" w:eastAsiaTheme="minorEastAsia" w:hAnsi="Cambria Math" w:cs="Times New Roman"/>
            <w:sz w:val="24"/>
            <w:szCs w:val="24"/>
          </w:rPr>
          <m:t>=0.078</m:t>
        </m:r>
      </m:oMath>
      <w:r w:rsidR="00CC2658" w:rsidRPr="00FF4D1C">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ar</m:t>
            </m:r>
          </m:e>
          <m:sub>
            <m:r>
              <m:rPr>
                <m:sty m:val="p"/>
              </m:rPr>
              <w:rPr>
                <w:rFonts w:ascii="Cambria Math" w:eastAsiaTheme="minorEastAsia" w:hAnsi="Cambria Math" w:cs="Times New Roman"/>
                <w:sz w:val="24"/>
                <w:szCs w:val="24"/>
              </w:rPr>
              <m:t>PEP</m:t>
            </m:r>
          </m:sub>
        </m:sSub>
        <m:r>
          <w:rPr>
            <w:rFonts w:ascii="Cambria Math" w:eastAsiaTheme="minorEastAsia" w:hAnsi="Cambria Math" w:cs="Times New Roman"/>
            <w:sz w:val="24"/>
            <w:szCs w:val="24"/>
          </w:rPr>
          <m:t>=0.014</m:t>
        </m:r>
      </m:oMath>
      <w:r w:rsidR="00CC2658" w:rsidRPr="00FF4D1C">
        <w:rPr>
          <w:rFonts w:ascii="Times New Roman" w:eastAsiaTheme="minorEastAsia" w:hAnsi="Times New Roman" w:cs="Times New Roman"/>
          <w:sz w:val="24"/>
          <w:szCs w:val="24"/>
        </w:rPr>
        <w:t xml:space="preserve"> came from the </w:t>
      </w:r>
      <w:proofErr w:type="spellStart"/>
      <w:r w:rsidR="002B271A">
        <w:rPr>
          <w:rFonts w:ascii="Times New Roman" w:eastAsiaTheme="minorEastAsia" w:hAnsi="Times New Roman" w:cs="Times New Roman"/>
          <w:sz w:val="24"/>
          <w:szCs w:val="24"/>
        </w:rPr>
        <w:t>imdev</w:t>
      </w:r>
      <w:proofErr w:type="spellEnd"/>
      <w:r w:rsidR="002B271A">
        <w:rPr>
          <w:rFonts w:ascii="Times New Roman" w:eastAsiaTheme="minorEastAsia" w:hAnsi="Times New Roman" w:cs="Times New Roman"/>
          <w:sz w:val="24"/>
          <w:szCs w:val="24"/>
        </w:rPr>
        <w:t>/</w:t>
      </w:r>
      <w:proofErr w:type="spellStart"/>
      <w:r w:rsidR="002B271A">
        <w:rPr>
          <w:rFonts w:ascii="Times New Roman" w:eastAsiaTheme="minorEastAsia" w:hAnsi="Times New Roman" w:cs="Times New Roman"/>
          <w:sz w:val="24"/>
          <w:szCs w:val="24"/>
        </w:rPr>
        <w:t>casi</w:t>
      </w:r>
      <w:proofErr w:type="spellEnd"/>
      <w:r w:rsidR="002B271A">
        <w:rPr>
          <w:rFonts w:ascii="Times New Roman" w:eastAsiaTheme="minorEastAsia" w:hAnsi="Times New Roman" w:cs="Times New Roman"/>
          <w:sz w:val="24"/>
          <w:szCs w:val="24"/>
        </w:rPr>
        <w:t xml:space="preserve"> RCT</w:t>
      </w:r>
      <w:r w:rsidR="00CC2658" w:rsidRPr="00FF4D1C">
        <w:rPr>
          <w:rFonts w:ascii="Times New Roman" w:eastAsiaTheme="minorEastAsia" w:hAnsi="Times New Roman" w:cs="Times New Roman"/>
          <w:sz w:val="24"/>
          <w:szCs w:val="24"/>
        </w:rPr>
        <w:t>.</w:t>
      </w:r>
      <w:r w:rsidR="002B271A">
        <w:rPr>
          <w:rFonts w:ascii="Times New Roman" w:eastAsiaTheme="minorEastAsia" w:hAnsi="Times New Roman" w:cs="Times New Roman"/>
          <w:sz w:val="24"/>
          <w:szCs w:val="24"/>
        </w:rPr>
        <w:fldChar w:fldCharType="begin"/>
      </w:r>
      <w:r w:rsidR="002B271A">
        <w:rPr>
          <w:rFonts w:ascii="Times New Roman" w:eastAsiaTheme="minorEastAsia" w:hAnsi="Times New Roman" w:cs="Times New Roman"/>
          <w:sz w:val="24"/>
          <w:szCs w:val="24"/>
        </w:rPr>
        <w:instrText xml:space="preserve"> ADDIN ZOTERO_ITEM CSL_CITATION {"citationID":"qJevrfG0","properties":{"formattedCitation":"\\super 3\\nosupersub{}","plainCitation":"3","noteIndex":0},"citationItems":[{"id":3164,"uris":["http://zotero.org/groups/2851760/items/MMQLA4HY"],"uri":["http://zotero.org/groups/2851760/items/MMQLA4HY"],"itemData":{"id":3164,"type":"article-journal","abstract":"BACKGROUND: REGEN-COV (previously known as REGN-COV2), a combination of the monoclonal antibodies casirivimab and imdevimab, has been shown to markedly reduce the risk of hospitalization or death among high-risk persons with coronavirus disease 2019 (Covid-19). Whether subcutaneous REGEN-COV prevents severe acute respiratory syndrome coronavirus 2 (SARS-CoV-2) infection and subsequent Covid-19 in persons at high risk for infection because of household exposure to a person with SARS-CoV-2 infection is unknown.\nMETHODS: We randomly assigned, in a 1:1 ratio, participants (≥12 years of age) who were enrolled within 96 hours after a household contact received a diagnosis of SARS-CoV-2 infection to receive a total dose of 1200 mg of REGEN-COV or matching placebo administered by means of subcutaneous injection. At the time of randomization, participants were stratified according to the results of the local diagnostic assay for SARS-CoV-2 and according to age. The primary efficacy end point was the development of symptomatic SARS-CoV-2 infection through day 28 in participants who did not have SARS-COV-2 infection (as measured by reverse-transcriptase-quantitative polymerase-chain-reaction assay) or previous immunity (seronegativity).\nRESULTS: Symptomatic SARS-CoV-2 infection developed in 11 of 753 participants in the REGEN-COV group (1.5%) and in 59 of 752 participants in the placebo group (7.8%) (relative risk reduction [1 minus the relative risk], 81.4%; P&lt;0.001). In weeks 2 to 4, a total of 2 of 753 participants in the REGEN-COV group (0.3%) and 27 of 752 participants in the placebo group (3.6%) had symptomatic SARS-CoV-2 infection (relative risk reduction, 92.6%). REGEN-COV also prevented symptomatic and asymptomatic infections overall (relative risk reduction, 66.4%). Among symptomatic infected participants, the median time to resolution of symptoms was 2 weeks shorter with REGEN-COV than with placebo (1.2 weeks and 3.2 weeks, respectively), and the duration of a high viral load (&gt;104 copies per milliliter) was shorter (0.4 weeks and 1.3 weeks, respectively). No dose-limiting toxic effects of REGEN-COV were noted.\nCONCLUSIONS: Subcutaneous REGEN-COV prevented symptomatic Covid-19 and asymptomatic SARS-CoV-2 infection in previously uninfected household contacts of infected persons. Among the participants who became infected, REGEN-COV reduced the duration of symptomatic disease and the duration of a high viral load. (Funded by Regeneron Pharmaceuticals and others; ClinicalTrials.gov number, NCT04452318.).","container-title":"The New England Journal of Medicine","DOI":"10.1056/NEJMoa2109682","ISSN":"1533-4406","journalAbbreviation":"N Engl J Med","language":"eng","note":"PMID: 34347950","source":"PubMed","title":"Subcutaneous REGEN-COV Antibody Combination to Prevent Covid-19","author":[{"family":"O'Brien","given":"Meagan P."},{"family":"Forleo-Neto","given":"Eduardo"},{"family":"Musser","given":"Bret J."},{"family":"Isa","given":"Flonza"},{"family":"Chan","given":"Kuo-Chen"},{"family":"Sarkar","given":"Neena"},{"family":"Bar","given":"Katharine J."},{"family":"Barnabas","given":"Ruanne V."},{"family":"Barouch","given":"Dan H."},{"family":"Cohen","given":"Myron S."},{"family":"Hurt","given":"Christopher B."},{"family":"Burwen","given":"Dale R."},{"family":"Marovich","given":"Mary A."},{"family":"Hou","given":"Peijie"},{"family":"Heirman","given":"Ingeborg"},{"family":"Davis","given":"John D."},{"family":"Turner","given":"Kenneth C."},{"family":"Ramesh","given":"Divya"},{"family":"Mahmood","given":"Adnan"},{"family":"Hooper","given":"Andrea T."},{"family":"Hamilton","given":"Jennifer D."},{"family":"Kim","given":"Yunji"},{"family":"Purcell","given":"Lisa A."},{"family":"Baum","given":"Alina"},{"family":"Kyratsous","given":"Christos A."},{"family":"Krainson","given":"James"},{"family":"Perez-Perez","given":"Richard"},{"family":"Mohseni","given":"Rizwana"},{"family":"Kowal","given":"Bari"},{"family":"DiCioccio","given":"A. Thomas"},{"family":"Stahl","given":"Neil"},{"family":"Lipsich","given":"Leah"},{"family":"Braunstein","given":"Ned"},{"family":"Herman","given":"Gary"},{"family":"Yancopoulos","given":"George D."},{"family":"Weinreich","given":"David M."},{"literal":"Covid-19 Phase 3 Prevention Trial Team"}],"issued":{"date-parts":[["2021",8,4]]}}}],"schema":"https://github.com/citation-style-language/schema/raw/master/csl-citation.json"} </w:instrText>
      </w:r>
      <w:r w:rsidR="002B271A">
        <w:rPr>
          <w:rFonts w:ascii="Times New Roman" w:eastAsiaTheme="minorEastAsia" w:hAnsi="Times New Roman" w:cs="Times New Roman"/>
          <w:sz w:val="24"/>
          <w:szCs w:val="24"/>
        </w:rPr>
        <w:fldChar w:fldCharType="separate"/>
      </w:r>
      <w:r w:rsidR="00A33F4A" w:rsidRPr="00A33F4A">
        <w:rPr>
          <w:rFonts w:ascii="Times New Roman" w:hAnsi="Times New Roman" w:cs="Times New Roman"/>
          <w:sz w:val="24"/>
          <w:szCs w:val="24"/>
          <w:vertAlign w:val="superscript"/>
        </w:rPr>
        <w:t>3</w:t>
      </w:r>
      <w:r w:rsidR="002B271A">
        <w:rPr>
          <w:rFonts w:ascii="Times New Roman" w:eastAsiaTheme="minorEastAsia" w:hAnsi="Times New Roman" w:cs="Times New Roman"/>
          <w:sz w:val="24"/>
          <w:szCs w:val="24"/>
        </w:rPr>
        <w:fldChar w:fldCharType="end"/>
      </w:r>
    </w:p>
    <w:p w14:paraId="620EEDC0" w14:textId="15BE7ACA" w:rsidR="00CC2658" w:rsidRPr="00FF4D1C" w:rsidRDefault="00CC2658" w:rsidP="00CC2658">
      <w:pPr>
        <w:pStyle w:val="ListParagraph"/>
        <w:numPr>
          <w:ilvl w:val="0"/>
          <w:numId w:val="2"/>
        </w:numPr>
        <w:rPr>
          <w:rFonts w:ascii="Times New Roman" w:eastAsiaTheme="minorEastAsia" w:hAnsi="Times New Roman" w:cs="Times New Roman"/>
          <w:sz w:val="24"/>
          <w:szCs w:val="24"/>
        </w:rPr>
      </w:pPr>
      <w:r w:rsidRPr="00FF4D1C">
        <w:rPr>
          <w:rFonts w:ascii="Times New Roman" w:eastAsiaTheme="minorEastAsia" w:hAnsi="Times New Roman" w:cs="Times New Roman"/>
          <w:sz w:val="24"/>
          <w:szCs w:val="24"/>
        </w:rPr>
        <w:t xml:space="preserve">We calculated </w:t>
      </w:r>
      <m:oMath>
        <m:r>
          <m:rPr>
            <m:sty m:val="p"/>
          </m:rPr>
          <w:rPr>
            <w:rFonts w:ascii="Cambria Math" w:eastAsiaTheme="minorEastAsia" w:hAnsi="Cambria Math" w:cs="Times New Roman"/>
            <w:sz w:val="24"/>
            <w:szCs w:val="24"/>
          </w:rPr>
          <m:t>hr</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a,s,r</m:t>
            </m:r>
          </m:e>
        </m:d>
      </m:oMath>
      <w:r w:rsidRPr="00FF4D1C">
        <w:rPr>
          <w:rFonts w:ascii="Times New Roman" w:eastAsiaTheme="minorEastAsia" w:hAnsi="Times New Roman" w:cs="Times New Roman"/>
          <w:sz w:val="24"/>
          <w:szCs w:val="24"/>
        </w:rPr>
        <w:t xml:space="preserve"> from CDC data.  We dropped all cases where age, sex, race/ethnicity, or hospitalization status was unknown.</w:t>
      </w:r>
      <w:r w:rsidR="004E3793">
        <w:rPr>
          <w:rFonts w:ascii="Times New Roman" w:eastAsiaTheme="minorEastAsia" w:hAnsi="Times New Roman" w:cs="Times New Roman"/>
          <w:sz w:val="24"/>
          <w:szCs w:val="24"/>
        </w:rPr>
        <w:fldChar w:fldCharType="begin"/>
      </w:r>
      <w:r w:rsidR="004E3793">
        <w:rPr>
          <w:rFonts w:ascii="Times New Roman" w:eastAsiaTheme="minorEastAsia" w:hAnsi="Times New Roman" w:cs="Times New Roman"/>
          <w:sz w:val="24"/>
          <w:szCs w:val="24"/>
        </w:rPr>
        <w:instrText xml:space="preserve"> ADDIN ZOTERO_ITEM CSL_CITATION {"citationID":"NGYnHxti","properties":{"formattedCitation":"\\super 1\\nosupersub{}","plainCitation":"1","noteIndex":0},"citationItems":[{"id":2963,"uris":["http://zotero.org/groups/2851760/items/H29Y3SCG"],"uri":["http://zotero.org/groups/2851760/items/H29Y3SCG"],"itemData":{"id":2963,"type":"report","title":"COVID-19  Case Surveillance Public Use Data","URL":"https://dev.socrata.com/foundry/data.cdc.gov/vbim-akqf","author":[{"family":"CDC Case Surveillance Task Force","given":""}],"accessed":{"date-parts":[["2021",6,1]]}}}],"schema":"https://github.com/citation-style-language/schema/raw/master/csl-citation.json"} </w:instrText>
      </w:r>
      <w:r w:rsidR="004E3793">
        <w:rPr>
          <w:rFonts w:ascii="Times New Roman" w:eastAsiaTheme="minorEastAsia" w:hAnsi="Times New Roman" w:cs="Times New Roman"/>
          <w:sz w:val="24"/>
          <w:szCs w:val="24"/>
        </w:rPr>
        <w:fldChar w:fldCharType="separate"/>
      </w:r>
      <w:r w:rsidR="00A33F4A" w:rsidRPr="00A33F4A">
        <w:rPr>
          <w:rFonts w:ascii="Times New Roman" w:hAnsi="Times New Roman" w:cs="Times New Roman"/>
          <w:sz w:val="24"/>
          <w:szCs w:val="24"/>
          <w:vertAlign w:val="superscript"/>
        </w:rPr>
        <w:t>1</w:t>
      </w:r>
      <w:r w:rsidR="004E3793">
        <w:rPr>
          <w:rFonts w:ascii="Times New Roman" w:eastAsiaTheme="minorEastAsia" w:hAnsi="Times New Roman" w:cs="Times New Roman"/>
          <w:sz w:val="24"/>
          <w:szCs w:val="24"/>
        </w:rPr>
        <w:fldChar w:fldCharType="end"/>
      </w:r>
    </w:p>
    <w:p w14:paraId="71C3BDFB" w14:textId="77777777" w:rsidR="00CC2658" w:rsidRPr="00FF4D1C" w:rsidRDefault="00CC2658" w:rsidP="00CC2658">
      <w:pPr>
        <w:pStyle w:val="ListParagraph"/>
        <w:numPr>
          <w:ilvl w:val="0"/>
          <w:numId w:val="2"/>
        </w:numPr>
        <w:rPr>
          <w:rFonts w:ascii="Times New Roman" w:eastAsiaTheme="minorEastAsia" w:hAnsi="Times New Roman" w:cs="Times New Roman"/>
          <w:sz w:val="24"/>
          <w:szCs w:val="24"/>
        </w:rPr>
      </w:pPr>
      <w:r w:rsidRPr="00FF4D1C">
        <w:rPr>
          <w:rFonts w:ascii="Times New Roman" w:eastAsiaTheme="minorEastAsia" w:hAnsi="Times New Roman" w:cs="Times New Roman"/>
          <w:sz w:val="24"/>
          <w:szCs w:val="24"/>
        </w:rPr>
        <w:lastRenderedPageBreak/>
        <w:t xml:space="preserve">We calculated </w:t>
      </w:r>
      <m:oMath>
        <m:r>
          <m:rPr>
            <m:sty m:val="p"/>
          </m:rPr>
          <w:rPr>
            <w:rFonts w:ascii="Cambria Math" w:eastAsiaTheme="minorEastAsia" w:hAnsi="Cambria Math" w:cs="Times New Roman"/>
            <w:sz w:val="24"/>
            <w:szCs w:val="24"/>
          </w:rPr>
          <m:t>hfr</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a,s,r</m:t>
            </m:r>
          </m:e>
        </m:d>
      </m:oMath>
      <w:r w:rsidRPr="00FF4D1C">
        <w:rPr>
          <w:rFonts w:ascii="Times New Roman" w:eastAsiaTheme="minorEastAsia" w:hAnsi="Times New Roman" w:cs="Times New Roman"/>
          <w:sz w:val="24"/>
          <w:szCs w:val="24"/>
        </w:rPr>
        <w:t xml:space="preserve"> similarly from CDC data, by dropping all cases which were not hospitalized or where age, sex, race/ethnicity, or mortality status was unknown.</w:t>
      </w:r>
    </w:p>
    <w:p w14:paraId="7D5C4136" w14:textId="1288B5D0" w:rsidR="00341A62" w:rsidRDefault="00CC2658" w:rsidP="00CC2658">
      <w:pPr>
        <w:pStyle w:val="ListParagraph"/>
        <w:numPr>
          <w:ilvl w:val="0"/>
          <w:numId w:val="2"/>
        </w:numPr>
        <w:rPr>
          <w:rFonts w:ascii="Times New Roman" w:eastAsiaTheme="minorEastAsia" w:hAnsi="Times New Roman" w:cs="Times New Roman"/>
          <w:sz w:val="24"/>
          <w:szCs w:val="24"/>
        </w:rPr>
      </w:pPr>
      <w:r w:rsidRPr="00FF4D1C">
        <w:rPr>
          <w:rFonts w:ascii="Times New Roman" w:eastAsiaTheme="minorEastAsia" w:hAnsi="Times New Roman" w:cs="Times New Roman"/>
          <w:sz w:val="24"/>
          <w:szCs w:val="24"/>
        </w:rPr>
        <w:t xml:space="preserve">We determined </w:t>
      </w:r>
      <w:r w:rsidR="00533713">
        <w:rPr>
          <w:rFonts w:ascii="Times New Roman" w:eastAsiaTheme="minorEastAsia" w:hAnsi="Times New Roman" w:cs="Times New Roman"/>
          <w:sz w:val="24"/>
          <w:szCs w:val="24"/>
        </w:rPr>
        <w:t xml:space="preserve">the </w:t>
      </w:r>
      <w:r w:rsidRPr="00FF4D1C">
        <w:rPr>
          <w:rFonts w:ascii="Times New Roman" w:eastAsiaTheme="minorEastAsia" w:hAnsi="Times New Roman" w:cs="Times New Roman"/>
          <w:sz w:val="24"/>
          <w:szCs w:val="24"/>
        </w:rPr>
        <w:t xml:space="preserve">unit costs </w:t>
      </w:r>
      <m:oMath>
        <m:r>
          <w:rPr>
            <w:rFonts w:ascii="Cambria Math" w:eastAsiaTheme="minorEastAsia" w:hAnsi="Cambria Math" w:cs="Times New Roman"/>
            <w:sz w:val="24"/>
            <w:szCs w:val="24"/>
          </w:rPr>
          <m:t>u</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m:rPr>
                <m:sty m:val="p"/>
              </m:rPr>
              <w:rPr>
                <w:rFonts w:ascii="Cambria Math" w:eastAsiaTheme="minorEastAsia" w:hAnsi="Cambria Math" w:cs="Times New Roman"/>
                <w:sz w:val="24"/>
                <w:szCs w:val="24"/>
              </w:rPr>
              <m:t>mAbs</m:t>
            </m:r>
          </m:sub>
        </m:sSub>
        <m:r>
          <w:rPr>
            <w:rFonts w:ascii="Cambria Math" w:eastAsiaTheme="minorEastAsia" w:hAnsi="Cambria Math" w:cs="Times New Roman"/>
            <w:sz w:val="24"/>
            <w:szCs w:val="24"/>
          </w:rPr>
          <m:t>=$1,264</m:t>
        </m:r>
      </m:oMath>
      <w:r w:rsidRPr="00FF4D1C">
        <w:rPr>
          <w:rFonts w:ascii="Times New Roman" w:eastAsiaTheme="minorEastAsia" w:hAnsi="Times New Roman" w:cs="Times New Roman"/>
          <w:sz w:val="24"/>
          <w:szCs w:val="24"/>
        </w:rPr>
        <w:t xml:space="preserve"> </w:t>
      </w:r>
      <w:r w:rsidR="00AA3E3C">
        <w:rPr>
          <w:rFonts w:ascii="Times New Roman" w:eastAsiaTheme="minorEastAsia" w:hAnsi="Times New Roman" w:cs="Times New Roman"/>
          <w:sz w:val="24"/>
          <w:szCs w:val="24"/>
        </w:rPr>
        <w:t>using $1,250 as the cost of the medication and $114 as the cost of administration.</w:t>
      </w:r>
      <w:r w:rsidR="00EF6282">
        <w:rPr>
          <w:rFonts w:ascii="Times New Roman" w:eastAsiaTheme="minorEastAsia" w:hAnsi="Times New Roman" w:cs="Times New Roman"/>
          <w:sz w:val="24"/>
          <w:szCs w:val="24"/>
        </w:rPr>
        <w:fldChar w:fldCharType="begin"/>
      </w:r>
      <w:r w:rsidR="00EF6282">
        <w:rPr>
          <w:rFonts w:ascii="Times New Roman" w:eastAsiaTheme="minorEastAsia" w:hAnsi="Times New Roman" w:cs="Times New Roman"/>
          <w:sz w:val="24"/>
          <w:szCs w:val="24"/>
        </w:rPr>
        <w:instrText xml:space="preserve"> ADDIN ZOTERO_ITEM CSL_CITATION {"citationID":"9DeTEamB","properties":{"formattedCitation":"\\super 4\\nosupersub{}","plainCitation":"4","noteIndex":0},"citationItems":[{"id":3151,"uris":["http://zotero.org/groups/2851760/items/EX3KMAFI"],"uri":["http://zotero.org/groups/2851760/items/EX3KMAFI"],"itemData":{"id":3151,"type":"report","title":"Press Release: Lilly announces agreement with U.S. government to supply 300,000 vials of investigational neutralizing antibody bamlanivimab (LY-CoV555) in an effort to fight COVID-19","URL":"https://investor.lilly.com/news-releases/news-release-details/lilly-announces-agreement-us-government-supply-300000-vials","author":[{"family":"Eli Lilly and Company","given":""}],"accessed":{"date-parts":[["2021",7,27]]},"issued":{"date-parts":[["2020",10,28]]}}}],"schema":"https://github.com/citation-style-language/schema/raw/master/csl-citation.json"} </w:instrText>
      </w:r>
      <w:r w:rsidR="00EF6282">
        <w:rPr>
          <w:rFonts w:ascii="Times New Roman" w:eastAsiaTheme="minorEastAsia" w:hAnsi="Times New Roman" w:cs="Times New Roman"/>
          <w:sz w:val="24"/>
          <w:szCs w:val="24"/>
        </w:rPr>
        <w:fldChar w:fldCharType="separate"/>
      </w:r>
      <w:r w:rsidR="00A33F4A" w:rsidRPr="00A33F4A">
        <w:rPr>
          <w:rFonts w:ascii="Times New Roman" w:hAnsi="Times New Roman" w:cs="Times New Roman"/>
          <w:sz w:val="24"/>
          <w:szCs w:val="24"/>
          <w:vertAlign w:val="superscript"/>
        </w:rPr>
        <w:t>4</w:t>
      </w:r>
      <w:r w:rsidR="00EF6282">
        <w:rPr>
          <w:rFonts w:ascii="Times New Roman" w:eastAsiaTheme="minorEastAsia" w:hAnsi="Times New Roman" w:cs="Times New Roman"/>
          <w:sz w:val="24"/>
          <w:szCs w:val="24"/>
        </w:rPr>
        <w:fldChar w:fldCharType="end"/>
      </w:r>
      <w:r w:rsidR="00B66512">
        <w:rPr>
          <w:rFonts w:ascii="Times New Roman" w:eastAsiaTheme="minorEastAsia" w:hAnsi="Times New Roman" w:cs="Times New Roman"/>
          <w:sz w:val="24"/>
          <w:szCs w:val="24"/>
        </w:rPr>
        <w:t xml:space="preserve"> We calculated the cost of administration as $111 using the subcutaneous administration s</w:t>
      </w:r>
      <w:r w:rsidR="00E963DB">
        <w:rPr>
          <w:rFonts w:ascii="Times New Roman" w:eastAsiaTheme="minorEastAsia" w:hAnsi="Times New Roman" w:cs="Times New Roman"/>
          <w:sz w:val="24"/>
          <w:szCs w:val="24"/>
        </w:rPr>
        <w:t xml:space="preserve">cenario of </w:t>
      </w:r>
      <w:r w:rsidR="007F5DB6">
        <w:rPr>
          <w:rFonts w:ascii="Times New Roman" w:eastAsiaTheme="minorEastAsia" w:hAnsi="Times New Roman" w:cs="Times New Roman"/>
          <w:sz w:val="24"/>
          <w:szCs w:val="24"/>
        </w:rPr>
        <w:t xml:space="preserve">a </w:t>
      </w:r>
      <w:r w:rsidR="007F5DB6">
        <w:rPr>
          <w:rFonts w:ascii="Times New Roman" w:hAnsi="Times New Roman" w:cs="Times New Roman"/>
          <w:sz w:val="24"/>
          <w:szCs w:val="24"/>
        </w:rPr>
        <w:t>time-driven activity-based cost estimate</w:t>
      </w:r>
      <w:r w:rsidR="005B17EF">
        <w:rPr>
          <w:rFonts w:ascii="Times New Roman" w:hAnsi="Times New Roman" w:cs="Times New Roman"/>
          <w:sz w:val="24"/>
          <w:szCs w:val="24"/>
        </w:rPr>
        <w:t xml:space="preserve"> by Wallac</w:t>
      </w:r>
      <w:r w:rsidR="00632869">
        <w:rPr>
          <w:rFonts w:ascii="Times New Roman" w:hAnsi="Times New Roman" w:cs="Times New Roman"/>
          <w:sz w:val="24"/>
          <w:szCs w:val="24"/>
        </w:rPr>
        <w:t xml:space="preserve">e, et al, and adjusted to 2020 US$ using the </w:t>
      </w:r>
      <w:r w:rsidR="00762554">
        <w:rPr>
          <w:rFonts w:ascii="Times New Roman" w:hAnsi="Times New Roman" w:cs="Times New Roman"/>
          <w:sz w:val="24"/>
          <w:szCs w:val="24"/>
        </w:rPr>
        <w:t>Bureau of Labor Statistics Consumer Price Index calculator.</w:t>
      </w:r>
      <w:r w:rsidR="00762554">
        <w:rPr>
          <w:rFonts w:ascii="Times New Roman" w:hAnsi="Times New Roman" w:cs="Times New Roman"/>
          <w:sz w:val="24"/>
          <w:szCs w:val="24"/>
        </w:rPr>
        <w:fldChar w:fldCharType="begin"/>
      </w:r>
      <w:r w:rsidR="00762554">
        <w:rPr>
          <w:rFonts w:ascii="Times New Roman" w:hAnsi="Times New Roman" w:cs="Times New Roman"/>
          <w:sz w:val="24"/>
          <w:szCs w:val="24"/>
        </w:rPr>
        <w:instrText xml:space="preserve"> ADDIN ZOTERO_ITEM CSL_CITATION {"citationID":"q24fhzNU","properties":{"formattedCitation":"\\super 5\\nosupersub{}","plainCitation":"5","noteIndex":0},"citationItems":[{"id":3154,"uris":["http://zotero.org/groups/2851760/items/TEXLLR4A"],"uri":["http://zotero.org/groups/2851760/items/TEXLLR4A"],"itemData":{"id":3154,"type":"article-journal","abstract":"OBJECTIVE: Originator intravenous rituximab is an important rheumatology treatment but is costly, and administration requires several hours. Because biosimilar rituximab may cost less and subcutaneous rituximab requires a shorter visit, both may reduce costs and increase treatment capacity (infusions per year).\nMETHODS: We implemented time-driven activity-based costing (TDABC), a method to assess costs and opportunities to increase capacity, throughout the care pathway for 26 patients receiving a total of 30 rituximab infusions. Using the TDABC estimates, we created a base case, which included provider time, salaries, infusion rates and times, and drug formulation, to simulate an induction cycle (two infusions). We varied these parameters in sensitivity analyses and assessed the impact of infusion rates and formulation (biosimilar vs. subcutaneous) on capacity before and after assuming a fixed budget.\nRESULTS: The base-case cost was $19 452; more than 90% was due to drug cost. In sensitivity analyses, varying projected biosimilar cost led to the greatest cost savings ($8,988 per cycle). Faster infusion rates and subcutaneous rituximab increased annual capacity (300% and 800%, respectively). With a fixed budget, subcutaneous rituximab led to a relative increase in capacity over biosimilar rituximab except when biosimilar cost savings relative to originator rituximab exceeded 40%; faster biosimilar infusion rates did not meaningfully affect these findings.\nCONCLUSION: Using TDABC, we demonstrate that rituximab cost is the primary driver of treatment cost, but capacity is largely driven by treatment time. Subcutaneous rituximab leads to higher capacity than biosimilar rituximab across a range of plausible costs; its use in rheumatology should be studied.","container-title":"ACR open rheumatology","DOI":"10.1002/acr2.11133","ISSN":"2578-5745","issue":"5","journalAbbreviation":"ACR Open Rheumatol","language":"eng","note":"PMID: 32314553\nPMCID: PMC7231514","page":"261-268","source":"PubMed","title":"Increasing Operational Capacity and Reducing Costs of Rituximab Administration: A Costing Analysis","title-short":"Increasing Operational Capacity and Reducing Costs of Rituximab Administration","volume":"2","author":[{"family":"Wallace","given":"Zachary S."},{"family":"Harkness","given":"Tyler"},{"family":"Blumenthal","given":"Kimberly G."},{"family":"Choi","given":"Hyon K."},{"family":"Stone","given":"John H."},{"family":"Walensky","given":"Rochelle P."}],"issued":{"date-parts":[["2020",5]]}}}],"schema":"https://github.com/citation-style-language/schema/raw/master/csl-citation.json"} </w:instrText>
      </w:r>
      <w:r w:rsidR="00762554">
        <w:rPr>
          <w:rFonts w:ascii="Times New Roman" w:hAnsi="Times New Roman" w:cs="Times New Roman"/>
          <w:sz w:val="24"/>
          <w:szCs w:val="24"/>
        </w:rPr>
        <w:fldChar w:fldCharType="separate"/>
      </w:r>
      <w:r w:rsidR="00A33F4A" w:rsidRPr="00A33F4A">
        <w:rPr>
          <w:rFonts w:ascii="Times New Roman" w:hAnsi="Times New Roman" w:cs="Times New Roman"/>
          <w:sz w:val="24"/>
          <w:szCs w:val="24"/>
          <w:vertAlign w:val="superscript"/>
        </w:rPr>
        <w:t>5</w:t>
      </w:r>
      <w:r w:rsidR="00762554">
        <w:rPr>
          <w:rFonts w:ascii="Times New Roman" w:hAnsi="Times New Roman" w:cs="Times New Roman"/>
          <w:sz w:val="24"/>
          <w:szCs w:val="24"/>
        </w:rPr>
        <w:fldChar w:fldCharType="end"/>
      </w:r>
      <w:r w:rsidR="00012795">
        <w:rPr>
          <w:rFonts w:ascii="Times New Roman" w:eastAsiaTheme="minorEastAsia" w:hAnsi="Times New Roman" w:cs="Times New Roman"/>
          <w:sz w:val="24"/>
          <w:szCs w:val="24"/>
        </w:rPr>
        <w:t xml:space="preserve"> </w:t>
      </w:r>
      <w:r w:rsidR="0038527C">
        <w:rPr>
          <w:rFonts w:ascii="Times New Roman" w:eastAsiaTheme="minorEastAsia" w:hAnsi="Times New Roman" w:cs="Times New Roman"/>
          <w:sz w:val="24"/>
          <w:szCs w:val="24"/>
        </w:rPr>
        <w:t xml:space="preserve">We estimated the unit cost of hospitalization </w:t>
      </w:r>
      <m:oMath>
        <m:r>
          <w:rPr>
            <w:rFonts w:ascii="Cambria Math" w:eastAsiaTheme="minorEastAsia" w:hAnsi="Cambria Math" w:cs="Times New Roman"/>
            <w:sz w:val="24"/>
            <w:szCs w:val="24"/>
          </w:rPr>
          <m:t>u</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m:rPr>
                <m:sty m:val="p"/>
              </m:rPr>
              <w:rPr>
                <w:rFonts w:ascii="Cambria Math" w:eastAsiaTheme="minorEastAsia" w:hAnsi="Cambria Math" w:cs="Times New Roman"/>
                <w:sz w:val="24"/>
                <w:szCs w:val="24"/>
              </w:rPr>
              <m:t>hosp</m:t>
            </m:r>
          </m:sub>
        </m:sSub>
        <m:r>
          <w:rPr>
            <w:rFonts w:ascii="Cambria Math" w:eastAsiaTheme="minorEastAsia" w:hAnsi="Cambria Math" w:cs="Times New Roman"/>
            <w:sz w:val="24"/>
            <w:szCs w:val="24"/>
          </w:rPr>
          <m:t>=$73,300</m:t>
        </m:r>
      </m:oMath>
      <w:r w:rsidRPr="00FF4D1C">
        <w:rPr>
          <w:rFonts w:ascii="Times New Roman" w:eastAsiaTheme="minorEastAsia" w:hAnsi="Times New Roman" w:cs="Times New Roman"/>
          <w:sz w:val="24"/>
          <w:szCs w:val="24"/>
        </w:rPr>
        <w:t xml:space="preserve"> from recent literature</w:t>
      </w:r>
      <w:r w:rsidR="00DF6AB3">
        <w:rPr>
          <w:rFonts w:ascii="Times New Roman" w:eastAsiaTheme="minorEastAsia" w:hAnsi="Times New Roman" w:cs="Times New Roman"/>
          <w:sz w:val="24"/>
          <w:szCs w:val="24"/>
        </w:rPr>
        <w:t>.</w:t>
      </w:r>
      <w:r w:rsidR="00614E8D">
        <w:rPr>
          <w:rFonts w:ascii="Times New Roman" w:eastAsiaTheme="minorEastAsia" w:hAnsi="Times New Roman" w:cs="Times New Roman"/>
          <w:sz w:val="24"/>
          <w:szCs w:val="24"/>
        </w:rPr>
        <w:fldChar w:fldCharType="begin"/>
      </w:r>
      <w:r w:rsidR="00614E8D">
        <w:rPr>
          <w:rFonts w:ascii="Times New Roman" w:eastAsiaTheme="minorEastAsia" w:hAnsi="Times New Roman" w:cs="Times New Roman"/>
          <w:sz w:val="24"/>
          <w:szCs w:val="24"/>
        </w:rPr>
        <w:instrText xml:space="preserve"> ADDIN ZOTERO_ITEM CSL_CITATION {"citationID":"FpvoGM2w","properties":{"formattedCitation":"\\super 6\\nosupersub{}","plainCitation":"6","noteIndex":0},"citationItems":[{"id":3152,"uris":["http://zotero.org/groups/2851760/items/456AC3SW"],"uri":["http://zotero.org/groups/2851760/items/456AC3SW"],"itemData":{"id":3152,"type":"report","title":"Costs for a hospital stay for COVID-19","URL":"https://www.fairhealth.org/article/costs-for-a-hospital-stay-for-covid-19","author":[{"family":"FAIR Health","given":""}],"accessed":{"date-parts":[["2021",7,27]]}}}],"schema":"https://github.com/citation-style-language/schema/raw/master/csl-citation.json"} </w:instrText>
      </w:r>
      <w:r w:rsidR="00614E8D">
        <w:rPr>
          <w:rFonts w:ascii="Times New Roman" w:eastAsiaTheme="minorEastAsia" w:hAnsi="Times New Roman" w:cs="Times New Roman"/>
          <w:sz w:val="24"/>
          <w:szCs w:val="24"/>
        </w:rPr>
        <w:fldChar w:fldCharType="separate"/>
      </w:r>
      <w:r w:rsidR="00A33F4A" w:rsidRPr="00A33F4A">
        <w:rPr>
          <w:rFonts w:ascii="Times New Roman" w:hAnsi="Times New Roman" w:cs="Times New Roman"/>
          <w:sz w:val="24"/>
          <w:szCs w:val="24"/>
          <w:vertAlign w:val="superscript"/>
        </w:rPr>
        <w:t>6</w:t>
      </w:r>
      <w:r w:rsidR="00614E8D">
        <w:rPr>
          <w:rFonts w:ascii="Times New Roman" w:eastAsiaTheme="minorEastAsia" w:hAnsi="Times New Roman" w:cs="Times New Roman"/>
          <w:sz w:val="24"/>
          <w:szCs w:val="24"/>
        </w:rPr>
        <w:fldChar w:fldCharType="end"/>
      </w:r>
    </w:p>
    <w:p w14:paraId="03DC8E20" w14:textId="77777777" w:rsidR="00341A62" w:rsidRDefault="00341A62">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14:paraId="3F452104" w14:textId="31B216E0" w:rsidR="00341A62" w:rsidRDefault="00341A62" w:rsidP="00D85194">
      <w:pPr>
        <w:pStyle w:val="Heading3"/>
      </w:pPr>
      <w:bookmarkStart w:id="1" w:name="reporting-checklist-for-economic-evaluat"/>
      <w:bookmarkStart w:id="2" w:name="_Toc81219288"/>
      <w:bookmarkEnd w:id="1"/>
      <w:r>
        <w:lastRenderedPageBreak/>
        <w:t>Reporting checklist for economic evaluation of health interventions</w:t>
      </w:r>
      <w:r w:rsidR="00D85194">
        <w:t xml:space="preserve"> (CHEERS)</w:t>
      </w:r>
      <w:bookmarkEnd w:id="2"/>
    </w:p>
    <w:p w14:paraId="31DA5550" w14:textId="7B787FC0" w:rsidR="00341A62" w:rsidRDefault="00341A62" w:rsidP="00341A62">
      <w:bookmarkStart w:id="3" w:name="instructions-to-authors"/>
      <w:bookmarkEnd w:id="3"/>
    </w:p>
    <w:tbl>
      <w:tblPr>
        <w:tblW w:w="5000" w:type="pct"/>
        <w:tblLook w:val="07E0" w:firstRow="1" w:lastRow="1" w:firstColumn="1" w:lastColumn="1" w:noHBand="1" w:noVBand="1"/>
      </w:tblPr>
      <w:tblGrid>
        <w:gridCol w:w="2149"/>
        <w:gridCol w:w="665"/>
        <w:gridCol w:w="5232"/>
        <w:gridCol w:w="1314"/>
      </w:tblGrid>
      <w:tr w:rsidR="00341A62" w14:paraId="002F6F42" w14:textId="77777777" w:rsidTr="00EC0763">
        <w:tc>
          <w:tcPr>
            <w:tcW w:w="0" w:type="auto"/>
            <w:tcBorders>
              <w:bottom w:val="single" w:sz="0" w:space="0" w:color="auto"/>
            </w:tcBorders>
            <w:vAlign w:val="bottom"/>
          </w:tcPr>
          <w:p w14:paraId="2007B3A2" w14:textId="77777777" w:rsidR="00341A62" w:rsidRDefault="00341A62" w:rsidP="00EC0763"/>
        </w:tc>
        <w:tc>
          <w:tcPr>
            <w:tcW w:w="0" w:type="auto"/>
            <w:tcBorders>
              <w:bottom w:val="single" w:sz="0" w:space="0" w:color="auto"/>
            </w:tcBorders>
            <w:vAlign w:val="bottom"/>
          </w:tcPr>
          <w:p w14:paraId="628311F6" w14:textId="77777777" w:rsidR="00341A62" w:rsidRDefault="00341A62" w:rsidP="00EC0763"/>
        </w:tc>
        <w:tc>
          <w:tcPr>
            <w:tcW w:w="0" w:type="auto"/>
            <w:tcBorders>
              <w:bottom w:val="single" w:sz="0" w:space="0" w:color="auto"/>
            </w:tcBorders>
            <w:vAlign w:val="bottom"/>
          </w:tcPr>
          <w:p w14:paraId="5954E87A" w14:textId="77777777" w:rsidR="00341A62" w:rsidRDefault="00341A62" w:rsidP="00EC0763">
            <w:r>
              <w:t>Reporting Item</w:t>
            </w:r>
          </w:p>
        </w:tc>
        <w:tc>
          <w:tcPr>
            <w:tcW w:w="0" w:type="auto"/>
            <w:tcBorders>
              <w:bottom w:val="single" w:sz="0" w:space="0" w:color="auto"/>
            </w:tcBorders>
            <w:vAlign w:val="bottom"/>
          </w:tcPr>
          <w:p w14:paraId="29676F8E" w14:textId="77777777" w:rsidR="00341A62" w:rsidRDefault="00341A62" w:rsidP="00EC0763">
            <w:pPr>
              <w:jc w:val="right"/>
            </w:pPr>
            <w:r>
              <w:t>Page Number</w:t>
            </w:r>
          </w:p>
        </w:tc>
      </w:tr>
      <w:tr w:rsidR="00341A62" w14:paraId="63202C60" w14:textId="77777777" w:rsidTr="00EC0763">
        <w:tc>
          <w:tcPr>
            <w:tcW w:w="0" w:type="auto"/>
          </w:tcPr>
          <w:p w14:paraId="36CBF432" w14:textId="77777777" w:rsidR="00341A62" w:rsidRDefault="00341A62" w:rsidP="00EC0763">
            <w:r>
              <w:rPr>
                <w:b/>
              </w:rPr>
              <w:t>Title</w:t>
            </w:r>
          </w:p>
        </w:tc>
        <w:tc>
          <w:tcPr>
            <w:tcW w:w="0" w:type="auto"/>
          </w:tcPr>
          <w:p w14:paraId="4963E500" w14:textId="77777777" w:rsidR="00341A62" w:rsidRDefault="00341A62" w:rsidP="00EC0763"/>
        </w:tc>
        <w:tc>
          <w:tcPr>
            <w:tcW w:w="0" w:type="auto"/>
          </w:tcPr>
          <w:p w14:paraId="18551A21" w14:textId="77777777" w:rsidR="00341A62" w:rsidRDefault="00341A62" w:rsidP="00EC0763"/>
        </w:tc>
        <w:tc>
          <w:tcPr>
            <w:tcW w:w="0" w:type="auto"/>
          </w:tcPr>
          <w:p w14:paraId="13D81166" w14:textId="77777777" w:rsidR="00341A62" w:rsidRDefault="00341A62" w:rsidP="00EC0763"/>
        </w:tc>
      </w:tr>
      <w:tr w:rsidR="00341A62" w14:paraId="4245F62C" w14:textId="77777777" w:rsidTr="00EC0763">
        <w:tc>
          <w:tcPr>
            <w:tcW w:w="0" w:type="auto"/>
          </w:tcPr>
          <w:p w14:paraId="64535329" w14:textId="77777777" w:rsidR="00341A62" w:rsidRDefault="00341A62" w:rsidP="00EC0763"/>
        </w:tc>
        <w:tc>
          <w:tcPr>
            <w:tcW w:w="0" w:type="auto"/>
          </w:tcPr>
          <w:p w14:paraId="6BAA487F" w14:textId="77777777" w:rsidR="00341A62" w:rsidRDefault="0000699B" w:rsidP="00EC0763">
            <w:hyperlink r:id="rId11" w:anchor="1">
              <w:r w:rsidR="00341A62">
                <w:rPr>
                  <w:rStyle w:val="Hyperlink"/>
                </w:rPr>
                <w:t>#1</w:t>
              </w:r>
            </w:hyperlink>
          </w:p>
        </w:tc>
        <w:tc>
          <w:tcPr>
            <w:tcW w:w="0" w:type="auto"/>
          </w:tcPr>
          <w:p w14:paraId="7EAC32F5" w14:textId="77777777" w:rsidR="00341A62" w:rsidRDefault="00341A62" w:rsidP="00EC0763">
            <w:r>
              <w:t>Identify the study as an economic evaluation or use more specific terms such as “cost-effectiveness analysis”, and describe the interventions compared.</w:t>
            </w:r>
          </w:p>
        </w:tc>
        <w:tc>
          <w:tcPr>
            <w:tcW w:w="0" w:type="auto"/>
          </w:tcPr>
          <w:p w14:paraId="2F2BE6E7" w14:textId="5624AA7F" w:rsidR="00341A62" w:rsidRDefault="002B59D1" w:rsidP="00EC0763">
            <w:r>
              <w:t>1</w:t>
            </w:r>
          </w:p>
        </w:tc>
      </w:tr>
      <w:tr w:rsidR="00341A62" w14:paraId="7D2F6523" w14:textId="77777777" w:rsidTr="00EC0763">
        <w:tc>
          <w:tcPr>
            <w:tcW w:w="0" w:type="auto"/>
          </w:tcPr>
          <w:p w14:paraId="1101D00D" w14:textId="77777777" w:rsidR="00341A62" w:rsidRDefault="00341A62" w:rsidP="00EC0763">
            <w:r>
              <w:rPr>
                <w:b/>
              </w:rPr>
              <w:t>Abstract</w:t>
            </w:r>
          </w:p>
        </w:tc>
        <w:tc>
          <w:tcPr>
            <w:tcW w:w="0" w:type="auto"/>
          </w:tcPr>
          <w:p w14:paraId="0D9742F1" w14:textId="77777777" w:rsidR="00341A62" w:rsidRDefault="00341A62" w:rsidP="00EC0763"/>
        </w:tc>
        <w:tc>
          <w:tcPr>
            <w:tcW w:w="0" w:type="auto"/>
          </w:tcPr>
          <w:p w14:paraId="7EEFBE36" w14:textId="77777777" w:rsidR="00341A62" w:rsidRDefault="00341A62" w:rsidP="00EC0763"/>
        </w:tc>
        <w:tc>
          <w:tcPr>
            <w:tcW w:w="0" w:type="auto"/>
          </w:tcPr>
          <w:p w14:paraId="4E611354" w14:textId="77777777" w:rsidR="00341A62" w:rsidRDefault="00341A62" w:rsidP="00EC0763"/>
        </w:tc>
      </w:tr>
      <w:tr w:rsidR="00341A62" w14:paraId="11495F72" w14:textId="77777777" w:rsidTr="00EC0763">
        <w:tc>
          <w:tcPr>
            <w:tcW w:w="0" w:type="auto"/>
          </w:tcPr>
          <w:p w14:paraId="1E47F7F0" w14:textId="77777777" w:rsidR="00341A62" w:rsidRDefault="00341A62" w:rsidP="00EC0763"/>
        </w:tc>
        <w:tc>
          <w:tcPr>
            <w:tcW w:w="0" w:type="auto"/>
          </w:tcPr>
          <w:p w14:paraId="49FF6E5B" w14:textId="77777777" w:rsidR="00341A62" w:rsidRDefault="0000699B" w:rsidP="00EC0763">
            <w:hyperlink r:id="rId12" w:anchor="2">
              <w:r w:rsidR="00341A62">
                <w:rPr>
                  <w:rStyle w:val="Hyperlink"/>
                </w:rPr>
                <w:t>#2</w:t>
              </w:r>
            </w:hyperlink>
          </w:p>
        </w:tc>
        <w:tc>
          <w:tcPr>
            <w:tcW w:w="0" w:type="auto"/>
          </w:tcPr>
          <w:p w14:paraId="67396D6D" w14:textId="77777777" w:rsidR="00341A62" w:rsidRDefault="00341A62" w:rsidP="00EC0763">
            <w:r>
              <w:t>Provide a structured summary of objectives, perspective, setting, methods (including study design and inputs), results (including base case and uncertainty analyses), and conclusions</w:t>
            </w:r>
          </w:p>
        </w:tc>
        <w:tc>
          <w:tcPr>
            <w:tcW w:w="0" w:type="auto"/>
          </w:tcPr>
          <w:p w14:paraId="2127DCAB" w14:textId="5B2CDE94" w:rsidR="00341A62" w:rsidRDefault="005B637F" w:rsidP="00EC0763">
            <w:r>
              <w:t>2</w:t>
            </w:r>
          </w:p>
        </w:tc>
      </w:tr>
      <w:tr w:rsidR="00341A62" w14:paraId="6DA624D4" w14:textId="77777777" w:rsidTr="00EC0763">
        <w:tc>
          <w:tcPr>
            <w:tcW w:w="0" w:type="auto"/>
          </w:tcPr>
          <w:p w14:paraId="46DF4B4A" w14:textId="77777777" w:rsidR="00341A62" w:rsidRDefault="00341A62" w:rsidP="00EC0763">
            <w:r>
              <w:rPr>
                <w:b/>
              </w:rPr>
              <w:t>Introduction</w:t>
            </w:r>
          </w:p>
        </w:tc>
        <w:tc>
          <w:tcPr>
            <w:tcW w:w="0" w:type="auto"/>
          </w:tcPr>
          <w:p w14:paraId="7F583C88" w14:textId="77777777" w:rsidR="00341A62" w:rsidRDefault="00341A62" w:rsidP="00EC0763"/>
        </w:tc>
        <w:tc>
          <w:tcPr>
            <w:tcW w:w="0" w:type="auto"/>
          </w:tcPr>
          <w:p w14:paraId="771727C3" w14:textId="77777777" w:rsidR="00341A62" w:rsidRDefault="00341A62" w:rsidP="00EC0763"/>
        </w:tc>
        <w:tc>
          <w:tcPr>
            <w:tcW w:w="0" w:type="auto"/>
          </w:tcPr>
          <w:p w14:paraId="4E5D5581" w14:textId="77777777" w:rsidR="00341A62" w:rsidRDefault="00341A62" w:rsidP="00EC0763"/>
        </w:tc>
      </w:tr>
      <w:tr w:rsidR="00341A62" w14:paraId="749E6242" w14:textId="77777777" w:rsidTr="00EC0763">
        <w:tc>
          <w:tcPr>
            <w:tcW w:w="0" w:type="auto"/>
          </w:tcPr>
          <w:p w14:paraId="19DFD998" w14:textId="77777777" w:rsidR="00341A62" w:rsidRDefault="00341A62" w:rsidP="00EC0763">
            <w:r>
              <w:t>Background and objectives</w:t>
            </w:r>
          </w:p>
        </w:tc>
        <w:tc>
          <w:tcPr>
            <w:tcW w:w="0" w:type="auto"/>
          </w:tcPr>
          <w:p w14:paraId="3BAB6A5F" w14:textId="77777777" w:rsidR="00341A62" w:rsidRDefault="0000699B" w:rsidP="00EC0763">
            <w:hyperlink r:id="rId13" w:anchor="3">
              <w:r w:rsidR="00341A62">
                <w:rPr>
                  <w:rStyle w:val="Hyperlink"/>
                </w:rPr>
                <w:t>#3</w:t>
              </w:r>
            </w:hyperlink>
          </w:p>
        </w:tc>
        <w:tc>
          <w:tcPr>
            <w:tcW w:w="0" w:type="auto"/>
          </w:tcPr>
          <w:p w14:paraId="3A1C834C" w14:textId="77777777" w:rsidR="00341A62" w:rsidRDefault="00341A62" w:rsidP="00EC0763">
            <w:r>
              <w:t>Provide an explicit statement of the broader context for the study. Present the study question and its relevance for health policy or practice decisions</w:t>
            </w:r>
          </w:p>
        </w:tc>
        <w:tc>
          <w:tcPr>
            <w:tcW w:w="0" w:type="auto"/>
          </w:tcPr>
          <w:p w14:paraId="72E5CAB4" w14:textId="0DDD7822" w:rsidR="00341A62" w:rsidRDefault="00A357A0" w:rsidP="00EC0763">
            <w:r>
              <w:t>3-4</w:t>
            </w:r>
          </w:p>
        </w:tc>
      </w:tr>
      <w:tr w:rsidR="00341A62" w14:paraId="15AD3D5D" w14:textId="77777777" w:rsidTr="00EC0763">
        <w:tc>
          <w:tcPr>
            <w:tcW w:w="0" w:type="auto"/>
          </w:tcPr>
          <w:p w14:paraId="7B2C7C61" w14:textId="77777777" w:rsidR="00341A62" w:rsidRDefault="00341A62" w:rsidP="00EC0763">
            <w:r>
              <w:rPr>
                <w:b/>
              </w:rPr>
              <w:t>Methods</w:t>
            </w:r>
          </w:p>
        </w:tc>
        <w:tc>
          <w:tcPr>
            <w:tcW w:w="0" w:type="auto"/>
          </w:tcPr>
          <w:p w14:paraId="74AC7F8F" w14:textId="77777777" w:rsidR="00341A62" w:rsidRDefault="00341A62" w:rsidP="00EC0763"/>
        </w:tc>
        <w:tc>
          <w:tcPr>
            <w:tcW w:w="0" w:type="auto"/>
          </w:tcPr>
          <w:p w14:paraId="18A68790" w14:textId="77777777" w:rsidR="00341A62" w:rsidRDefault="00341A62" w:rsidP="00EC0763"/>
        </w:tc>
        <w:tc>
          <w:tcPr>
            <w:tcW w:w="0" w:type="auto"/>
          </w:tcPr>
          <w:p w14:paraId="47AB6778" w14:textId="77777777" w:rsidR="00341A62" w:rsidRDefault="00341A62" w:rsidP="00EC0763"/>
        </w:tc>
      </w:tr>
      <w:tr w:rsidR="00341A62" w14:paraId="0C23689B" w14:textId="77777777" w:rsidTr="00EC0763">
        <w:tc>
          <w:tcPr>
            <w:tcW w:w="0" w:type="auto"/>
          </w:tcPr>
          <w:p w14:paraId="3217D94D" w14:textId="77777777" w:rsidR="00341A62" w:rsidRDefault="00341A62" w:rsidP="00EC0763">
            <w:r>
              <w:t>Target population and subgroups</w:t>
            </w:r>
          </w:p>
        </w:tc>
        <w:tc>
          <w:tcPr>
            <w:tcW w:w="0" w:type="auto"/>
          </w:tcPr>
          <w:p w14:paraId="57F82182" w14:textId="77777777" w:rsidR="00341A62" w:rsidRDefault="0000699B" w:rsidP="00EC0763">
            <w:hyperlink r:id="rId14" w:anchor="4">
              <w:r w:rsidR="00341A62">
                <w:rPr>
                  <w:rStyle w:val="Hyperlink"/>
                </w:rPr>
                <w:t>#4</w:t>
              </w:r>
            </w:hyperlink>
          </w:p>
        </w:tc>
        <w:tc>
          <w:tcPr>
            <w:tcW w:w="0" w:type="auto"/>
          </w:tcPr>
          <w:p w14:paraId="652A5D74" w14:textId="77777777" w:rsidR="00341A62" w:rsidRDefault="00341A62" w:rsidP="00EC0763">
            <w:r>
              <w:t xml:space="preserve">Describe characteristics of the base case population and subgroups </w:t>
            </w:r>
            <w:proofErr w:type="spellStart"/>
            <w:r>
              <w:t>analysed</w:t>
            </w:r>
            <w:proofErr w:type="spellEnd"/>
            <w:r>
              <w:t>, including why they were chosen.</w:t>
            </w:r>
          </w:p>
        </w:tc>
        <w:tc>
          <w:tcPr>
            <w:tcW w:w="0" w:type="auto"/>
          </w:tcPr>
          <w:p w14:paraId="25501431" w14:textId="169263CD" w:rsidR="00341A62" w:rsidRDefault="007D596E" w:rsidP="00EC0763">
            <w:r>
              <w:t>5</w:t>
            </w:r>
          </w:p>
        </w:tc>
      </w:tr>
      <w:tr w:rsidR="00341A62" w14:paraId="088AD41E" w14:textId="77777777" w:rsidTr="00EC0763">
        <w:tc>
          <w:tcPr>
            <w:tcW w:w="0" w:type="auto"/>
          </w:tcPr>
          <w:p w14:paraId="4570BCC1" w14:textId="77777777" w:rsidR="00341A62" w:rsidRDefault="00341A62" w:rsidP="00EC0763">
            <w:r>
              <w:t>Setting and location</w:t>
            </w:r>
          </w:p>
        </w:tc>
        <w:tc>
          <w:tcPr>
            <w:tcW w:w="0" w:type="auto"/>
          </w:tcPr>
          <w:p w14:paraId="110605AB" w14:textId="77777777" w:rsidR="00341A62" w:rsidRDefault="0000699B" w:rsidP="00EC0763">
            <w:hyperlink r:id="rId15" w:anchor="5">
              <w:r w:rsidR="00341A62">
                <w:rPr>
                  <w:rStyle w:val="Hyperlink"/>
                </w:rPr>
                <w:t>#5</w:t>
              </w:r>
            </w:hyperlink>
          </w:p>
        </w:tc>
        <w:tc>
          <w:tcPr>
            <w:tcW w:w="0" w:type="auto"/>
          </w:tcPr>
          <w:p w14:paraId="2F142486" w14:textId="77777777" w:rsidR="00341A62" w:rsidRDefault="00341A62" w:rsidP="00EC0763">
            <w:r>
              <w:t>State relevant aspects of the system(s) in which the decision(s) need(s) to be made.</w:t>
            </w:r>
          </w:p>
        </w:tc>
        <w:tc>
          <w:tcPr>
            <w:tcW w:w="0" w:type="auto"/>
          </w:tcPr>
          <w:p w14:paraId="32C9F362" w14:textId="090B789B" w:rsidR="00341A62" w:rsidRDefault="007D596E" w:rsidP="00EC0763">
            <w:r>
              <w:t>5</w:t>
            </w:r>
          </w:p>
        </w:tc>
      </w:tr>
      <w:tr w:rsidR="00341A62" w14:paraId="7052B808" w14:textId="77777777" w:rsidTr="00EC0763">
        <w:tc>
          <w:tcPr>
            <w:tcW w:w="0" w:type="auto"/>
          </w:tcPr>
          <w:p w14:paraId="50F82A63" w14:textId="77777777" w:rsidR="00341A62" w:rsidRDefault="00341A62" w:rsidP="00EC0763">
            <w:r>
              <w:t>Study perspective</w:t>
            </w:r>
          </w:p>
        </w:tc>
        <w:tc>
          <w:tcPr>
            <w:tcW w:w="0" w:type="auto"/>
          </w:tcPr>
          <w:p w14:paraId="5B7EE73D" w14:textId="77777777" w:rsidR="00341A62" w:rsidRDefault="0000699B" w:rsidP="00EC0763">
            <w:hyperlink r:id="rId16" w:anchor="6">
              <w:r w:rsidR="00341A62">
                <w:rPr>
                  <w:rStyle w:val="Hyperlink"/>
                </w:rPr>
                <w:t>#6</w:t>
              </w:r>
            </w:hyperlink>
          </w:p>
        </w:tc>
        <w:tc>
          <w:tcPr>
            <w:tcW w:w="0" w:type="auto"/>
          </w:tcPr>
          <w:p w14:paraId="2E79EFBE" w14:textId="77777777" w:rsidR="00341A62" w:rsidRDefault="00341A62" w:rsidP="00EC0763">
            <w:r>
              <w:t>Describe the perspective of the study and relate this to the costs being evaluated.</w:t>
            </w:r>
          </w:p>
        </w:tc>
        <w:tc>
          <w:tcPr>
            <w:tcW w:w="0" w:type="auto"/>
          </w:tcPr>
          <w:p w14:paraId="16EF2B09" w14:textId="181E9094" w:rsidR="00341A62" w:rsidRDefault="007D596E" w:rsidP="00EC0763">
            <w:r>
              <w:t>5</w:t>
            </w:r>
          </w:p>
        </w:tc>
      </w:tr>
      <w:tr w:rsidR="00341A62" w14:paraId="32F2B5E4" w14:textId="77777777" w:rsidTr="00EC0763">
        <w:tc>
          <w:tcPr>
            <w:tcW w:w="0" w:type="auto"/>
          </w:tcPr>
          <w:p w14:paraId="306AFADA" w14:textId="77777777" w:rsidR="00341A62" w:rsidRDefault="00341A62" w:rsidP="00EC0763">
            <w:r>
              <w:t>Comparators</w:t>
            </w:r>
          </w:p>
        </w:tc>
        <w:tc>
          <w:tcPr>
            <w:tcW w:w="0" w:type="auto"/>
          </w:tcPr>
          <w:p w14:paraId="13263F0F" w14:textId="77777777" w:rsidR="00341A62" w:rsidRDefault="0000699B" w:rsidP="00EC0763">
            <w:hyperlink r:id="rId17" w:anchor="7">
              <w:r w:rsidR="00341A62">
                <w:rPr>
                  <w:rStyle w:val="Hyperlink"/>
                </w:rPr>
                <w:t>#7</w:t>
              </w:r>
            </w:hyperlink>
          </w:p>
        </w:tc>
        <w:tc>
          <w:tcPr>
            <w:tcW w:w="0" w:type="auto"/>
          </w:tcPr>
          <w:p w14:paraId="3D4DEF53" w14:textId="77777777" w:rsidR="00341A62" w:rsidRDefault="00341A62" w:rsidP="00EC0763">
            <w:r>
              <w:t>Describe the interventions or strategies being compared and state why they were chosen.</w:t>
            </w:r>
          </w:p>
        </w:tc>
        <w:tc>
          <w:tcPr>
            <w:tcW w:w="0" w:type="auto"/>
          </w:tcPr>
          <w:p w14:paraId="71E32AED" w14:textId="679D2F11" w:rsidR="00341A62" w:rsidRDefault="007D596E" w:rsidP="00EC0763">
            <w:r>
              <w:t>5</w:t>
            </w:r>
          </w:p>
        </w:tc>
      </w:tr>
      <w:tr w:rsidR="00341A62" w14:paraId="3798D9C8" w14:textId="77777777" w:rsidTr="00EC0763">
        <w:tc>
          <w:tcPr>
            <w:tcW w:w="0" w:type="auto"/>
          </w:tcPr>
          <w:p w14:paraId="2438C5F8" w14:textId="77777777" w:rsidR="00341A62" w:rsidRDefault="00341A62" w:rsidP="00EC0763">
            <w:r>
              <w:t>Time horizon</w:t>
            </w:r>
          </w:p>
        </w:tc>
        <w:tc>
          <w:tcPr>
            <w:tcW w:w="0" w:type="auto"/>
          </w:tcPr>
          <w:p w14:paraId="310F8247" w14:textId="77777777" w:rsidR="00341A62" w:rsidRDefault="0000699B" w:rsidP="00EC0763">
            <w:hyperlink r:id="rId18" w:anchor="8">
              <w:r w:rsidR="00341A62">
                <w:rPr>
                  <w:rStyle w:val="Hyperlink"/>
                </w:rPr>
                <w:t>#8</w:t>
              </w:r>
            </w:hyperlink>
          </w:p>
        </w:tc>
        <w:tc>
          <w:tcPr>
            <w:tcW w:w="0" w:type="auto"/>
          </w:tcPr>
          <w:p w14:paraId="3B05A6B3" w14:textId="77777777" w:rsidR="00341A62" w:rsidRDefault="00341A62" w:rsidP="00EC0763">
            <w:r>
              <w:t>State the time horizon(s) over which costs and consequences are being evaluated and say why appropriate.</w:t>
            </w:r>
          </w:p>
        </w:tc>
        <w:tc>
          <w:tcPr>
            <w:tcW w:w="0" w:type="auto"/>
          </w:tcPr>
          <w:p w14:paraId="62D8F0C0" w14:textId="0E0B72D3" w:rsidR="00341A62" w:rsidRDefault="00003C9A" w:rsidP="00EC0763">
            <w:r>
              <w:t>5</w:t>
            </w:r>
          </w:p>
        </w:tc>
      </w:tr>
      <w:tr w:rsidR="00341A62" w14:paraId="6282FCF6" w14:textId="77777777" w:rsidTr="00EC0763">
        <w:tc>
          <w:tcPr>
            <w:tcW w:w="0" w:type="auto"/>
          </w:tcPr>
          <w:p w14:paraId="7DE793EF" w14:textId="77777777" w:rsidR="00341A62" w:rsidRDefault="00341A62" w:rsidP="00EC0763">
            <w:r>
              <w:t>Discount rate</w:t>
            </w:r>
          </w:p>
        </w:tc>
        <w:tc>
          <w:tcPr>
            <w:tcW w:w="0" w:type="auto"/>
          </w:tcPr>
          <w:p w14:paraId="38234690" w14:textId="77777777" w:rsidR="00341A62" w:rsidRDefault="0000699B" w:rsidP="00EC0763">
            <w:hyperlink r:id="rId19" w:anchor="9">
              <w:r w:rsidR="00341A62">
                <w:rPr>
                  <w:rStyle w:val="Hyperlink"/>
                </w:rPr>
                <w:t>#9</w:t>
              </w:r>
            </w:hyperlink>
          </w:p>
        </w:tc>
        <w:tc>
          <w:tcPr>
            <w:tcW w:w="0" w:type="auto"/>
          </w:tcPr>
          <w:p w14:paraId="3C56DD33" w14:textId="77777777" w:rsidR="00341A62" w:rsidRDefault="00341A62" w:rsidP="00EC0763">
            <w:r>
              <w:t>Report the choice of discount rate(s) used for costs and outcomes and say why appropriate</w:t>
            </w:r>
          </w:p>
        </w:tc>
        <w:tc>
          <w:tcPr>
            <w:tcW w:w="0" w:type="auto"/>
          </w:tcPr>
          <w:p w14:paraId="6B70D407" w14:textId="6840C2B8" w:rsidR="00341A62" w:rsidRDefault="00003C9A" w:rsidP="00EC0763">
            <w:r>
              <w:t>5</w:t>
            </w:r>
          </w:p>
        </w:tc>
      </w:tr>
      <w:tr w:rsidR="00341A62" w14:paraId="0EFF71D9" w14:textId="77777777" w:rsidTr="00EC0763">
        <w:tc>
          <w:tcPr>
            <w:tcW w:w="0" w:type="auto"/>
          </w:tcPr>
          <w:p w14:paraId="562F6346" w14:textId="77777777" w:rsidR="00341A62" w:rsidRDefault="00341A62" w:rsidP="00EC0763">
            <w:r>
              <w:t>Choice of health outcomes</w:t>
            </w:r>
          </w:p>
        </w:tc>
        <w:tc>
          <w:tcPr>
            <w:tcW w:w="0" w:type="auto"/>
          </w:tcPr>
          <w:p w14:paraId="73006292" w14:textId="77777777" w:rsidR="00341A62" w:rsidRDefault="0000699B" w:rsidP="00EC0763">
            <w:hyperlink r:id="rId20" w:anchor="10">
              <w:r w:rsidR="00341A62">
                <w:rPr>
                  <w:rStyle w:val="Hyperlink"/>
                </w:rPr>
                <w:t>#10</w:t>
              </w:r>
            </w:hyperlink>
          </w:p>
        </w:tc>
        <w:tc>
          <w:tcPr>
            <w:tcW w:w="0" w:type="auto"/>
          </w:tcPr>
          <w:p w14:paraId="70D27BB0" w14:textId="77777777" w:rsidR="00341A62" w:rsidRDefault="00341A62" w:rsidP="00EC0763">
            <w:r>
              <w:t>Describe what outcomes were used as the measure(s) of benefit in the evaluation and their relevance for the type of analysis performed</w:t>
            </w:r>
          </w:p>
        </w:tc>
        <w:tc>
          <w:tcPr>
            <w:tcW w:w="0" w:type="auto"/>
          </w:tcPr>
          <w:p w14:paraId="55E00A7E" w14:textId="4B47450F" w:rsidR="00341A62" w:rsidRDefault="00C80E07" w:rsidP="00EC0763">
            <w:r>
              <w:t>5</w:t>
            </w:r>
          </w:p>
        </w:tc>
      </w:tr>
      <w:tr w:rsidR="00341A62" w14:paraId="105BE5FC" w14:textId="77777777" w:rsidTr="00EC0763">
        <w:tc>
          <w:tcPr>
            <w:tcW w:w="0" w:type="auto"/>
          </w:tcPr>
          <w:p w14:paraId="78BF3EC9" w14:textId="1EC2FC0E" w:rsidR="00341A62" w:rsidRDefault="00341A62" w:rsidP="00EC0763">
            <w:r>
              <w:lastRenderedPageBreak/>
              <w:t>Mea</w:t>
            </w:r>
            <w:r w:rsidR="00707446">
              <w:t>s</w:t>
            </w:r>
            <w:r>
              <w:t>urement of effectiveness</w:t>
            </w:r>
          </w:p>
        </w:tc>
        <w:tc>
          <w:tcPr>
            <w:tcW w:w="0" w:type="auto"/>
          </w:tcPr>
          <w:p w14:paraId="5BD8A49F" w14:textId="77777777" w:rsidR="00341A62" w:rsidRDefault="0000699B" w:rsidP="00EC0763">
            <w:hyperlink r:id="rId21" w:anchor="11a">
              <w:r w:rsidR="00341A62">
                <w:rPr>
                  <w:rStyle w:val="Hyperlink"/>
                </w:rPr>
                <w:t>#11a</w:t>
              </w:r>
            </w:hyperlink>
          </w:p>
        </w:tc>
        <w:tc>
          <w:tcPr>
            <w:tcW w:w="0" w:type="auto"/>
          </w:tcPr>
          <w:p w14:paraId="21304E7E" w14:textId="77777777" w:rsidR="00341A62" w:rsidRDefault="00341A62" w:rsidP="00EC0763">
            <w:r>
              <w:t>Single study-based estimates: Describe fully the design features of the single effectiveness study and why the single study was a sufficient source of clinical effectiveness data</w:t>
            </w:r>
          </w:p>
        </w:tc>
        <w:tc>
          <w:tcPr>
            <w:tcW w:w="0" w:type="auto"/>
          </w:tcPr>
          <w:p w14:paraId="553FEC5F" w14:textId="08313C5A" w:rsidR="00341A62" w:rsidRDefault="00C80E07" w:rsidP="00EC0763">
            <w:r>
              <w:t>5</w:t>
            </w:r>
          </w:p>
        </w:tc>
      </w:tr>
      <w:tr w:rsidR="00341A62" w14:paraId="5CAC43D0" w14:textId="77777777" w:rsidTr="00EC0763">
        <w:tc>
          <w:tcPr>
            <w:tcW w:w="0" w:type="auto"/>
          </w:tcPr>
          <w:p w14:paraId="3092B67C" w14:textId="77777777" w:rsidR="00341A62" w:rsidRDefault="00341A62" w:rsidP="00EC0763">
            <w:r>
              <w:t>Measurement of effectiveness</w:t>
            </w:r>
          </w:p>
        </w:tc>
        <w:tc>
          <w:tcPr>
            <w:tcW w:w="0" w:type="auto"/>
          </w:tcPr>
          <w:p w14:paraId="076F86E5" w14:textId="77777777" w:rsidR="00341A62" w:rsidRDefault="0000699B" w:rsidP="00EC0763">
            <w:hyperlink r:id="rId22" w:anchor="11b">
              <w:r w:rsidR="00341A62">
                <w:rPr>
                  <w:rStyle w:val="Hyperlink"/>
                </w:rPr>
                <w:t>#11b</w:t>
              </w:r>
            </w:hyperlink>
          </w:p>
        </w:tc>
        <w:tc>
          <w:tcPr>
            <w:tcW w:w="0" w:type="auto"/>
          </w:tcPr>
          <w:p w14:paraId="5C96BC7B" w14:textId="77777777" w:rsidR="00341A62" w:rsidRDefault="00341A62" w:rsidP="00EC0763">
            <w:r>
              <w:t>Synthesis-based estimates: Describe fully the methods used for identification of included studies and synthesis of clinical effectiveness data</w:t>
            </w:r>
          </w:p>
        </w:tc>
        <w:tc>
          <w:tcPr>
            <w:tcW w:w="0" w:type="auto"/>
          </w:tcPr>
          <w:p w14:paraId="1DC9AADB" w14:textId="5AC745F1" w:rsidR="00341A62" w:rsidRDefault="00253E7E" w:rsidP="00EC0763">
            <w:r>
              <w:t>NA</w:t>
            </w:r>
          </w:p>
        </w:tc>
      </w:tr>
      <w:tr w:rsidR="00341A62" w14:paraId="14F7F73C" w14:textId="77777777" w:rsidTr="00EC0763">
        <w:tc>
          <w:tcPr>
            <w:tcW w:w="0" w:type="auto"/>
          </w:tcPr>
          <w:p w14:paraId="57B25B80" w14:textId="77777777" w:rsidR="00341A62" w:rsidRDefault="00341A62" w:rsidP="00EC0763">
            <w:r>
              <w:t xml:space="preserve">Measurement and valuation of </w:t>
            </w:r>
            <w:proofErr w:type="gramStart"/>
            <w:r>
              <w:t>preference based</w:t>
            </w:r>
            <w:proofErr w:type="gramEnd"/>
            <w:r>
              <w:t xml:space="preserve"> outcomes</w:t>
            </w:r>
          </w:p>
        </w:tc>
        <w:tc>
          <w:tcPr>
            <w:tcW w:w="0" w:type="auto"/>
          </w:tcPr>
          <w:p w14:paraId="706D2EA4" w14:textId="77777777" w:rsidR="00341A62" w:rsidRDefault="0000699B" w:rsidP="00EC0763">
            <w:hyperlink r:id="rId23" w:anchor="12">
              <w:r w:rsidR="00341A62">
                <w:rPr>
                  <w:rStyle w:val="Hyperlink"/>
                </w:rPr>
                <w:t>#12</w:t>
              </w:r>
            </w:hyperlink>
          </w:p>
        </w:tc>
        <w:tc>
          <w:tcPr>
            <w:tcW w:w="0" w:type="auto"/>
          </w:tcPr>
          <w:p w14:paraId="27A32E0F" w14:textId="77777777" w:rsidR="00341A62" w:rsidRDefault="00341A62" w:rsidP="00EC0763">
            <w:r>
              <w:t>If applicable, describe the population and methods used to elicit preferences for outcomes.</w:t>
            </w:r>
          </w:p>
        </w:tc>
        <w:tc>
          <w:tcPr>
            <w:tcW w:w="0" w:type="auto"/>
          </w:tcPr>
          <w:p w14:paraId="3A2ABF41" w14:textId="23D56962" w:rsidR="00341A62" w:rsidRDefault="00253E7E" w:rsidP="00EC0763">
            <w:r>
              <w:t>NA</w:t>
            </w:r>
          </w:p>
        </w:tc>
      </w:tr>
      <w:tr w:rsidR="00341A62" w14:paraId="7B280CA6" w14:textId="77777777" w:rsidTr="00EC0763">
        <w:trPr>
          <w:gridAfter w:val="3"/>
        </w:trPr>
        <w:tc>
          <w:tcPr>
            <w:tcW w:w="0" w:type="auto"/>
          </w:tcPr>
          <w:p w14:paraId="07D46B61" w14:textId="77777777" w:rsidR="00341A62" w:rsidRDefault="00341A62" w:rsidP="00EC0763">
            <w:r>
              <w:t>**Estimating resources</w:t>
            </w:r>
          </w:p>
        </w:tc>
      </w:tr>
      <w:tr w:rsidR="00341A62" w14:paraId="4E3BC96E" w14:textId="77777777" w:rsidTr="00EC0763">
        <w:tc>
          <w:tcPr>
            <w:tcW w:w="0" w:type="auto"/>
          </w:tcPr>
          <w:p w14:paraId="4A7A4726" w14:textId="77777777" w:rsidR="00341A62" w:rsidRDefault="00341A62" w:rsidP="00EC0763">
            <w:r>
              <w:t>and costs **</w:t>
            </w:r>
          </w:p>
        </w:tc>
        <w:tc>
          <w:tcPr>
            <w:tcW w:w="0" w:type="auto"/>
          </w:tcPr>
          <w:p w14:paraId="5008469C" w14:textId="77777777" w:rsidR="00341A62" w:rsidRDefault="00341A62" w:rsidP="00EC0763"/>
        </w:tc>
        <w:tc>
          <w:tcPr>
            <w:tcW w:w="0" w:type="auto"/>
          </w:tcPr>
          <w:p w14:paraId="6889A549" w14:textId="77777777" w:rsidR="00341A62" w:rsidRDefault="00341A62" w:rsidP="00EC0763"/>
        </w:tc>
        <w:tc>
          <w:tcPr>
            <w:tcW w:w="0" w:type="auto"/>
          </w:tcPr>
          <w:p w14:paraId="0396E0D4" w14:textId="77777777" w:rsidR="00341A62" w:rsidRDefault="00341A62" w:rsidP="00EC0763"/>
        </w:tc>
      </w:tr>
      <w:tr w:rsidR="00341A62" w14:paraId="09196176" w14:textId="77777777" w:rsidTr="00EC0763">
        <w:tc>
          <w:tcPr>
            <w:tcW w:w="0" w:type="auto"/>
          </w:tcPr>
          <w:p w14:paraId="66AB6570" w14:textId="77777777" w:rsidR="00341A62" w:rsidRDefault="00341A62" w:rsidP="00EC0763"/>
        </w:tc>
        <w:tc>
          <w:tcPr>
            <w:tcW w:w="0" w:type="auto"/>
          </w:tcPr>
          <w:p w14:paraId="585F69C7" w14:textId="77777777" w:rsidR="00341A62" w:rsidRDefault="0000699B" w:rsidP="00EC0763">
            <w:hyperlink r:id="rId24" w:anchor="13a">
              <w:r w:rsidR="00341A62">
                <w:rPr>
                  <w:rStyle w:val="Hyperlink"/>
                </w:rPr>
                <w:t>#13a</w:t>
              </w:r>
            </w:hyperlink>
          </w:p>
        </w:tc>
        <w:tc>
          <w:tcPr>
            <w:tcW w:w="0" w:type="auto"/>
          </w:tcPr>
          <w:p w14:paraId="5F69ED4E" w14:textId="77777777" w:rsidR="00341A62" w:rsidRDefault="00341A62" w:rsidP="00EC0763">
            <w:r>
              <w:t>Single study-based economic evaluation: Describe approaches used to estimate resource use associated with the alternative interventions. Describe primary or secondary research methods for valuing each resource item in terms of its unit cost. Describe any adjustments made to approximate to opportunity costs</w:t>
            </w:r>
          </w:p>
        </w:tc>
        <w:tc>
          <w:tcPr>
            <w:tcW w:w="0" w:type="auto"/>
          </w:tcPr>
          <w:p w14:paraId="7DC1A665" w14:textId="26CD1B91" w:rsidR="00341A62" w:rsidRDefault="00AB232A" w:rsidP="00EC0763">
            <w:r>
              <w:t>NA</w:t>
            </w:r>
          </w:p>
        </w:tc>
      </w:tr>
      <w:tr w:rsidR="00341A62" w14:paraId="1DCEA5CE" w14:textId="77777777" w:rsidTr="00EC0763">
        <w:tc>
          <w:tcPr>
            <w:tcW w:w="0" w:type="auto"/>
          </w:tcPr>
          <w:p w14:paraId="2DBCAD95" w14:textId="77777777" w:rsidR="00341A62" w:rsidRDefault="00341A62" w:rsidP="00EC0763">
            <w:r>
              <w:rPr>
                <w:b/>
              </w:rPr>
              <w:t>Methods</w:t>
            </w:r>
          </w:p>
        </w:tc>
        <w:tc>
          <w:tcPr>
            <w:tcW w:w="0" w:type="auto"/>
          </w:tcPr>
          <w:p w14:paraId="3A5BEC12" w14:textId="77777777" w:rsidR="00341A62" w:rsidRDefault="00341A62" w:rsidP="00EC0763"/>
        </w:tc>
        <w:tc>
          <w:tcPr>
            <w:tcW w:w="0" w:type="auto"/>
          </w:tcPr>
          <w:p w14:paraId="737C3831" w14:textId="77777777" w:rsidR="00341A62" w:rsidRDefault="00341A62" w:rsidP="00EC0763"/>
        </w:tc>
        <w:tc>
          <w:tcPr>
            <w:tcW w:w="0" w:type="auto"/>
          </w:tcPr>
          <w:p w14:paraId="7F849ED7" w14:textId="77777777" w:rsidR="00341A62" w:rsidRDefault="00341A62" w:rsidP="00EC0763"/>
        </w:tc>
      </w:tr>
      <w:tr w:rsidR="00341A62" w14:paraId="292B8228" w14:textId="77777777" w:rsidTr="00EC0763">
        <w:tc>
          <w:tcPr>
            <w:tcW w:w="0" w:type="auto"/>
          </w:tcPr>
          <w:p w14:paraId="1BBB8184" w14:textId="77777777" w:rsidR="00341A62" w:rsidRDefault="00341A62" w:rsidP="00EC0763">
            <w:r>
              <w:t>Estimating resources and costs</w:t>
            </w:r>
          </w:p>
        </w:tc>
        <w:tc>
          <w:tcPr>
            <w:tcW w:w="0" w:type="auto"/>
          </w:tcPr>
          <w:p w14:paraId="036468D8" w14:textId="77777777" w:rsidR="00341A62" w:rsidRDefault="0000699B" w:rsidP="00EC0763">
            <w:hyperlink r:id="rId25" w:anchor="13b">
              <w:r w:rsidR="00341A62">
                <w:rPr>
                  <w:rStyle w:val="Hyperlink"/>
                </w:rPr>
                <w:t>#13b</w:t>
              </w:r>
            </w:hyperlink>
          </w:p>
        </w:tc>
        <w:tc>
          <w:tcPr>
            <w:tcW w:w="0" w:type="auto"/>
          </w:tcPr>
          <w:p w14:paraId="3E16C950" w14:textId="77777777" w:rsidR="00341A62" w:rsidRDefault="00341A62" w:rsidP="00EC0763">
            <w:r>
              <w:t>Model-based economic evaluation: Describe approaches and data sources used to estimate resource use associated with model health states. Describe primary or secondary research methods for valuing each resource item in terms of its unit cost. Describe any adjustments made to approximate to opportunity costs.</w:t>
            </w:r>
          </w:p>
        </w:tc>
        <w:tc>
          <w:tcPr>
            <w:tcW w:w="0" w:type="auto"/>
          </w:tcPr>
          <w:p w14:paraId="0B35C74D" w14:textId="2E2B1DB2" w:rsidR="00341A62" w:rsidRDefault="00243742" w:rsidP="00EC0763">
            <w:r>
              <w:t>7</w:t>
            </w:r>
          </w:p>
        </w:tc>
      </w:tr>
      <w:tr w:rsidR="00341A62" w14:paraId="2279C768" w14:textId="77777777" w:rsidTr="00EC0763">
        <w:tc>
          <w:tcPr>
            <w:tcW w:w="0" w:type="auto"/>
          </w:tcPr>
          <w:p w14:paraId="052D0051" w14:textId="77777777" w:rsidR="00341A62" w:rsidRDefault="00341A62" w:rsidP="00EC0763">
            <w:r>
              <w:t>Currency, price date, and conversion</w:t>
            </w:r>
          </w:p>
        </w:tc>
        <w:tc>
          <w:tcPr>
            <w:tcW w:w="0" w:type="auto"/>
          </w:tcPr>
          <w:p w14:paraId="2A71D75A" w14:textId="77777777" w:rsidR="00341A62" w:rsidRDefault="0000699B" w:rsidP="00EC0763">
            <w:hyperlink r:id="rId26" w:anchor="14">
              <w:r w:rsidR="00341A62">
                <w:rPr>
                  <w:rStyle w:val="Hyperlink"/>
                </w:rPr>
                <w:t>#14</w:t>
              </w:r>
            </w:hyperlink>
          </w:p>
        </w:tc>
        <w:tc>
          <w:tcPr>
            <w:tcW w:w="0" w:type="auto"/>
          </w:tcPr>
          <w:p w14:paraId="6C5F6CD0" w14:textId="77777777" w:rsidR="00341A62" w:rsidRDefault="00341A62" w:rsidP="00EC0763">
            <w:r>
              <w:t>Report the dates of the estimated resource quantities and unit costs. Describe methods for adjusting estimated unit costs to the year of reported costs if necessary. Describe methods for converting costs into a common currency base and the exchange rate.</w:t>
            </w:r>
          </w:p>
        </w:tc>
        <w:tc>
          <w:tcPr>
            <w:tcW w:w="0" w:type="auto"/>
          </w:tcPr>
          <w:p w14:paraId="23DE4E97" w14:textId="1FCF3AF6" w:rsidR="00341A62" w:rsidRDefault="00243742" w:rsidP="00EC0763">
            <w:r>
              <w:t>7</w:t>
            </w:r>
          </w:p>
        </w:tc>
      </w:tr>
      <w:tr w:rsidR="00341A62" w14:paraId="36D87979" w14:textId="77777777" w:rsidTr="00EC0763">
        <w:tc>
          <w:tcPr>
            <w:tcW w:w="0" w:type="auto"/>
          </w:tcPr>
          <w:p w14:paraId="34E39E60" w14:textId="77777777" w:rsidR="00341A62" w:rsidRDefault="00341A62" w:rsidP="00EC0763">
            <w:r>
              <w:t>Choice of model</w:t>
            </w:r>
          </w:p>
        </w:tc>
        <w:tc>
          <w:tcPr>
            <w:tcW w:w="0" w:type="auto"/>
          </w:tcPr>
          <w:p w14:paraId="1B3F8831" w14:textId="77777777" w:rsidR="00341A62" w:rsidRDefault="0000699B" w:rsidP="00EC0763">
            <w:hyperlink r:id="rId27" w:anchor="15">
              <w:r w:rsidR="00341A62">
                <w:rPr>
                  <w:rStyle w:val="Hyperlink"/>
                </w:rPr>
                <w:t>#15</w:t>
              </w:r>
            </w:hyperlink>
          </w:p>
        </w:tc>
        <w:tc>
          <w:tcPr>
            <w:tcW w:w="0" w:type="auto"/>
          </w:tcPr>
          <w:p w14:paraId="6F5885EE" w14:textId="77777777" w:rsidR="00341A62" w:rsidRDefault="00341A62" w:rsidP="00EC0763">
            <w:r>
              <w:t>Describe and give reasons for the specific type of decision analytical model used. Providing a figure to show model structure is strongly recommended.</w:t>
            </w:r>
          </w:p>
        </w:tc>
        <w:tc>
          <w:tcPr>
            <w:tcW w:w="0" w:type="auto"/>
          </w:tcPr>
          <w:p w14:paraId="3216FC44" w14:textId="72822948" w:rsidR="00341A62" w:rsidRDefault="00EF5B26" w:rsidP="00EC0763">
            <w:r>
              <w:t>8</w:t>
            </w:r>
          </w:p>
        </w:tc>
      </w:tr>
      <w:tr w:rsidR="00341A62" w14:paraId="14E9FFFE" w14:textId="77777777" w:rsidTr="00EC0763">
        <w:tc>
          <w:tcPr>
            <w:tcW w:w="0" w:type="auto"/>
          </w:tcPr>
          <w:p w14:paraId="29B8D659" w14:textId="77777777" w:rsidR="00341A62" w:rsidRDefault="00341A62" w:rsidP="00EC0763">
            <w:r>
              <w:t>Assumptions</w:t>
            </w:r>
          </w:p>
        </w:tc>
        <w:tc>
          <w:tcPr>
            <w:tcW w:w="0" w:type="auto"/>
          </w:tcPr>
          <w:p w14:paraId="3303E16F" w14:textId="77777777" w:rsidR="00341A62" w:rsidRDefault="0000699B" w:rsidP="00EC0763">
            <w:hyperlink r:id="rId28" w:anchor="16">
              <w:r w:rsidR="00341A62">
                <w:rPr>
                  <w:rStyle w:val="Hyperlink"/>
                </w:rPr>
                <w:t>#16</w:t>
              </w:r>
            </w:hyperlink>
          </w:p>
        </w:tc>
        <w:tc>
          <w:tcPr>
            <w:tcW w:w="0" w:type="auto"/>
          </w:tcPr>
          <w:p w14:paraId="36EC35A4" w14:textId="77777777" w:rsidR="00341A62" w:rsidRDefault="00341A62" w:rsidP="00EC0763">
            <w:r>
              <w:t>Describe all structural or other assumptions underpinning the decision-analytical model.</w:t>
            </w:r>
          </w:p>
        </w:tc>
        <w:tc>
          <w:tcPr>
            <w:tcW w:w="0" w:type="auto"/>
          </w:tcPr>
          <w:p w14:paraId="1ED2B803" w14:textId="6693D484" w:rsidR="00341A62" w:rsidRDefault="00E11F67" w:rsidP="00EC0763">
            <w:r>
              <w:t>8</w:t>
            </w:r>
          </w:p>
        </w:tc>
      </w:tr>
      <w:tr w:rsidR="00341A62" w14:paraId="4816F456" w14:textId="77777777" w:rsidTr="00EC0763">
        <w:tc>
          <w:tcPr>
            <w:tcW w:w="0" w:type="auto"/>
          </w:tcPr>
          <w:p w14:paraId="700E6FE3" w14:textId="77777777" w:rsidR="00341A62" w:rsidRDefault="00341A62" w:rsidP="00EC0763">
            <w:r>
              <w:lastRenderedPageBreak/>
              <w:t>Analytical methods</w:t>
            </w:r>
          </w:p>
        </w:tc>
        <w:tc>
          <w:tcPr>
            <w:tcW w:w="0" w:type="auto"/>
          </w:tcPr>
          <w:p w14:paraId="74E755A4" w14:textId="77777777" w:rsidR="00341A62" w:rsidRDefault="0000699B" w:rsidP="00EC0763">
            <w:hyperlink r:id="rId29" w:anchor="17">
              <w:r w:rsidR="00341A62">
                <w:rPr>
                  <w:rStyle w:val="Hyperlink"/>
                </w:rPr>
                <w:t>#17</w:t>
              </w:r>
            </w:hyperlink>
          </w:p>
        </w:tc>
        <w:tc>
          <w:tcPr>
            <w:tcW w:w="0" w:type="auto"/>
          </w:tcPr>
          <w:p w14:paraId="69CD7048" w14:textId="77777777" w:rsidR="00341A62" w:rsidRDefault="00341A62" w:rsidP="00EC0763">
            <w:r>
              <w:t xml:space="preserve">Describe all analytical methods supporting the evaluation. This could include methods for dealing with skewed, missing, or censored data; extrapolation methods; methods for pooling data; approaches to validate or </w:t>
            </w:r>
            <w:proofErr w:type="gramStart"/>
            <w:r>
              <w:t>make adjustments</w:t>
            </w:r>
            <w:proofErr w:type="gramEnd"/>
            <w:r>
              <w:t xml:space="preserve"> (such as half cycle corrections) to a model; and methods for handling population heterogeneity and uncertainty.</w:t>
            </w:r>
          </w:p>
        </w:tc>
        <w:tc>
          <w:tcPr>
            <w:tcW w:w="0" w:type="auto"/>
          </w:tcPr>
          <w:p w14:paraId="0959762B" w14:textId="504CB54D" w:rsidR="00341A62" w:rsidRDefault="00E11F67" w:rsidP="00EC0763">
            <w:r>
              <w:t>6</w:t>
            </w:r>
          </w:p>
        </w:tc>
      </w:tr>
      <w:tr w:rsidR="00341A62" w14:paraId="3E3CB295" w14:textId="77777777" w:rsidTr="00EC0763">
        <w:tc>
          <w:tcPr>
            <w:tcW w:w="0" w:type="auto"/>
          </w:tcPr>
          <w:p w14:paraId="33A8613B" w14:textId="77777777" w:rsidR="00341A62" w:rsidRDefault="00341A62" w:rsidP="00EC0763">
            <w:r>
              <w:rPr>
                <w:b/>
              </w:rPr>
              <w:t>Results</w:t>
            </w:r>
          </w:p>
        </w:tc>
        <w:tc>
          <w:tcPr>
            <w:tcW w:w="0" w:type="auto"/>
          </w:tcPr>
          <w:p w14:paraId="5DA6F40A" w14:textId="77777777" w:rsidR="00341A62" w:rsidRDefault="00341A62" w:rsidP="00EC0763"/>
        </w:tc>
        <w:tc>
          <w:tcPr>
            <w:tcW w:w="0" w:type="auto"/>
          </w:tcPr>
          <w:p w14:paraId="68ED1B24" w14:textId="77777777" w:rsidR="00341A62" w:rsidRDefault="00341A62" w:rsidP="00EC0763"/>
        </w:tc>
        <w:tc>
          <w:tcPr>
            <w:tcW w:w="0" w:type="auto"/>
          </w:tcPr>
          <w:p w14:paraId="6B37296A" w14:textId="77777777" w:rsidR="00341A62" w:rsidRDefault="00341A62" w:rsidP="00EC0763"/>
        </w:tc>
      </w:tr>
      <w:tr w:rsidR="00341A62" w14:paraId="57F9A466" w14:textId="77777777" w:rsidTr="00EC0763">
        <w:tc>
          <w:tcPr>
            <w:tcW w:w="0" w:type="auto"/>
          </w:tcPr>
          <w:p w14:paraId="399BC756" w14:textId="77777777" w:rsidR="00341A62" w:rsidRDefault="00341A62" w:rsidP="00EC0763">
            <w:r>
              <w:t>Study parameters</w:t>
            </w:r>
          </w:p>
        </w:tc>
        <w:tc>
          <w:tcPr>
            <w:tcW w:w="0" w:type="auto"/>
          </w:tcPr>
          <w:p w14:paraId="283AF37A" w14:textId="77777777" w:rsidR="00341A62" w:rsidRDefault="0000699B" w:rsidP="00EC0763">
            <w:hyperlink r:id="rId30" w:anchor="18">
              <w:r w:rsidR="00341A62">
                <w:rPr>
                  <w:rStyle w:val="Hyperlink"/>
                </w:rPr>
                <w:t>#18</w:t>
              </w:r>
            </w:hyperlink>
          </w:p>
        </w:tc>
        <w:tc>
          <w:tcPr>
            <w:tcW w:w="0" w:type="auto"/>
          </w:tcPr>
          <w:p w14:paraId="789B62DD" w14:textId="77777777" w:rsidR="00341A62" w:rsidRDefault="00341A62" w:rsidP="00EC0763">
            <w:r>
              <w:t>Report the values, ranges, references, and, if used, probability distributions for all parameters. Report reasons or sources for distributions used to represent uncertainty where appropriate. Providing a table to show the input values is strongly recommended.</w:t>
            </w:r>
          </w:p>
        </w:tc>
        <w:tc>
          <w:tcPr>
            <w:tcW w:w="0" w:type="auto"/>
          </w:tcPr>
          <w:p w14:paraId="7C2CA66D" w14:textId="208D333E" w:rsidR="00341A62" w:rsidRDefault="008A43BC" w:rsidP="00EC0763">
            <w:r>
              <w:t>Supplement</w:t>
            </w:r>
          </w:p>
        </w:tc>
      </w:tr>
      <w:tr w:rsidR="00341A62" w14:paraId="4FEC1469" w14:textId="77777777" w:rsidTr="00EC0763">
        <w:tc>
          <w:tcPr>
            <w:tcW w:w="0" w:type="auto"/>
          </w:tcPr>
          <w:p w14:paraId="1F24C030" w14:textId="77777777" w:rsidR="00341A62" w:rsidRDefault="00341A62" w:rsidP="00EC0763">
            <w:r>
              <w:t>Incremental costs and outcomes</w:t>
            </w:r>
          </w:p>
        </w:tc>
        <w:tc>
          <w:tcPr>
            <w:tcW w:w="0" w:type="auto"/>
          </w:tcPr>
          <w:p w14:paraId="5FEDB0D3" w14:textId="77777777" w:rsidR="00341A62" w:rsidRDefault="0000699B" w:rsidP="00EC0763">
            <w:hyperlink r:id="rId31" w:anchor="19">
              <w:r w:rsidR="00341A62">
                <w:rPr>
                  <w:rStyle w:val="Hyperlink"/>
                </w:rPr>
                <w:t>#19</w:t>
              </w:r>
            </w:hyperlink>
          </w:p>
        </w:tc>
        <w:tc>
          <w:tcPr>
            <w:tcW w:w="0" w:type="auto"/>
          </w:tcPr>
          <w:p w14:paraId="3CA5821E" w14:textId="77777777" w:rsidR="00341A62" w:rsidRDefault="00341A62" w:rsidP="00EC0763">
            <w:r>
              <w:t>For each intervention, report mean values for the main categories of estimated costs and outcomes of interest, as well as mean differences between the comparator groups. If applicable, report incremental cost-effectiveness ratios.</w:t>
            </w:r>
          </w:p>
        </w:tc>
        <w:tc>
          <w:tcPr>
            <w:tcW w:w="0" w:type="auto"/>
          </w:tcPr>
          <w:p w14:paraId="347D8F38" w14:textId="74250509" w:rsidR="00341A62" w:rsidRDefault="00F30622" w:rsidP="00EC0763">
            <w:r>
              <w:t>11</w:t>
            </w:r>
          </w:p>
        </w:tc>
      </w:tr>
      <w:tr w:rsidR="00341A62" w14:paraId="12B1A572" w14:textId="77777777" w:rsidTr="00EC0763">
        <w:tc>
          <w:tcPr>
            <w:tcW w:w="0" w:type="auto"/>
          </w:tcPr>
          <w:p w14:paraId="2ED7DB69" w14:textId="77777777" w:rsidR="00341A62" w:rsidRDefault="00341A62" w:rsidP="00EC0763">
            <w:proofErr w:type="spellStart"/>
            <w:r>
              <w:t>Characterising</w:t>
            </w:r>
            <w:proofErr w:type="spellEnd"/>
            <w:r>
              <w:t xml:space="preserve"> uncertainty</w:t>
            </w:r>
          </w:p>
        </w:tc>
        <w:tc>
          <w:tcPr>
            <w:tcW w:w="0" w:type="auto"/>
          </w:tcPr>
          <w:p w14:paraId="2A0907C3" w14:textId="77777777" w:rsidR="00341A62" w:rsidRDefault="0000699B" w:rsidP="00EC0763">
            <w:hyperlink r:id="rId32" w:anchor="20a">
              <w:r w:rsidR="00341A62">
                <w:rPr>
                  <w:rStyle w:val="Hyperlink"/>
                </w:rPr>
                <w:t>#20a</w:t>
              </w:r>
            </w:hyperlink>
          </w:p>
        </w:tc>
        <w:tc>
          <w:tcPr>
            <w:tcW w:w="0" w:type="auto"/>
          </w:tcPr>
          <w:p w14:paraId="377B9BA8" w14:textId="77777777" w:rsidR="00341A62" w:rsidRDefault="00341A62" w:rsidP="00EC0763">
            <w:r>
              <w:t>Single study-based economic evaluation: Describe the effects of sampling uncertainty for the estimated incremental cost and incremental effectiveness parameters, together with the impact of methodological assumptions (such as discount rate, study perspective).</w:t>
            </w:r>
          </w:p>
        </w:tc>
        <w:tc>
          <w:tcPr>
            <w:tcW w:w="0" w:type="auto"/>
          </w:tcPr>
          <w:p w14:paraId="1C0F5161" w14:textId="73E889FB" w:rsidR="00341A62" w:rsidRDefault="0079283D" w:rsidP="00EC0763">
            <w:r>
              <w:t>NA</w:t>
            </w:r>
          </w:p>
        </w:tc>
      </w:tr>
      <w:tr w:rsidR="00341A62" w14:paraId="571591C1" w14:textId="77777777" w:rsidTr="00EC0763">
        <w:tc>
          <w:tcPr>
            <w:tcW w:w="0" w:type="auto"/>
          </w:tcPr>
          <w:p w14:paraId="4424CA86" w14:textId="77777777" w:rsidR="00341A62" w:rsidRDefault="00341A62" w:rsidP="00EC0763">
            <w:proofErr w:type="spellStart"/>
            <w:r>
              <w:t>Characterising</w:t>
            </w:r>
            <w:proofErr w:type="spellEnd"/>
            <w:r>
              <w:t xml:space="preserve"> uncertainty</w:t>
            </w:r>
          </w:p>
        </w:tc>
        <w:tc>
          <w:tcPr>
            <w:tcW w:w="0" w:type="auto"/>
          </w:tcPr>
          <w:p w14:paraId="527A54CA" w14:textId="77777777" w:rsidR="00341A62" w:rsidRDefault="0000699B" w:rsidP="00EC0763">
            <w:hyperlink r:id="rId33" w:anchor="20b">
              <w:r w:rsidR="00341A62">
                <w:rPr>
                  <w:rStyle w:val="Hyperlink"/>
                </w:rPr>
                <w:t>#20b</w:t>
              </w:r>
            </w:hyperlink>
          </w:p>
        </w:tc>
        <w:tc>
          <w:tcPr>
            <w:tcW w:w="0" w:type="auto"/>
          </w:tcPr>
          <w:p w14:paraId="3A13A89E" w14:textId="77777777" w:rsidR="00341A62" w:rsidRDefault="00341A62" w:rsidP="00EC0763">
            <w:r>
              <w:t>Model-based economic evaluation: Describe the effects on the results of uncertainty for all input parameters, and uncertainty related to the structure of the model and assumptions.</w:t>
            </w:r>
          </w:p>
        </w:tc>
        <w:tc>
          <w:tcPr>
            <w:tcW w:w="0" w:type="auto"/>
          </w:tcPr>
          <w:p w14:paraId="1F388A12" w14:textId="2A54114C" w:rsidR="00341A62" w:rsidRDefault="006E619E" w:rsidP="00EC0763">
            <w:r>
              <w:t>6</w:t>
            </w:r>
          </w:p>
        </w:tc>
      </w:tr>
      <w:tr w:rsidR="00341A62" w14:paraId="751A346F" w14:textId="77777777" w:rsidTr="00EC0763">
        <w:tc>
          <w:tcPr>
            <w:tcW w:w="0" w:type="auto"/>
          </w:tcPr>
          <w:p w14:paraId="7185824F" w14:textId="77777777" w:rsidR="00341A62" w:rsidRDefault="00341A62" w:rsidP="00EC0763">
            <w:proofErr w:type="spellStart"/>
            <w:r>
              <w:t>Characterising</w:t>
            </w:r>
            <w:proofErr w:type="spellEnd"/>
            <w:r>
              <w:t xml:space="preserve"> heterogeneity</w:t>
            </w:r>
          </w:p>
        </w:tc>
        <w:tc>
          <w:tcPr>
            <w:tcW w:w="0" w:type="auto"/>
          </w:tcPr>
          <w:p w14:paraId="29E511CD" w14:textId="77777777" w:rsidR="00341A62" w:rsidRDefault="0000699B" w:rsidP="00EC0763">
            <w:hyperlink r:id="rId34" w:anchor="21">
              <w:r w:rsidR="00341A62">
                <w:rPr>
                  <w:rStyle w:val="Hyperlink"/>
                </w:rPr>
                <w:t>#21</w:t>
              </w:r>
            </w:hyperlink>
          </w:p>
        </w:tc>
        <w:tc>
          <w:tcPr>
            <w:tcW w:w="0" w:type="auto"/>
          </w:tcPr>
          <w:p w14:paraId="53E8BE1D" w14:textId="77777777" w:rsidR="00341A62" w:rsidRDefault="00341A62" w:rsidP="00EC0763">
            <w:r>
              <w:t>If applicable, report differences in costs, outcomes, or cost effectiveness that can be explained by variations between subgroups of patients with different baseline characteristics or other observed variability in effects that are not reducible by more information.</w:t>
            </w:r>
          </w:p>
        </w:tc>
        <w:tc>
          <w:tcPr>
            <w:tcW w:w="0" w:type="auto"/>
          </w:tcPr>
          <w:p w14:paraId="22D233CE" w14:textId="3A34DF38" w:rsidR="00341A62" w:rsidRDefault="00E471B6" w:rsidP="00EC0763">
            <w:r>
              <w:t>NA</w:t>
            </w:r>
          </w:p>
        </w:tc>
      </w:tr>
      <w:tr w:rsidR="00341A62" w14:paraId="561C7FF0" w14:textId="77777777" w:rsidTr="00EC0763">
        <w:tc>
          <w:tcPr>
            <w:tcW w:w="0" w:type="auto"/>
          </w:tcPr>
          <w:p w14:paraId="095A74EC" w14:textId="77777777" w:rsidR="00341A62" w:rsidRDefault="00341A62" w:rsidP="00EC0763">
            <w:r>
              <w:rPr>
                <w:b/>
              </w:rPr>
              <w:t>Discussion</w:t>
            </w:r>
          </w:p>
        </w:tc>
        <w:tc>
          <w:tcPr>
            <w:tcW w:w="0" w:type="auto"/>
          </w:tcPr>
          <w:p w14:paraId="6E44391B" w14:textId="77777777" w:rsidR="00341A62" w:rsidRDefault="00341A62" w:rsidP="00EC0763"/>
        </w:tc>
        <w:tc>
          <w:tcPr>
            <w:tcW w:w="0" w:type="auto"/>
          </w:tcPr>
          <w:p w14:paraId="4A4FA390" w14:textId="77777777" w:rsidR="00341A62" w:rsidRDefault="00341A62" w:rsidP="00EC0763"/>
        </w:tc>
        <w:tc>
          <w:tcPr>
            <w:tcW w:w="0" w:type="auto"/>
          </w:tcPr>
          <w:p w14:paraId="6C42B4BC" w14:textId="77777777" w:rsidR="00341A62" w:rsidRDefault="00341A62" w:rsidP="00EC0763"/>
        </w:tc>
      </w:tr>
      <w:tr w:rsidR="00341A62" w14:paraId="53E5A7EB" w14:textId="77777777" w:rsidTr="00EC0763">
        <w:tc>
          <w:tcPr>
            <w:tcW w:w="0" w:type="auto"/>
          </w:tcPr>
          <w:p w14:paraId="1E650CE8" w14:textId="77777777" w:rsidR="00341A62" w:rsidRDefault="00341A62" w:rsidP="00EC0763">
            <w:r>
              <w:t xml:space="preserve">Study findings, limitations, </w:t>
            </w:r>
            <w:proofErr w:type="spellStart"/>
            <w:r>
              <w:t>generalisability</w:t>
            </w:r>
            <w:proofErr w:type="spellEnd"/>
            <w:r>
              <w:t>, and current knowledge</w:t>
            </w:r>
          </w:p>
        </w:tc>
        <w:tc>
          <w:tcPr>
            <w:tcW w:w="0" w:type="auto"/>
          </w:tcPr>
          <w:p w14:paraId="25ACD748" w14:textId="77777777" w:rsidR="00341A62" w:rsidRDefault="0000699B" w:rsidP="00EC0763">
            <w:hyperlink r:id="rId35" w:anchor="22">
              <w:r w:rsidR="00341A62">
                <w:rPr>
                  <w:rStyle w:val="Hyperlink"/>
                </w:rPr>
                <w:t>#22</w:t>
              </w:r>
            </w:hyperlink>
          </w:p>
        </w:tc>
        <w:tc>
          <w:tcPr>
            <w:tcW w:w="0" w:type="auto"/>
          </w:tcPr>
          <w:p w14:paraId="72CBA511" w14:textId="77777777" w:rsidR="00341A62" w:rsidRDefault="00341A62" w:rsidP="00EC0763">
            <w:proofErr w:type="spellStart"/>
            <w:r>
              <w:t>Summarise</w:t>
            </w:r>
            <w:proofErr w:type="spellEnd"/>
            <w:r>
              <w:t xml:space="preserve"> key study findings and describe how they support the conclusions reached. Discuss limitations and the </w:t>
            </w:r>
            <w:proofErr w:type="spellStart"/>
            <w:r>
              <w:t>generalisability</w:t>
            </w:r>
            <w:proofErr w:type="spellEnd"/>
            <w:r>
              <w:t xml:space="preserve"> of the findings and how the findings fit with current knowledge.</w:t>
            </w:r>
          </w:p>
        </w:tc>
        <w:tc>
          <w:tcPr>
            <w:tcW w:w="0" w:type="auto"/>
          </w:tcPr>
          <w:p w14:paraId="09887B0F" w14:textId="4671C0D4" w:rsidR="00341A62" w:rsidRDefault="00E07125" w:rsidP="00EC0763">
            <w:r>
              <w:t>12-13</w:t>
            </w:r>
          </w:p>
        </w:tc>
      </w:tr>
      <w:tr w:rsidR="00341A62" w14:paraId="07E7D202" w14:textId="77777777" w:rsidTr="00EC0763">
        <w:tc>
          <w:tcPr>
            <w:tcW w:w="0" w:type="auto"/>
          </w:tcPr>
          <w:p w14:paraId="2C67C86D" w14:textId="77777777" w:rsidR="00341A62" w:rsidRDefault="00341A62" w:rsidP="00EC0763">
            <w:r>
              <w:rPr>
                <w:b/>
              </w:rPr>
              <w:t>Other</w:t>
            </w:r>
          </w:p>
        </w:tc>
        <w:tc>
          <w:tcPr>
            <w:tcW w:w="0" w:type="auto"/>
          </w:tcPr>
          <w:p w14:paraId="2480C036" w14:textId="77777777" w:rsidR="00341A62" w:rsidRDefault="00341A62" w:rsidP="00EC0763"/>
        </w:tc>
        <w:tc>
          <w:tcPr>
            <w:tcW w:w="0" w:type="auto"/>
          </w:tcPr>
          <w:p w14:paraId="7A5A9D72" w14:textId="77777777" w:rsidR="00341A62" w:rsidRDefault="00341A62" w:rsidP="00EC0763"/>
        </w:tc>
        <w:tc>
          <w:tcPr>
            <w:tcW w:w="0" w:type="auto"/>
          </w:tcPr>
          <w:p w14:paraId="015729B6" w14:textId="77777777" w:rsidR="00341A62" w:rsidRDefault="00341A62" w:rsidP="00EC0763"/>
        </w:tc>
      </w:tr>
      <w:tr w:rsidR="00341A62" w14:paraId="48160B83" w14:textId="77777777" w:rsidTr="00EC0763">
        <w:tc>
          <w:tcPr>
            <w:tcW w:w="0" w:type="auto"/>
          </w:tcPr>
          <w:p w14:paraId="6370549E" w14:textId="77777777" w:rsidR="00341A62" w:rsidRDefault="00341A62" w:rsidP="00EC0763">
            <w:r>
              <w:lastRenderedPageBreak/>
              <w:t>Source of funding</w:t>
            </w:r>
          </w:p>
        </w:tc>
        <w:tc>
          <w:tcPr>
            <w:tcW w:w="0" w:type="auto"/>
          </w:tcPr>
          <w:p w14:paraId="676B1816" w14:textId="77777777" w:rsidR="00341A62" w:rsidRDefault="0000699B" w:rsidP="00EC0763">
            <w:hyperlink r:id="rId36" w:anchor="23">
              <w:r w:rsidR="00341A62">
                <w:rPr>
                  <w:rStyle w:val="Hyperlink"/>
                </w:rPr>
                <w:t>#23</w:t>
              </w:r>
            </w:hyperlink>
          </w:p>
        </w:tc>
        <w:tc>
          <w:tcPr>
            <w:tcW w:w="0" w:type="auto"/>
          </w:tcPr>
          <w:p w14:paraId="1287EEB1" w14:textId="77777777" w:rsidR="00341A62" w:rsidRDefault="00341A62" w:rsidP="00EC0763">
            <w:r>
              <w:t>Describe how the study was funded and the role of the funder in the identification, design, conduct, and reporting of the analysis. Describe other non-monetary sources of support</w:t>
            </w:r>
          </w:p>
        </w:tc>
        <w:tc>
          <w:tcPr>
            <w:tcW w:w="0" w:type="auto"/>
          </w:tcPr>
          <w:p w14:paraId="03DCC8F5" w14:textId="1BD55816" w:rsidR="00341A62" w:rsidRDefault="00D61431" w:rsidP="00EC0763">
            <w:r>
              <w:t>14</w:t>
            </w:r>
          </w:p>
        </w:tc>
      </w:tr>
      <w:tr w:rsidR="00341A62" w14:paraId="4CD11694" w14:textId="77777777" w:rsidTr="00EC0763">
        <w:tc>
          <w:tcPr>
            <w:tcW w:w="0" w:type="auto"/>
          </w:tcPr>
          <w:p w14:paraId="10C47663" w14:textId="77777777" w:rsidR="00341A62" w:rsidRDefault="00341A62" w:rsidP="00EC0763">
            <w:r>
              <w:t>Conflict of interest</w:t>
            </w:r>
          </w:p>
        </w:tc>
        <w:tc>
          <w:tcPr>
            <w:tcW w:w="0" w:type="auto"/>
          </w:tcPr>
          <w:p w14:paraId="5BFE669D" w14:textId="77777777" w:rsidR="00341A62" w:rsidRDefault="0000699B" w:rsidP="00EC0763">
            <w:hyperlink r:id="rId37" w:anchor="24">
              <w:r w:rsidR="00341A62">
                <w:rPr>
                  <w:rStyle w:val="Hyperlink"/>
                </w:rPr>
                <w:t>#24</w:t>
              </w:r>
            </w:hyperlink>
          </w:p>
        </w:tc>
        <w:tc>
          <w:tcPr>
            <w:tcW w:w="0" w:type="auto"/>
          </w:tcPr>
          <w:p w14:paraId="49B38D25" w14:textId="77777777" w:rsidR="00341A62" w:rsidRDefault="00341A62" w:rsidP="00EC0763">
            <w:r>
              <w:t>Describe any potential for conflict of interest of study contributors in accordance with journal policy. In the absence of a journal policy, we recommend authors comply with International Committee of Medical Journal Editors recommendations</w:t>
            </w:r>
          </w:p>
        </w:tc>
        <w:tc>
          <w:tcPr>
            <w:tcW w:w="0" w:type="auto"/>
          </w:tcPr>
          <w:p w14:paraId="083AA4CE" w14:textId="58DFF31D" w:rsidR="00341A62" w:rsidRDefault="00D61431" w:rsidP="00EC0763">
            <w:r>
              <w:t>14</w:t>
            </w:r>
          </w:p>
        </w:tc>
      </w:tr>
    </w:tbl>
    <w:p w14:paraId="0C5BF7E5" w14:textId="77777777" w:rsidR="00341A62" w:rsidRDefault="00341A62" w:rsidP="00341A62">
      <w:r>
        <w:t xml:space="preserve">None The CHEERS checklist is distributed under the terms of the Creative Commons Attribution License CC-BY-NC. This checklist can be completed online using </w:t>
      </w:r>
      <w:hyperlink r:id="rId38">
        <w:r>
          <w:rPr>
            <w:rStyle w:val="Hyperlink"/>
          </w:rPr>
          <w:t>https://www.goodreports.org/</w:t>
        </w:r>
      </w:hyperlink>
      <w:r>
        <w:t xml:space="preserve">, a tool made by the </w:t>
      </w:r>
      <w:hyperlink r:id="rId39">
        <w:r>
          <w:rPr>
            <w:rStyle w:val="Hyperlink"/>
          </w:rPr>
          <w:t>EQUATOR Network</w:t>
        </w:r>
      </w:hyperlink>
      <w:r>
        <w:t xml:space="preserve"> in collaboration with </w:t>
      </w:r>
      <w:hyperlink r:id="rId40">
        <w:r>
          <w:rPr>
            <w:rStyle w:val="Hyperlink"/>
          </w:rPr>
          <w:t>Penelope.ai</w:t>
        </w:r>
      </w:hyperlink>
    </w:p>
    <w:p w14:paraId="7B243F36" w14:textId="77777777" w:rsidR="00CC2658" w:rsidRPr="00FF4D1C" w:rsidRDefault="00CC2658" w:rsidP="00341A62">
      <w:pPr>
        <w:pStyle w:val="ListParagraph"/>
        <w:rPr>
          <w:rFonts w:ascii="Times New Roman" w:eastAsiaTheme="minorEastAsia" w:hAnsi="Times New Roman" w:cs="Times New Roman"/>
          <w:sz w:val="24"/>
          <w:szCs w:val="24"/>
        </w:rPr>
      </w:pPr>
    </w:p>
    <w:p w14:paraId="6F32A7DB" w14:textId="2F5D4558" w:rsidR="000812AA" w:rsidRDefault="000812AA">
      <w:r>
        <w:br w:type="page"/>
      </w:r>
    </w:p>
    <w:p w14:paraId="283A0096" w14:textId="20DE2F6F" w:rsidR="004B13B0" w:rsidRDefault="000812AA" w:rsidP="00755E1E">
      <w:pPr>
        <w:pStyle w:val="Heading3"/>
      </w:pPr>
      <w:bookmarkStart w:id="4" w:name="_Toc81219289"/>
      <w:r>
        <w:lastRenderedPageBreak/>
        <w:t>References</w:t>
      </w:r>
      <w:bookmarkEnd w:id="4"/>
    </w:p>
    <w:p w14:paraId="492AC178" w14:textId="77777777" w:rsidR="00A33F4A" w:rsidRPr="00A33F4A" w:rsidRDefault="000812AA" w:rsidP="00A33F4A">
      <w:pPr>
        <w:pStyle w:val="Bibliography"/>
        <w:rPr>
          <w:rFonts w:ascii="Calibri" w:hAnsi="Calibri" w:cs="Calibri"/>
        </w:rPr>
      </w:pPr>
      <w:r>
        <w:fldChar w:fldCharType="begin"/>
      </w:r>
      <w:r w:rsidR="00A33F4A">
        <w:instrText xml:space="preserve"> ADDIN ZOTERO_BIBL {"uncited":[],"omitted":[],"custom":[]} CSL_BIBLIOGRAPHY </w:instrText>
      </w:r>
      <w:r>
        <w:fldChar w:fldCharType="separate"/>
      </w:r>
      <w:r w:rsidR="00A33F4A" w:rsidRPr="00A33F4A">
        <w:rPr>
          <w:rFonts w:ascii="Calibri" w:hAnsi="Calibri" w:cs="Calibri"/>
        </w:rPr>
        <w:t xml:space="preserve">1. </w:t>
      </w:r>
      <w:r w:rsidR="00A33F4A" w:rsidRPr="00A33F4A">
        <w:rPr>
          <w:rFonts w:ascii="Calibri" w:hAnsi="Calibri" w:cs="Calibri"/>
        </w:rPr>
        <w:tab/>
        <w:t>CDC Case Surveillance Task Force. COVID-19  Case Surveillance Public Use Data [Internet]. [cited 2021 Jun 1]. Available from: https://dev.socrata.com/foundry/data.cdc.gov/vbim-akqf</w:t>
      </w:r>
    </w:p>
    <w:p w14:paraId="084CE673" w14:textId="77777777" w:rsidR="00A33F4A" w:rsidRPr="00A33F4A" w:rsidRDefault="00A33F4A" w:rsidP="00A33F4A">
      <w:pPr>
        <w:pStyle w:val="Bibliography"/>
        <w:rPr>
          <w:rFonts w:ascii="Calibri" w:hAnsi="Calibri" w:cs="Calibri"/>
        </w:rPr>
      </w:pPr>
      <w:r w:rsidRPr="00A33F4A">
        <w:rPr>
          <w:rFonts w:ascii="Calibri" w:hAnsi="Calibri" w:cs="Calibri"/>
        </w:rPr>
        <w:t xml:space="preserve">2. </w:t>
      </w:r>
      <w:r w:rsidRPr="00A33F4A">
        <w:rPr>
          <w:rFonts w:ascii="Calibri" w:hAnsi="Calibri" w:cs="Calibri"/>
        </w:rPr>
        <w:tab/>
        <w:t xml:space="preserve">U.S. Census Bureau. 2017 American Community Survey Public Use Microdata Samples. </w:t>
      </w:r>
    </w:p>
    <w:p w14:paraId="093172B1" w14:textId="77777777" w:rsidR="00A33F4A" w:rsidRPr="00A33F4A" w:rsidRDefault="00A33F4A" w:rsidP="00A33F4A">
      <w:pPr>
        <w:pStyle w:val="Bibliography"/>
        <w:rPr>
          <w:rFonts w:ascii="Calibri" w:hAnsi="Calibri" w:cs="Calibri"/>
        </w:rPr>
      </w:pPr>
      <w:r w:rsidRPr="00A33F4A">
        <w:rPr>
          <w:rFonts w:ascii="Calibri" w:hAnsi="Calibri" w:cs="Calibri"/>
        </w:rPr>
        <w:t xml:space="preserve">3. </w:t>
      </w:r>
      <w:r w:rsidRPr="00A33F4A">
        <w:rPr>
          <w:rFonts w:ascii="Calibri" w:hAnsi="Calibri" w:cs="Calibri"/>
        </w:rPr>
        <w:tab/>
        <w:t>O’Brien MP, Forleo-Neto E, Musser BJ, et al. Subcutaneous REGEN-COV Antibody Combination to Prevent Covid-19. N Engl J Med 2021;</w:t>
      </w:r>
    </w:p>
    <w:p w14:paraId="4909AA85" w14:textId="77777777" w:rsidR="00A33F4A" w:rsidRPr="00A33F4A" w:rsidRDefault="00A33F4A" w:rsidP="00A33F4A">
      <w:pPr>
        <w:pStyle w:val="Bibliography"/>
        <w:rPr>
          <w:rFonts w:ascii="Calibri" w:hAnsi="Calibri" w:cs="Calibri"/>
        </w:rPr>
      </w:pPr>
      <w:r w:rsidRPr="00A33F4A">
        <w:rPr>
          <w:rFonts w:ascii="Calibri" w:hAnsi="Calibri" w:cs="Calibri"/>
        </w:rPr>
        <w:t xml:space="preserve">4. </w:t>
      </w:r>
      <w:r w:rsidRPr="00A33F4A">
        <w:rPr>
          <w:rFonts w:ascii="Calibri" w:hAnsi="Calibri" w:cs="Calibri"/>
        </w:rPr>
        <w:tab/>
        <w:t>Eli Lilly and Company. Press Release: Lilly announces agreement with U.S. government to supply 300,000 vials of investigational neutralizing antibody bamlanivimab (LY-CoV555) in an effort to fight COVID-19 [Internet]. 2020 [cited 2021 Jul 27]. Available from: https://investor.lilly.com/news-releases/news-release-details/lilly-announces-agreement-us-government-supply-300000-vials</w:t>
      </w:r>
    </w:p>
    <w:p w14:paraId="12DF8F54" w14:textId="77777777" w:rsidR="00A33F4A" w:rsidRPr="00A33F4A" w:rsidRDefault="00A33F4A" w:rsidP="00A33F4A">
      <w:pPr>
        <w:pStyle w:val="Bibliography"/>
        <w:rPr>
          <w:rFonts w:ascii="Calibri" w:hAnsi="Calibri" w:cs="Calibri"/>
        </w:rPr>
      </w:pPr>
      <w:r w:rsidRPr="00A33F4A">
        <w:rPr>
          <w:rFonts w:ascii="Calibri" w:hAnsi="Calibri" w:cs="Calibri"/>
        </w:rPr>
        <w:t xml:space="preserve">5. </w:t>
      </w:r>
      <w:r w:rsidRPr="00A33F4A">
        <w:rPr>
          <w:rFonts w:ascii="Calibri" w:hAnsi="Calibri" w:cs="Calibri"/>
        </w:rPr>
        <w:tab/>
        <w:t xml:space="preserve">Wallace ZS, Harkness T, Blumenthal KG, Choi HK, Stone JH, Walensky RP. Increasing Operational Capacity and Reducing Costs of Rituximab Administration: A Costing Analysis. ACR Open Rheumatol 2020;2(5):261–8. </w:t>
      </w:r>
    </w:p>
    <w:p w14:paraId="258A4948" w14:textId="77777777" w:rsidR="00A33F4A" w:rsidRPr="00A33F4A" w:rsidRDefault="00A33F4A" w:rsidP="00A33F4A">
      <w:pPr>
        <w:pStyle w:val="Bibliography"/>
        <w:rPr>
          <w:rFonts w:ascii="Calibri" w:hAnsi="Calibri" w:cs="Calibri"/>
        </w:rPr>
      </w:pPr>
      <w:r w:rsidRPr="00A33F4A">
        <w:rPr>
          <w:rFonts w:ascii="Calibri" w:hAnsi="Calibri" w:cs="Calibri"/>
        </w:rPr>
        <w:t xml:space="preserve">6. </w:t>
      </w:r>
      <w:r w:rsidRPr="00A33F4A">
        <w:rPr>
          <w:rFonts w:ascii="Calibri" w:hAnsi="Calibri" w:cs="Calibri"/>
        </w:rPr>
        <w:tab/>
        <w:t>FAIR Health. Costs for a hospital stay for COVID-19 [Internet]. [cited 2021 Jul 27]. Available from: https://www.fairhealth.org/article/costs-for-a-hospital-stay-for-covid-19</w:t>
      </w:r>
    </w:p>
    <w:p w14:paraId="06CE7385" w14:textId="7B03CC5E" w:rsidR="000812AA" w:rsidRDefault="000812AA">
      <w:r>
        <w:fldChar w:fldCharType="end"/>
      </w:r>
    </w:p>
    <w:sectPr w:rsidR="000812AA">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2EEED" w14:textId="77777777" w:rsidR="00175197" w:rsidRDefault="00175197" w:rsidP="00175197">
      <w:pPr>
        <w:spacing w:after="0" w:line="240" w:lineRule="auto"/>
      </w:pPr>
      <w:r>
        <w:separator/>
      </w:r>
    </w:p>
  </w:endnote>
  <w:endnote w:type="continuationSeparator" w:id="0">
    <w:p w14:paraId="6ED40950" w14:textId="77777777" w:rsidR="00175197" w:rsidRDefault="00175197" w:rsidP="0017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roxima Nov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thJax_Main">
    <w:altName w:val="Cambria"/>
    <w:panose1 w:val="00000000000000000000"/>
    <w:charset w:val="00"/>
    <w:family w:val="roman"/>
    <w:notTrueType/>
    <w:pitch w:val="default"/>
  </w:font>
  <w:font w:name="MathJax_Math-ital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681640"/>
      <w:docPartObj>
        <w:docPartGallery w:val="Page Numbers (Bottom of Page)"/>
        <w:docPartUnique/>
      </w:docPartObj>
    </w:sdtPr>
    <w:sdtEndPr>
      <w:rPr>
        <w:noProof/>
      </w:rPr>
    </w:sdtEndPr>
    <w:sdtContent>
      <w:p w14:paraId="794F77DF" w14:textId="0F7B5B88" w:rsidR="00175197" w:rsidRDefault="001751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771C6A" w14:textId="77777777" w:rsidR="00175197" w:rsidRDefault="00175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B66A" w14:textId="77777777" w:rsidR="00175197" w:rsidRDefault="00175197" w:rsidP="00175197">
      <w:pPr>
        <w:spacing w:after="0" w:line="240" w:lineRule="auto"/>
      </w:pPr>
      <w:r>
        <w:separator/>
      </w:r>
    </w:p>
  </w:footnote>
  <w:footnote w:type="continuationSeparator" w:id="0">
    <w:p w14:paraId="2F92F563" w14:textId="77777777" w:rsidR="00175197" w:rsidRDefault="00175197" w:rsidP="00175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B88"/>
    <w:multiLevelType w:val="hybridMultilevel"/>
    <w:tmpl w:val="0BAA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BF2099"/>
    <w:multiLevelType w:val="hybridMultilevel"/>
    <w:tmpl w:val="342AB58A"/>
    <w:lvl w:ilvl="0" w:tplc="BEFE875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B540D"/>
    <w:multiLevelType w:val="hybridMultilevel"/>
    <w:tmpl w:val="974CA5CC"/>
    <w:lvl w:ilvl="0" w:tplc="8CD2FFB6">
      <w:start w:val="3"/>
      <w:numFmt w:val="decimal"/>
      <w:lvlText w:val="%1."/>
      <w:lvlJc w:val="left"/>
      <w:pPr>
        <w:ind w:left="360" w:hanging="360"/>
      </w:pPr>
      <w:rPr>
        <w:rFonts w:hint="default"/>
      </w:rPr>
    </w:lvl>
    <w:lvl w:ilvl="1" w:tplc="4F82B3E6">
      <w:start w:val="1"/>
      <w:numFmt w:val="lowerLetter"/>
      <w:lvlText w:val="%2."/>
      <w:lvlJc w:val="left"/>
      <w:pPr>
        <w:ind w:left="1440" w:hanging="360"/>
      </w:pPr>
    </w:lvl>
    <w:lvl w:ilvl="2" w:tplc="01BAA1FC">
      <w:start w:val="1"/>
      <w:numFmt w:val="lowerRoman"/>
      <w:lvlText w:val="%3."/>
      <w:lvlJc w:val="right"/>
      <w:pPr>
        <w:ind w:left="2160" w:hanging="180"/>
      </w:pPr>
    </w:lvl>
    <w:lvl w:ilvl="3" w:tplc="D4FA2CAE">
      <w:start w:val="1"/>
      <w:numFmt w:val="decimal"/>
      <w:lvlText w:val="%4."/>
      <w:lvlJc w:val="left"/>
      <w:pPr>
        <w:ind w:left="2880" w:hanging="360"/>
      </w:pPr>
    </w:lvl>
    <w:lvl w:ilvl="4" w:tplc="71E6E07A">
      <w:start w:val="1"/>
      <w:numFmt w:val="lowerLetter"/>
      <w:lvlText w:val="%5."/>
      <w:lvlJc w:val="left"/>
      <w:pPr>
        <w:ind w:left="3600" w:hanging="360"/>
      </w:pPr>
    </w:lvl>
    <w:lvl w:ilvl="5" w:tplc="2BA82532">
      <w:start w:val="1"/>
      <w:numFmt w:val="lowerRoman"/>
      <w:lvlText w:val="%6."/>
      <w:lvlJc w:val="right"/>
      <w:pPr>
        <w:ind w:left="4320" w:hanging="180"/>
      </w:pPr>
    </w:lvl>
    <w:lvl w:ilvl="6" w:tplc="69229F1C">
      <w:start w:val="1"/>
      <w:numFmt w:val="decimal"/>
      <w:lvlText w:val="%7."/>
      <w:lvlJc w:val="left"/>
      <w:pPr>
        <w:ind w:left="5040" w:hanging="360"/>
      </w:pPr>
    </w:lvl>
    <w:lvl w:ilvl="7" w:tplc="8DCE9D4C">
      <w:start w:val="1"/>
      <w:numFmt w:val="lowerLetter"/>
      <w:lvlText w:val="%8."/>
      <w:lvlJc w:val="left"/>
      <w:pPr>
        <w:ind w:left="5760" w:hanging="360"/>
      </w:pPr>
    </w:lvl>
    <w:lvl w:ilvl="8" w:tplc="D862AA08">
      <w:start w:val="1"/>
      <w:numFmt w:val="lowerRoman"/>
      <w:lvlText w:val="%9."/>
      <w:lvlJc w:val="right"/>
      <w:pPr>
        <w:ind w:left="6480" w:hanging="180"/>
      </w:pPr>
    </w:lvl>
  </w:abstractNum>
  <w:abstractNum w:abstractNumId="3" w15:restartNumberingAfterBreak="0">
    <w:nsid w:val="55155A9D"/>
    <w:multiLevelType w:val="hybridMultilevel"/>
    <w:tmpl w:val="5F34CD08"/>
    <w:lvl w:ilvl="0" w:tplc="0D56DE14">
      <w:start w:val="2"/>
      <w:numFmt w:val="decimal"/>
      <w:lvlText w:val="%1."/>
      <w:lvlJc w:val="left"/>
      <w:pPr>
        <w:ind w:left="360" w:hanging="360"/>
      </w:pPr>
      <w:rPr>
        <w:rFonts w:eastAsiaTheme="minorEastAsi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D5F51D5"/>
    <w:multiLevelType w:val="hybridMultilevel"/>
    <w:tmpl w:val="4A3C6468"/>
    <w:lvl w:ilvl="0" w:tplc="67B6280C">
      <w:start w:val="1"/>
      <w:numFmt w:val="bullet"/>
      <w:lvlText w:val=""/>
      <w:lvlJc w:val="left"/>
      <w:pPr>
        <w:ind w:left="720" w:hanging="360"/>
      </w:pPr>
      <w:rPr>
        <w:rFonts w:ascii="Symbol" w:hAnsi="Symbol" w:hint="default"/>
      </w:rPr>
    </w:lvl>
    <w:lvl w:ilvl="1" w:tplc="CBF0359C">
      <w:start w:val="1"/>
      <w:numFmt w:val="bullet"/>
      <w:lvlText w:val="o"/>
      <w:lvlJc w:val="left"/>
      <w:pPr>
        <w:ind w:left="1440" w:hanging="360"/>
      </w:pPr>
      <w:rPr>
        <w:rFonts w:ascii="Courier New" w:hAnsi="Courier New" w:hint="default"/>
      </w:rPr>
    </w:lvl>
    <w:lvl w:ilvl="2" w:tplc="09627030">
      <w:start w:val="1"/>
      <w:numFmt w:val="bullet"/>
      <w:lvlText w:val=""/>
      <w:lvlJc w:val="left"/>
      <w:pPr>
        <w:ind w:left="2160" w:hanging="360"/>
      </w:pPr>
      <w:rPr>
        <w:rFonts w:ascii="Wingdings" w:hAnsi="Wingdings" w:hint="default"/>
      </w:rPr>
    </w:lvl>
    <w:lvl w:ilvl="3" w:tplc="62AE0D22">
      <w:start w:val="1"/>
      <w:numFmt w:val="bullet"/>
      <w:lvlText w:val=""/>
      <w:lvlJc w:val="left"/>
      <w:pPr>
        <w:ind w:left="2880" w:hanging="360"/>
      </w:pPr>
      <w:rPr>
        <w:rFonts w:ascii="Symbol" w:hAnsi="Symbol" w:hint="default"/>
      </w:rPr>
    </w:lvl>
    <w:lvl w:ilvl="4" w:tplc="44C217E0">
      <w:start w:val="1"/>
      <w:numFmt w:val="bullet"/>
      <w:lvlText w:val="o"/>
      <w:lvlJc w:val="left"/>
      <w:pPr>
        <w:ind w:left="3600" w:hanging="360"/>
      </w:pPr>
      <w:rPr>
        <w:rFonts w:ascii="Courier New" w:hAnsi="Courier New" w:hint="default"/>
      </w:rPr>
    </w:lvl>
    <w:lvl w:ilvl="5" w:tplc="518AA1E6">
      <w:start w:val="1"/>
      <w:numFmt w:val="bullet"/>
      <w:lvlText w:val=""/>
      <w:lvlJc w:val="left"/>
      <w:pPr>
        <w:ind w:left="4320" w:hanging="360"/>
      </w:pPr>
      <w:rPr>
        <w:rFonts w:ascii="Wingdings" w:hAnsi="Wingdings" w:hint="default"/>
      </w:rPr>
    </w:lvl>
    <w:lvl w:ilvl="6" w:tplc="5CB60B86">
      <w:start w:val="1"/>
      <w:numFmt w:val="bullet"/>
      <w:lvlText w:val=""/>
      <w:lvlJc w:val="left"/>
      <w:pPr>
        <w:ind w:left="5040" w:hanging="360"/>
      </w:pPr>
      <w:rPr>
        <w:rFonts w:ascii="Symbol" w:hAnsi="Symbol" w:hint="default"/>
      </w:rPr>
    </w:lvl>
    <w:lvl w:ilvl="7" w:tplc="65E8EB3A">
      <w:start w:val="1"/>
      <w:numFmt w:val="bullet"/>
      <w:lvlText w:val="o"/>
      <w:lvlJc w:val="left"/>
      <w:pPr>
        <w:ind w:left="5760" w:hanging="360"/>
      </w:pPr>
      <w:rPr>
        <w:rFonts w:ascii="Courier New" w:hAnsi="Courier New" w:hint="default"/>
      </w:rPr>
    </w:lvl>
    <w:lvl w:ilvl="8" w:tplc="AD3C4D02">
      <w:start w:val="1"/>
      <w:numFmt w:val="bullet"/>
      <w:lvlText w:val=""/>
      <w:lvlJc w:val="left"/>
      <w:pPr>
        <w:ind w:left="6480" w:hanging="360"/>
      </w:pPr>
      <w:rPr>
        <w:rFonts w:ascii="Wingdings" w:hAnsi="Wingdings" w:hint="default"/>
      </w:rPr>
    </w:lvl>
  </w:abstractNum>
  <w:abstractNum w:abstractNumId="5" w15:restartNumberingAfterBreak="0">
    <w:nsid w:val="6D9F3B74"/>
    <w:multiLevelType w:val="hybridMultilevel"/>
    <w:tmpl w:val="31C24ADA"/>
    <w:lvl w:ilvl="0" w:tplc="2556C19A">
      <w:start w:val="1"/>
      <w:numFmt w:val="bullet"/>
      <w:lvlText w:val=""/>
      <w:lvlJc w:val="left"/>
      <w:pPr>
        <w:ind w:left="720" w:hanging="360"/>
      </w:pPr>
      <w:rPr>
        <w:rFonts w:ascii="Symbol" w:hAnsi="Symbol" w:hint="default"/>
      </w:rPr>
    </w:lvl>
    <w:lvl w:ilvl="1" w:tplc="A89A8F48">
      <w:start w:val="1"/>
      <w:numFmt w:val="bullet"/>
      <w:lvlText w:val="o"/>
      <w:lvlJc w:val="left"/>
      <w:pPr>
        <w:ind w:left="1440" w:hanging="360"/>
      </w:pPr>
      <w:rPr>
        <w:rFonts w:ascii="Courier New" w:hAnsi="Courier New" w:hint="default"/>
      </w:rPr>
    </w:lvl>
    <w:lvl w:ilvl="2" w:tplc="4C24680C">
      <w:start w:val="1"/>
      <w:numFmt w:val="bullet"/>
      <w:lvlText w:val=""/>
      <w:lvlJc w:val="left"/>
      <w:pPr>
        <w:ind w:left="2160" w:hanging="360"/>
      </w:pPr>
      <w:rPr>
        <w:rFonts w:ascii="Wingdings" w:hAnsi="Wingdings" w:hint="default"/>
      </w:rPr>
    </w:lvl>
    <w:lvl w:ilvl="3" w:tplc="332A1DFA">
      <w:start w:val="1"/>
      <w:numFmt w:val="bullet"/>
      <w:lvlText w:val=""/>
      <w:lvlJc w:val="left"/>
      <w:pPr>
        <w:ind w:left="2880" w:hanging="360"/>
      </w:pPr>
      <w:rPr>
        <w:rFonts w:ascii="Symbol" w:hAnsi="Symbol" w:hint="default"/>
      </w:rPr>
    </w:lvl>
    <w:lvl w:ilvl="4" w:tplc="62FA786C">
      <w:start w:val="1"/>
      <w:numFmt w:val="bullet"/>
      <w:lvlText w:val="o"/>
      <w:lvlJc w:val="left"/>
      <w:pPr>
        <w:ind w:left="3600" w:hanging="360"/>
      </w:pPr>
      <w:rPr>
        <w:rFonts w:ascii="Courier New" w:hAnsi="Courier New" w:hint="default"/>
      </w:rPr>
    </w:lvl>
    <w:lvl w:ilvl="5" w:tplc="31D42064">
      <w:start w:val="1"/>
      <w:numFmt w:val="bullet"/>
      <w:lvlText w:val=""/>
      <w:lvlJc w:val="left"/>
      <w:pPr>
        <w:ind w:left="4320" w:hanging="360"/>
      </w:pPr>
      <w:rPr>
        <w:rFonts w:ascii="Wingdings" w:hAnsi="Wingdings" w:hint="default"/>
      </w:rPr>
    </w:lvl>
    <w:lvl w:ilvl="6" w:tplc="F23A312C">
      <w:start w:val="1"/>
      <w:numFmt w:val="bullet"/>
      <w:lvlText w:val=""/>
      <w:lvlJc w:val="left"/>
      <w:pPr>
        <w:ind w:left="5040" w:hanging="360"/>
      </w:pPr>
      <w:rPr>
        <w:rFonts w:ascii="Symbol" w:hAnsi="Symbol" w:hint="default"/>
      </w:rPr>
    </w:lvl>
    <w:lvl w:ilvl="7" w:tplc="F37A4956">
      <w:start w:val="1"/>
      <w:numFmt w:val="bullet"/>
      <w:lvlText w:val="o"/>
      <w:lvlJc w:val="left"/>
      <w:pPr>
        <w:ind w:left="5760" w:hanging="360"/>
      </w:pPr>
      <w:rPr>
        <w:rFonts w:ascii="Courier New" w:hAnsi="Courier New" w:hint="default"/>
      </w:rPr>
    </w:lvl>
    <w:lvl w:ilvl="8" w:tplc="D6AC30C0">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58"/>
    <w:rsid w:val="00003C9A"/>
    <w:rsid w:val="0000699B"/>
    <w:rsid w:val="00012795"/>
    <w:rsid w:val="00047E04"/>
    <w:rsid w:val="000812AA"/>
    <w:rsid w:val="00084289"/>
    <w:rsid w:val="000C5556"/>
    <w:rsid w:val="00175197"/>
    <w:rsid w:val="001F4A27"/>
    <w:rsid w:val="001F6E21"/>
    <w:rsid w:val="00243742"/>
    <w:rsid w:val="00253E7E"/>
    <w:rsid w:val="00265701"/>
    <w:rsid w:val="002B271A"/>
    <w:rsid w:val="002B59D1"/>
    <w:rsid w:val="00331081"/>
    <w:rsid w:val="00341A62"/>
    <w:rsid w:val="0038523A"/>
    <w:rsid w:val="0038527C"/>
    <w:rsid w:val="004A39FE"/>
    <w:rsid w:val="004B13B0"/>
    <w:rsid w:val="004C5FE2"/>
    <w:rsid w:val="004E3793"/>
    <w:rsid w:val="00516E16"/>
    <w:rsid w:val="00533713"/>
    <w:rsid w:val="005B17EF"/>
    <w:rsid w:val="005B637F"/>
    <w:rsid w:val="005D49D4"/>
    <w:rsid w:val="00614E8D"/>
    <w:rsid w:val="00632869"/>
    <w:rsid w:val="006B46E6"/>
    <w:rsid w:val="006E619E"/>
    <w:rsid w:val="00707446"/>
    <w:rsid w:val="00755637"/>
    <w:rsid w:val="00755E1E"/>
    <w:rsid w:val="00762554"/>
    <w:rsid w:val="0079283D"/>
    <w:rsid w:val="007D596E"/>
    <w:rsid w:val="007F5DB6"/>
    <w:rsid w:val="00810DFD"/>
    <w:rsid w:val="00835E89"/>
    <w:rsid w:val="008A43BC"/>
    <w:rsid w:val="00991597"/>
    <w:rsid w:val="00A33F4A"/>
    <w:rsid w:val="00A357A0"/>
    <w:rsid w:val="00A87AD8"/>
    <w:rsid w:val="00AA3E3C"/>
    <w:rsid w:val="00AB232A"/>
    <w:rsid w:val="00B66512"/>
    <w:rsid w:val="00B9370A"/>
    <w:rsid w:val="00B960D8"/>
    <w:rsid w:val="00BA5340"/>
    <w:rsid w:val="00BA7F5B"/>
    <w:rsid w:val="00C32B40"/>
    <w:rsid w:val="00C7648C"/>
    <w:rsid w:val="00C80E07"/>
    <w:rsid w:val="00CC2658"/>
    <w:rsid w:val="00CF4BB5"/>
    <w:rsid w:val="00D61431"/>
    <w:rsid w:val="00D85194"/>
    <w:rsid w:val="00DF6AB3"/>
    <w:rsid w:val="00E07125"/>
    <w:rsid w:val="00E11F67"/>
    <w:rsid w:val="00E16237"/>
    <w:rsid w:val="00E37085"/>
    <w:rsid w:val="00E471B6"/>
    <w:rsid w:val="00E963DB"/>
    <w:rsid w:val="00EC0C83"/>
    <w:rsid w:val="00EF5B26"/>
    <w:rsid w:val="00EF6282"/>
    <w:rsid w:val="00F30622"/>
    <w:rsid w:val="0A944AD8"/>
    <w:rsid w:val="0AC676AD"/>
    <w:rsid w:val="113CCB98"/>
    <w:rsid w:val="1238D6BD"/>
    <w:rsid w:val="16466C93"/>
    <w:rsid w:val="166C2049"/>
    <w:rsid w:val="17F48D3B"/>
    <w:rsid w:val="1910F991"/>
    <w:rsid w:val="1A1F42AD"/>
    <w:rsid w:val="1A5B80C3"/>
    <w:rsid w:val="1DE524F4"/>
    <w:rsid w:val="1FB7C200"/>
    <w:rsid w:val="20295A47"/>
    <w:rsid w:val="2199F619"/>
    <w:rsid w:val="286E115A"/>
    <w:rsid w:val="2980A5E4"/>
    <w:rsid w:val="298D5909"/>
    <w:rsid w:val="2D9843DA"/>
    <w:rsid w:val="312EDFAF"/>
    <w:rsid w:val="38514E8C"/>
    <w:rsid w:val="3859FFBC"/>
    <w:rsid w:val="44132A5A"/>
    <w:rsid w:val="45E600C9"/>
    <w:rsid w:val="4E726E6B"/>
    <w:rsid w:val="5D021BD2"/>
    <w:rsid w:val="6D7B7784"/>
    <w:rsid w:val="6DF2F70E"/>
    <w:rsid w:val="708B8F42"/>
    <w:rsid w:val="7D610D6A"/>
    <w:rsid w:val="7E00E4E1"/>
    <w:rsid w:val="7E6D3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EA02"/>
  <w15:chartTrackingRefBased/>
  <w15:docId w15:val="{26D856FA-DFAD-4DCB-A0A8-CD201CD5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658"/>
  </w:style>
  <w:style w:type="paragraph" w:styleId="Heading1">
    <w:name w:val="heading 1"/>
    <w:basedOn w:val="Title"/>
    <w:next w:val="Normal"/>
    <w:link w:val="Heading1Char"/>
    <w:rsid w:val="00341A62"/>
    <w:pPr>
      <w:spacing w:before="320" w:after="400"/>
      <w:contextualSpacing w:val="0"/>
      <w:outlineLvl w:val="0"/>
    </w:pPr>
    <w:rPr>
      <w:rFonts w:ascii="Helvetica" w:eastAsia="Proxima Nova" w:hAnsi="Helvetica" w:cs="Proxima Nova"/>
      <w:color w:val="000000" w:themeColor="text1"/>
      <w:spacing w:val="0"/>
      <w:kern w:val="0"/>
      <w:sz w:val="48"/>
      <w:szCs w:val="48"/>
    </w:rPr>
  </w:style>
  <w:style w:type="paragraph" w:styleId="Heading2">
    <w:name w:val="heading 2"/>
    <w:basedOn w:val="Normal"/>
    <w:next w:val="Normal"/>
    <w:link w:val="Heading2Char"/>
    <w:rsid w:val="00341A62"/>
    <w:pPr>
      <w:spacing w:before="300" w:after="200" w:line="240" w:lineRule="auto"/>
      <w:contextualSpacing/>
      <w:outlineLvl w:val="1"/>
    </w:pPr>
    <w:rPr>
      <w:rFonts w:ascii="Helvetica" w:eastAsia="Proxima Nova" w:hAnsi="Helvetica" w:cs="Proxima Nova"/>
      <w:b/>
      <w:color w:val="27A799"/>
      <w:sz w:val="32"/>
      <w:szCs w:val="32"/>
    </w:rPr>
  </w:style>
  <w:style w:type="paragraph" w:styleId="Heading3">
    <w:name w:val="heading 3"/>
    <w:basedOn w:val="Normal"/>
    <w:next w:val="Normal"/>
    <w:link w:val="Heading3Char"/>
    <w:uiPriority w:val="9"/>
    <w:unhideWhenUsed/>
    <w:qFormat/>
    <w:rsid w:val="00D851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7519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658"/>
    <w:pPr>
      <w:ind w:left="720"/>
      <w:contextualSpacing/>
    </w:pPr>
  </w:style>
  <w:style w:type="character" w:styleId="CommentReference">
    <w:name w:val="annotation reference"/>
    <w:basedOn w:val="DefaultParagraphFont"/>
    <w:uiPriority w:val="99"/>
    <w:semiHidden/>
    <w:unhideWhenUsed/>
    <w:rsid w:val="00CC2658"/>
    <w:rPr>
      <w:sz w:val="16"/>
      <w:szCs w:val="16"/>
    </w:rPr>
  </w:style>
  <w:style w:type="paragraph" w:styleId="CommentText">
    <w:name w:val="annotation text"/>
    <w:basedOn w:val="Normal"/>
    <w:link w:val="CommentTextChar"/>
    <w:uiPriority w:val="99"/>
    <w:unhideWhenUsed/>
    <w:rsid w:val="00CC2658"/>
    <w:pPr>
      <w:spacing w:line="240" w:lineRule="auto"/>
    </w:pPr>
    <w:rPr>
      <w:sz w:val="20"/>
      <w:szCs w:val="20"/>
    </w:rPr>
  </w:style>
  <w:style w:type="character" w:customStyle="1" w:styleId="CommentTextChar">
    <w:name w:val="Comment Text Char"/>
    <w:basedOn w:val="DefaultParagraphFont"/>
    <w:link w:val="CommentText"/>
    <w:uiPriority w:val="99"/>
    <w:rsid w:val="00CC2658"/>
    <w:rPr>
      <w:sz w:val="20"/>
      <w:szCs w:val="20"/>
    </w:rPr>
  </w:style>
  <w:style w:type="character" w:customStyle="1" w:styleId="Heading1Char">
    <w:name w:val="Heading 1 Char"/>
    <w:basedOn w:val="DefaultParagraphFont"/>
    <w:link w:val="Heading1"/>
    <w:rsid w:val="00341A62"/>
    <w:rPr>
      <w:rFonts w:ascii="Helvetica" w:eastAsia="Proxima Nova" w:hAnsi="Helvetica" w:cs="Proxima Nova"/>
      <w:color w:val="000000" w:themeColor="text1"/>
      <w:sz w:val="48"/>
      <w:szCs w:val="48"/>
    </w:rPr>
  </w:style>
  <w:style w:type="character" w:customStyle="1" w:styleId="Heading2Char">
    <w:name w:val="Heading 2 Char"/>
    <w:basedOn w:val="DefaultParagraphFont"/>
    <w:link w:val="Heading2"/>
    <w:rsid w:val="00341A62"/>
    <w:rPr>
      <w:rFonts w:ascii="Helvetica" w:eastAsia="Proxima Nova" w:hAnsi="Helvetica" w:cs="Proxima Nova"/>
      <w:b/>
      <w:color w:val="27A799"/>
      <w:sz w:val="32"/>
      <w:szCs w:val="32"/>
    </w:rPr>
  </w:style>
  <w:style w:type="character" w:styleId="Hyperlink">
    <w:name w:val="Hyperlink"/>
    <w:basedOn w:val="DefaultParagraphFont"/>
    <w:uiPriority w:val="99"/>
    <w:unhideWhenUsed/>
    <w:rsid w:val="00341A62"/>
    <w:rPr>
      <w:color w:val="0563C1" w:themeColor="hyperlink"/>
      <w:u w:val="single"/>
    </w:rPr>
  </w:style>
  <w:style w:type="paragraph" w:styleId="Title">
    <w:name w:val="Title"/>
    <w:basedOn w:val="Normal"/>
    <w:next w:val="Normal"/>
    <w:link w:val="TitleChar"/>
    <w:uiPriority w:val="10"/>
    <w:qFormat/>
    <w:rsid w:val="00341A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A62"/>
    <w:rPr>
      <w:rFonts w:asciiTheme="majorHAnsi" w:eastAsiaTheme="majorEastAsia" w:hAnsiTheme="majorHAnsi" w:cstheme="majorBidi"/>
      <w:spacing w:val="-10"/>
      <w:kern w:val="28"/>
      <w:sz w:val="56"/>
      <w:szCs w:val="56"/>
    </w:rPr>
  </w:style>
  <w:style w:type="paragraph" w:styleId="Revision">
    <w:name w:val="Revision"/>
    <w:hidden/>
    <w:uiPriority w:val="99"/>
    <w:semiHidden/>
    <w:rsid w:val="00755637"/>
    <w:pPr>
      <w:spacing w:after="0" w:line="240" w:lineRule="auto"/>
    </w:pPr>
  </w:style>
  <w:style w:type="paragraph" w:styleId="CommentSubject">
    <w:name w:val="annotation subject"/>
    <w:basedOn w:val="CommentText"/>
    <w:next w:val="CommentText"/>
    <w:link w:val="CommentSubjectChar"/>
    <w:uiPriority w:val="99"/>
    <w:semiHidden/>
    <w:unhideWhenUsed/>
    <w:rsid w:val="002B271A"/>
    <w:rPr>
      <w:b/>
      <w:bCs/>
    </w:rPr>
  </w:style>
  <w:style w:type="character" w:customStyle="1" w:styleId="CommentSubjectChar">
    <w:name w:val="Comment Subject Char"/>
    <w:basedOn w:val="CommentTextChar"/>
    <w:link w:val="CommentSubject"/>
    <w:uiPriority w:val="99"/>
    <w:semiHidden/>
    <w:rsid w:val="002B271A"/>
    <w:rPr>
      <w:b/>
      <w:bCs/>
      <w:sz w:val="20"/>
      <w:szCs w:val="20"/>
    </w:rPr>
  </w:style>
  <w:style w:type="paragraph" w:styleId="Bibliography">
    <w:name w:val="Bibliography"/>
    <w:basedOn w:val="Normal"/>
    <w:next w:val="Normal"/>
    <w:uiPriority w:val="37"/>
    <w:unhideWhenUsed/>
    <w:rsid w:val="000812AA"/>
    <w:pPr>
      <w:tabs>
        <w:tab w:val="left" w:pos="384"/>
      </w:tabs>
      <w:spacing w:after="240" w:line="240" w:lineRule="auto"/>
      <w:ind w:left="384" w:hanging="384"/>
    </w:pPr>
  </w:style>
  <w:style w:type="character" w:styleId="Mention">
    <w:name w:val="Mention"/>
    <w:basedOn w:val="DefaultParagraphFont"/>
    <w:uiPriority w:val="99"/>
    <w:unhideWhenUsed/>
    <w:rsid w:val="00EC0C83"/>
    <w:rPr>
      <w:color w:val="2B579A"/>
      <w:shd w:val="clear" w:color="auto" w:fill="E1DFDD"/>
    </w:rPr>
  </w:style>
  <w:style w:type="paragraph" w:styleId="TOCHeading">
    <w:name w:val="TOC Heading"/>
    <w:basedOn w:val="Heading1"/>
    <w:next w:val="Normal"/>
    <w:uiPriority w:val="39"/>
    <w:unhideWhenUsed/>
    <w:qFormat/>
    <w:rsid w:val="000C5556"/>
    <w:pPr>
      <w:keepNext/>
      <w:keepLines/>
      <w:spacing w:before="240" w:after="0" w:line="259" w:lineRule="auto"/>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0C5556"/>
    <w:pPr>
      <w:spacing w:after="100"/>
    </w:pPr>
  </w:style>
  <w:style w:type="character" w:customStyle="1" w:styleId="Heading3Char">
    <w:name w:val="Heading 3 Char"/>
    <w:basedOn w:val="DefaultParagraphFont"/>
    <w:link w:val="Heading3"/>
    <w:uiPriority w:val="9"/>
    <w:rsid w:val="00D8519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175197"/>
    <w:pPr>
      <w:spacing w:after="100"/>
      <w:ind w:left="440"/>
    </w:pPr>
  </w:style>
  <w:style w:type="character" w:customStyle="1" w:styleId="Heading4Char">
    <w:name w:val="Heading 4 Char"/>
    <w:basedOn w:val="DefaultParagraphFont"/>
    <w:link w:val="Heading4"/>
    <w:uiPriority w:val="9"/>
    <w:rsid w:val="00175197"/>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175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197"/>
  </w:style>
  <w:style w:type="paragraph" w:styleId="Footer">
    <w:name w:val="footer"/>
    <w:basedOn w:val="Normal"/>
    <w:link w:val="FooterChar"/>
    <w:uiPriority w:val="99"/>
    <w:unhideWhenUsed/>
    <w:rsid w:val="00175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dreports.org/reporting-checklists/cheers/info/" TargetMode="External"/><Relationship Id="rId18" Type="http://schemas.openxmlformats.org/officeDocument/2006/relationships/hyperlink" Target="https://www.goodreports.org/reporting-checklists/cheers/info/" TargetMode="External"/><Relationship Id="rId26" Type="http://schemas.openxmlformats.org/officeDocument/2006/relationships/hyperlink" Target="https://www.goodreports.org/reporting-checklists/cheers/info/" TargetMode="External"/><Relationship Id="rId39" Type="http://schemas.openxmlformats.org/officeDocument/2006/relationships/hyperlink" Target="https://www.equator-network.org" TargetMode="External"/><Relationship Id="rId21" Type="http://schemas.openxmlformats.org/officeDocument/2006/relationships/hyperlink" Target="https://www.goodreports.org/reporting-checklists/cheers/info/" TargetMode="External"/><Relationship Id="rId34" Type="http://schemas.openxmlformats.org/officeDocument/2006/relationships/hyperlink" Target="https://www.goodreports.org/reporting-checklists/cheers/info/"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odreports.org/reporting-checklists/cheers/info/" TargetMode="External"/><Relationship Id="rId20" Type="http://schemas.openxmlformats.org/officeDocument/2006/relationships/hyperlink" Target="https://www.goodreports.org/reporting-checklists/cheers/info/" TargetMode="External"/><Relationship Id="rId29" Type="http://schemas.openxmlformats.org/officeDocument/2006/relationships/hyperlink" Target="https://www.goodreports.org/reporting-checklists/cheers/info/"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dreports.org/reporting-checklists/cheers/info/" TargetMode="External"/><Relationship Id="rId24" Type="http://schemas.openxmlformats.org/officeDocument/2006/relationships/hyperlink" Target="https://www.goodreports.org/reporting-checklists/cheers/info/" TargetMode="External"/><Relationship Id="rId32" Type="http://schemas.openxmlformats.org/officeDocument/2006/relationships/hyperlink" Target="https://www.goodreports.org/reporting-checklists/cheers/info/" TargetMode="External"/><Relationship Id="rId37" Type="http://schemas.openxmlformats.org/officeDocument/2006/relationships/hyperlink" Target="https://www.goodreports.org/reporting-checklists/cheers/info/" TargetMode="External"/><Relationship Id="rId40" Type="http://schemas.openxmlformats.org/officeDocument/2006/relationships/hyperlink" Target="https://www.penelope.ai" TargetMode="External"/><Relationship Id="rId5" Type="http://schemas.openxmlformats.org/officeDocument/2006/relationships/numbering" Target="numbering.xml"/><Relationship Id="rId15" Type="http://schemas.openxmlformats.org/officeDocument/2006/relationships/hyperlink" Target="https://www.goodreports.org/reporting-checklists/cheers/info/" TargetMode="External"/><Relationship Id="rId23" Type="http://schemas.openxmlformats.org/officeDocument/2006/relationships/hyperlink" Target="https://www.goodreports.org/reporting-checklists/cheers/info/" TargetMode="External"/><Relationship Id="rId28" Type="http://schemas.openxmlformats.org/officeDocument/2006/relationships/hyperlink" Target="https://www.goodreports.org/reporting-checklists/cheers/info/" TargetMode="External"/><Relationship Id="rId36" Type="http://schemas.openxmlformats.org/officeDocument/2006/relationships/hyperlink" Target="https://www.goodreports.org/reporting-checklists/cheers/info/" TargetMode="External"/><Relationship Id="rId10" Type="http://schemas.openxmlformats.org/officeDocument/2006/relationships/endnotes" Target="endnotes.xml"/><Relationship Id="rId19" Type="http://schemas.openxmlformats.org/officeDocument/2006/relationships/hyperlink" Target="https://www.goodreports.org/reporting-checklists/cheers/info/" TargetMode="External"/><Relationship Id="rId31" Type="http://schemas.openxmlformats.org/officeDocument/2006/relationships/hyperlink" Target="https://www.goodreports.org/reporting-checklists/cheers/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dreports.org/reporting-checklists/cheers/info/" TargetMode="External"/><Relationship Id="rId22" Type="http://schemas.openxmlformats.org/officeDocument/2006/relationships/hyperlink" Target="https://www.goodreports.org/reporting-checklists/cheers/info/" TargetMode="External"/><Relationship Id="rId27" Type="http://schemas.openxmlformats.org/officeDocument/2006/relationships/hyperlink" Target="https://www.goodreports.org/reporting-checklists/cheers/info/" TargetMode="External"/><Relationship Id="rId30" Type="http://schemas.openxmlformats.org/officeDocument/2006/relationships/hyperlink" Target="https://www.goodreports.org/reporting-checklists/cheers/info/" TargetMode="External"/><Relationship Id="rId35" Type="http://schemas.openxmlformats.org/officeDocument/2006/relationships/hyperlink" Target="https://www.goodreports.org/reporting-checklists/cheers/info/"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odreports.org/reporting-checklists/cheers/info/" TargetMode="External"/><Relationship Id="rId17" Type="http://schemas.openxmlformats.org/officeDocument/2006/relationships/hyperlink" Target="https://www.goodreports.org/reporting-checklists/cheers/info/" TargetMode="External"/><Relationship Id="rId25" Type="http://schemas.openxmlformats.org/officeDocument/2006/relationships/hyperlink" Target="https://www.goodreports.org/reporting-checklists/cheers/info/" TargetMode="External"/><Relationship Id="rId33" Type="http://schemas.openxmlformats.org/officeDocument/2006/relationships/hyperlink" Target="https://www.goodreports.org/reporting-checklists/cheers/info/" TargetMode="External"/><Relationship Id="rId38" Type="http://schemas.openxmlformats.org/officeDocument/2006/relationships/hyperlink" Target="https://www.goodrepo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EBECBD474214296C9A95CDD604540" ma:contentTypeVersion="4" ma:contentTypeDescription="Create a new document." ma:contentTypeScope="" ma:versionID="52a1d8d1393cdbb459d96462fb7cb518">
  <xsd:schema xmlns:xsd="http://www.w3.org/2001/XMLSchema" xmlns:xs="http://www.w3.org/2001/XMLSchema" xmlns:p="http://schemas.microsoft.com/office/2006/metadata/properties" xmlns:ns2="6c7d5bb8-3ab3-4178-83ca-fcef753aff86" targetNamespace="http://schemas.microsoft.com/office/2006/metadata/properties" ma:root="true" ma:fieldsID="00030ac95aea941de52e54be988b2b90" ns2:_="">
    <xsd:import namespace="6c7d5bb8-3ab3-4178-83ca-fcef753aff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d5bb8-3ab3-4178-83ca-fcef753af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6100C-69DA-4815-A4FD-8D0F4DCAF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d5bb8-3ab3-4178-83ca-fcef753af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3D2C4-84ED-4910-8DFA-FD09726F153C}">
  <ds:schemaRefs>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6c7d5bb8-3ab3-4178-83ca-fcef753aff86"/>
    <ds:schemaRef ds:uri="http://www.w3.org/XML/1998/namespace"/>
    <ds:schemaRef ds:uri="http://purl.org/dc/dcmitype/"/>
  </ds:schemaRefs>
</ds:datastoreItem>
</file>

<file path=customXml/itemProps3.xml><?xml version="1.0" encoding="utf-8"?>
<ds:datastoreItem xmlns:ds="http://schemas.openxmlformats.org/officeDocument/2006/customXml" ds:itemID="{E7171714-2626-4BF2-A9FC-D7FEF3F3F00E}">
  <ds:schemaRefs>
    <ds:schemaRef ds:uri="http://schemas.microsoft.com/sharepoint/v3/contenttype/forms"/>
  </ds:schemaRefs>
</ds:datastoreItem>
</file>

<file path=customXml/itemProps4.xml><?xml version="1.0" encoding="utf-8"?>
<ds:datastoreItem xmlns:ds="http://schemas.openxmlformats.org/officeDocument/2006/customXml" ds:itemID="{B1CFCBB3-17B0-4D2B-AFB5-8FB3F002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3873</Words>
  <Characters>22082</Characters>
  <Application>Microsoft Office Word</Application>
  <DocSecurity>0</DocSecurity>
  <Lines>184</Lines>
  <Paragraphs>51</Paragraphs>
  <ScaleCrop>false</ScaleCrop>
  <Company/>
  <LinksUpToDate>false</LinksUpToDate>
  <CharactersWithSpaces>25904</CharactersWithSpaces>
  <SharedDoc>false</SharedDoc>
  <HLinks>
    <vt:vector size="180" baseType="variant">
      <vt:variant>
        <vt:i4>786437</vt:i4>
      </vt:variant>
      <vt:variant>
        <vt:i4>108</vt:i4>
      </vt:variant>
      <vt:variant>
        <vt:i4>0</vt:i4>
      </vt:variant>
      <vt:variant>
        <vt:i4>5</vt:i4>
      </vt:variant>
      <vt:variant>
        <vt:lpwstr>https://www.penelope.ai/</vt:lpwstr>
      </vt:variant>
      <vt:variant>
        <vt:lpwstr/>
      </vt:variant>
      <vt:variant>
        <vt:i4>589888</vt:i4>
      </vt:variant>
      <vt:variant>
        <vt:i4>105</vt:i4>
      </vt:variant>
      <vt:variant>
        <vt:i4>0</vt:i4>
      </vt:variant>
      <vt:variant>
        <vt:i4>5</vt:i4>
      </vt:variant>
      <vt:variant>
        <vt:lpwstr>https://www.equator-network.org/</vt:lpwstr>
      </vt:variant>
      <vt:variant>
        <vt:lpwstr/>
      </vt:variant>
      <vt:variant>
        <vt:i4>5111875</vt:i4>
      </vt:variant>
      <vt:variant>
        <vt:i4>102</vt:i4>
      </vt:variant>
      <vt:variant>
        <vt:i4>0</vt:i4>
      </vt:variant>
      <vt:variant>
        <vt:i4>5</vt:i4>
      </vt:variant>
      <vt:variant>
        <vt:lpwstr>https://www.goodreports.org/</vt:lpwstr>
      </vt:variant>
      <vt:variant>
        <vt:lpwstr/>
      </vt:variant>
      <vt:variant>
        <vt:i4>7995425</vt:i4>
      </vt:variant>
      <vt:variant>
        <vt:i4>99</vt:i4>
      </vt:variant>
      <vt:variant>
        <vt:i4>0</vt:i4>
      </vt:variant>
      <vt:variant>
        <vt:i4>5</vt:i4>
      </vt:variant>
      <vt:variant>
        <vt:lpwstr>https://www.goodreports.org/reporting-checklists/cheers/info/</vt:lpwstr>
      </vt:variant>
      <vt:variant>
        <vt:lpwstr>24</vt:lpwstr>
      </vt:variant>
      <vt:variant>
        <vt:i4>8192033</vt:i4>
      </vt:variant>
      <vt:variant>
        <vt:i4>96</vt:i4>
      </vt:variant>
      <vt:variant>
        <vt:i4>0</vt:i4>
      </vt:variant>
      <vt:variant>
        <vt:i4>5</vt:i4>
      </vt:variant>
      <vt:variant>
        <vt:lpwstr>https://www.goodreports.org/reporting-checklists/cheers/info/</vt:lpwstr>
      </vt:variant>
      <vt:variant>
        <vt:lpwstr>23</vt:lpwstr>
      </vt:variant>
      <vt:variant>
        <vt:i4>8126497</vt:i4>
      </vt:variant>
      <vt:variant>
        <vt:i4>93</vt:i4>
      </vt:variant>
      <vt:variant>
        <vt:i4>0</vt:i4>
      </vt:variant>
      <vt:variant>
        <vt:i4>5</vt:i4>
      </vt:variant>
      <vt:variant>
        <vt:lpwstr>https://www.goodreports.org/reporting-checklists/cheers/info/</vt:lpwstr>
      </vt:variant>
      <vt:variant>
        <vt:lpwstr>22</vt:lpwstr>
      </vt:variant>
      <vt:variant>
        <vt:i4>8323105</vt:i4>
      </vt:variant>
      <vt:variant>
        <vt:i4>90</vt:i4>
      </vt:variant>
      <vt:variant>
        <vt:i4>0</vt:i4>
      </vt:variant>
      <vt:variant>
        <vt:i4>5</vt:i4>
      </vt:variant>
      <vt:variant>
        <vt:lpwstr>https://www.goodreports.org/reporting-checklists/cheers/info/</vt:lpwstr>
      </vt:variant>
      <vt:variant>
        <vt:lpwstr>21</vt:lpwstr>
      </vt:variant>
      <vt:variant>
        <vt:i4>8257569</vt:i4>
      </vt:variant>
      <vt:variant>
        <vt:i4>87</vt:i4>
      </vt:variant>
      <vt:variant>
        <vt:i4>0</vt:i4>
      </vt:variant>
      <vt:variant>
        <vt:i4>5</vt:i4>
      </vt:variant>
      <vt:variant>
        <vt:lpwstr>https://www.goodreports.org/reporting-checklists/cheers/info/</vt:lpwstr>
      </vt:variant>
      <vt:variant>
        <vt:lpwstr>20b</vt:lpwstr>
      </vt:variant>
      <vt:variant>
        <vt:i4>8257569</vt:i4>
      </vt:variant>
      <vt:variant>
        <vt:i4>84</vt:i4>
      </vt:variant>
      <vt:variant>
        <vt:i4>0</vt:i4>
      </vt:variant>
      <vt:variant>
        <vt:i4>5</vt:i4>
      </vt:variant>
      <vt:variant>
        <vt:lpwstr>https://www.goodreports.org/reporting-checklists/cheers/info/</vt:lpwstr>
      </vt:variant>
      <vt:variant>
        <vt:lpwstr>20a</vt:lpwstr>
      </vt:variant>
      <vt:variant>
        <vt:i4>7798818</vt:i4>
      </vt:variant>
      <vt:variant>
        <vt:i4>81</vt:i4>
      </vt:variant>
      <vt:variant>
        <vt:i4>0</vt:i4>
      </vt:variant>
      <vt:variant>
        <vt:i4>5</vt:i4>
      </vt:variant>
      <vt:variant>
        <vt:lpwstr>https://www.goodreports.org/reporting-checklists/cheers/info/</vt:lpwstr>
      </vt:variant>
      <vt:variant>
        <vt:lpwstr>19</vt:lpwstr>
      </vt:variant>
      <vt:variant>
        <vt:i4>7733282</vt:i4>
      </vt:variant>
      <vt:variant>
        <vt:i4>78</vt:i4>
      </vt:variant>
      <vt:variant>
        <vt:i4>0</vt:i4>
      </vt:variant>
      <vt:variant>
        <vt:i4>5</vt:i4>
      </vt:variant>
      <vt:variant>
        <vt:lpwstr>https://www.goodreports.org/reporting-checklists/cheers/info/</vt:lpwstr>
      </vt:variant>
      <vt:variant>
        <vt:lpwstr>18</vt:lpwstr>
      </vt:variant>
      <vt:variant>
        <vt:i4>7929890</vt:i4>
      </vt:variant>
      <vt:variant>
        <vt:i4>75</vt:i4>
      </vt:variant>
      <vt:variant>
        <vt:i4>0</vt:i4>
      </vt:variant>
      <vt:variant>
        <vt:i4>5</vt:i4>
      </vt:variant>
      <vt:variant>
        <vt:lpwstr>https://www.goodreports.org/reporting-checklists/cheers/info/</vt:lpwstr>
      </vt:variant>
      <vt:variant>
        <vt:lpwstr>17</vt:lpwstr>
      </vt:variant>
      <vt:variant>
        <vt:i4>7864354</vt:i4>
      </vt:variant>
      <vt:variant>
        <vt:i4>72</vt:i4>
      </vt:variant>
      <vt:variant>
        <vt:i4>0</vt:i4>
      </vt:variant>
      <vt:variant>
        <vt:i4>5</vt:i4>
      </vt:variant>
      <vt:variant>
        <vt:lpwstr>https://www.goodreports.org/reporting-checklists/cheers/info/</vt:lpwstr>
      </vt:variant>
      <vt:variant>
        <vt:lpwstr>16</vt:lpwstr>
      </vt:variant>
      <vt:variant>
        <vt:i4>8060962</vt:i4>
      </vt:variant>
      <vt:variant>
        <vt:i4>69</vt:i4>
      </vt:variant>
      <vt:variant>
        <vt:i4>0</vt:i4>
      </vt:variant>
      <vt:variant>
        <vt:i4>5</vt:i4>
      </vt:variant>
      <vt:variant>
        <vt:lpwstr>https://www.goodreports.org/reporting-checklists/cheers/info/</vt:lpwstr>
      </vt:variant>
      <vt:variant>
        <vt:lpwstr>15</vt:lpwstr>
      </vt:variant>
      <vt:variant>
        <vt:i4>7995426</vt:i4>
      </vt:variant>
      <vt:variant>
        <vt:i4>66</vt:i4>
      </vt:variant>
      <vt:variant>
        <vt:i4>0</vt:i4>
      </vt:variant>
      <vt:variant>
        <vt:i4>5</vt:i4>
      </vt:variant>
      <vt:variant>
        <vt:lpwstr>https://www.goodreports.org/reporting-checklists/cheers/info/</vt:lpwstr>
      </vt:variant>
      <vt:variant>
        <vt:lpwstr>14</vt:lpwstr>
      </vt:variant>
      <vt:variant>
        <vt:i4>8192034</vt:i4>
      </vt:variant>
      <vt:variant>
        <vt:i4>63</vt:i4>
      </vt:variant>
      <vt:variant>
        <vt:i4>0</vt:i4>
      </vt:variant>
      <vt:variant>
        <vt:i4>5</vt:i4>
      </vt:variant>
      <vt:variant>
        <vt:lpwstr>https://www.goodreports.org/reporting-checklists/cheers/info/</vt:lpwstr>
      </vt:variant>
      <vt:variant>
        <vt:lpwstr>13b</vt:lpwstr>
      </vt:variant>
      <vt:variant>
        <vt:i4>8192034</vt:i4>
      </vt:variant>
      <vt:variant>
        <vt:i4>60</vt:i4>
      </vt:variant>
      <vt:variant>
        <vt:i4>0</vt:i4>
      </vt:variant>
      <vt:variant>
        <vt:i4>5</vt:i4>
      </vt:variant>
      <vt:variant>
        <vt:lpwstr>https://www.goodreports.org/reporting-checklists/cheers/info/</vt:lpwstr>
      </vt:variant>
      <vt:variant>
        <vt:lpwstr>13a</vt:lpwstr>
      </vt:variant>
      <vt:variant>
        <vt:i4>8126498</vt:i4>
      </vt:variant>
      <vt:variant>
        <vt:i4>57</vt:i4>
      </vt:variant>
      <vt:variant>
        <vt:i4>0</vt:i4>
      </vt:variant>
      <vt:variant>
        <vt:i4>5</vt:i4>
      </vt:variant>
      <vt:variant>
        <vt:lpwstr>https://www.goodreports.org/reporting-checklists/cheers/info/</vt:lpwstr>
      </vt:variant>
      <vt:variant>
        <vt:lpwstr>12</vt:lpwstr>
      </vt:variant>
      <vt:variant>
        <vt:i4>8323106</vt:i4>
      </vt:variant>
      <vt:variant>
        <vt:i4>54</vt:i4>
      </vt:variant>
      <vt:variant>
        <vt:i4>0</vt:i4>
      </vt:variant>
      <vt:variant>
        <vt:i4>5</vt:i4>
      </vt:variant>
      <vt:variant>
        <vt:lpwstr>https://www.goodreports.org/reporting-checklists/cheers/info/</vt:lpwstr>
      </vt:variant>
      <vt:variant>
        <vt:lpwstr>11b</vt:lpwstr>
      </vt:variant>
      <vt:variant>
        <vt:i4>8323106</vt:i4>
      </vt:variant>
      <vt:variant>
        <vt:i4>51</vt:i4>
      </vt:variant>
      <vt:variant>
        <vt:i4>0</vt:i4>
      </vt:variant>
      <vt:variant>
        <vt:i4>5</vt:i4>
      </vt:variant>
      <vt:variant>
        <vt:lpwstr>https://www.goodreports.org/reporting-checklists/cheers/info/</vt:lpwstr>
      </vt:variant>
      <vt:variant>
        <vt:lpwstr>11a</vt:lpwstr>
      </vt:variant>
      <vt:variant>
        <vt:i4>8257570</vt:i4>
      </vt:variant>
      <vt:variant>
        <vt:i4>48</vt:i4>
      </vt:variant>
      <vt:variant>
        <vt:i4>0</vt:i4>
      </vt:variant>
      <vt:variant>
        <vt:i4>5</vt:i4>
      </vt:variant>
      <vt:variant>
        <vt:lpwstr>https://www.goodreports.org/reporting-checklists/cheers/info/</vt:lpwstr>
      </vt:variant>
      <vt:variant>
        <vt:lpwstr>10</vt:lpwstr>
      </vt:variant>
      <vt:variant>
        <vt:i4>5111850</vt:i4>
      </vt:variant>
      <vt:variant>
        <vt:i4>45</vt:i4>
      </vt:variant>
      <vt:variant>
        <vt:i4>0</vt:i4>
      </vt:variant>
      <vt:variant>
        <vt:i4>5</vt:i4>
      </vt:variant>
      <vt:variant>
        <vt:lpwstr>https://www.goodreports.org/reporting-checklists/cheers/info/</vt:lpwstr>
      </vt:variant>
      <vt:variant>
        <vt:lpwstr>9</vt:lpwstr>
      </vt:variant>
      <vt:variant>
        <vt:i4>5111851</vt:i4>
      </vt:variant>
      <vt:variant>
        <vt:i4>42</vt:i4>
      </vt:variant>
      <vt:variant>
        <vt:i4>0</vt:i4>
      </vt:variant>
      <vt:variant>
        <vt:i4>5</vt:i4>
      </vt:variant>
      <vt:variant>
        <vt:lpwstr>https://www.goodreports.org/reporting-checklists/cheers/info/</vt:lpwstr>
      </vt:variant>
      <vt:variant>
        <vt:lpwstr>8</vt:lpwstr>
      </vt:variant>
      <vt:variant>
        <vt:i4>5111844</vt:i4>
      </vt:variant>
      <vt:variant>
        <vt:i4>39</vt:i4>
      </vt:variant>
      <vt:variant>
        <vt:i4>0</vt:i4>
      </vt:variant>
      <vt:variant>
        <vt:i4>5</vt:i4>
      </vt:variant>
      <vt:variant>
        <vt:lpwstr>https://www.goodreports.org/reporting-checklists/cheers/info/</vt:lpwstr>
      </vt:variant>
      <vt:variant>
        <vt:lpwstr>7</vt:lpwstr>
      </vt:variant>
      <vt:variant>
        <vt:i4>5111845</vt:i4>
      </vt:variant>
      <vt:variant>
        <vt:i4>36</vt:i4>
      </vt:variant>
      <vt:variant>
        <vt:i4>0</vt:i4>
      </vt:variant>
      <vt:variant>
        <vt:i4>5</vt:i4>
      </vt:variant>
      <vt:variant>
        <vt:lpwstr>https://www.goodreports.org/reporting-checklists/cheers/info/</vt:lpwstr>
      </vt:variant>
      <vt:variant>
        <vt:lpwstr>6</vt:lpwstr>
      </vt:variant>
      <vt:variant>
        <vt:i4>5111846</vt:i4>
      </vt:variant>
      <vt:variant>
        <vt:i4>33</vt:i4>
      </vt:variant>
      <vt:variant>
        <vt:i4>0</vt:i4>
      </vt:variant>
      <vt:variant>
        <vt:i4>5</vt:i4>
      </vt:variant>
      <vt:variant>
        <vt:lpwstr>https://www.goodreports.org/reporting-checklists/cheers/info/</vt:lpwstr>
      </vt:variant>
      <vt:variant>
        <vt:lpwstr>5</vt:lpwstr>
      </vt:variant>
      <vt:variant>
        <vt:i4>5111847</vt:i4>
      </vt:variant>
      <vt:variant>
        <vt:i4>30</vt:i4>
      </vt:variant>
      <vt:variant>
        <vt:i4>0</vt:i4>
      </vt:variant>
      <vt:variant>
        <vt:i4>5</vt:i4>
      </vt:variant>
      <vt:variant>
        <vt:lpwstr>https://www.goodreports.org/reporting-checklists/cheers/info/</vt:lpwstr>
      </vt:variant>
      <vt:variant>
        <vt:lpwstr>4</vt:lpwstr>
      </vt:variant>
      <vt:variant>
        <vt:i4>5111840</vt:i4>
      </vt:variant>
      <vt:variant>
        <vt:i4>27</vt:i4>
      </vt:variant>
      <vt:variant>
        <vt:i4>0</vt:i4>
      </vt:variant>
      <vt:variant>
        <vt:i4>5</vt:i4>
      </vt:variant>
      <vt:variant>
        <vt:lpwstr>https://www.goodreports.org/reporting-checklists/cheers/info/</vt:lpwstr>
      </vt:variant>
      <vt:variant>
        <vt:lpwstr>3</vt:lpwstr>
      </vt:variant>
      <vt:variant>
        <vt:i4>5111841</vt:i4>
      </vt:variant>
      <vt:variant>
        <vt:i4>24</vt:i4>
      </vt:variant>
      <vt:variant>
        <vt:i4>0</vt:i4>
      </vt:variant>
      <vt:variant>
        <vt:i4>5</vt:i4>
      </vt:variant>
      <vt:variant>
        <vt:lpwstr>https://www.goodreports.org/reporting-checklists/cheers/info/</vt:lpwstr>
      </vt:variant>
      <vt:variant>
        <vt:lpwstr>2</vt:lpwstr>
      </vt:variant>
      <vt:variant>
        <vt:i4>5111842</vt:i4>
      </vt:variant>
      <vt:variant>
        <vt:i4>21</vt:i4>
      </vt:variant>
      <vt:variant>
        <vt:i4>0</vt:i4>
      </vt:variant>
      <vt:variant>
        <vt:i4>5</vt:i4>
      </vt:variant>
      <vt:variant>
        <vt:lpwstr>https://www.goodreports.org/reporting-checklists/cheers/info/</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 Ross</dc:creator>
  <cp:keywords/>
  <dc:description/>
  <cp:lastModifiedBy>Jennifer M Ross</cp:lastModifiedBy>
  <cp:revision>12</cp:revision>
  <dcterms:created xsi:type="dcterms:W3CDTF">2021-08-30T18:38:00Z</dcterms:created>
  <dcterms:modified xsi:type="dcterms:W3CDTF">2021-08-31T19:26:00Z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0x01010056CEBECBD474214296C9A95CDD604540</vt:lpwstr>
  </property>
  <property fmtid="{D5CDD505-2E9C-101B-9397-08002B2CF9AE}" pid="3" name="ZOTERO_PREF_1">
    <vt:lpwstr>&lt;data data-version="3" zotero-version="5.0.96.3"&gt;&lt;session id="yMnXDcb7"/&gt;&lt;style id="http://www.zotero.org/styles/the-new-england-journal-of-medicine" hasBibliography="1" bibliographyStyleHasBeenSet="1"/&gt;&lt;prefs&gt;&lt;pref name="fieldType" value="Field"/&gt;&lt;pref n</vt:lpwstr>
  </property>
  <property fmtid="{D5CDD505-2E9C-101B-9397-08002B2CF9AE}" pid="4" name="ZOTERO_PREF_2">
    <vt:lpwstr>ame="automaticJournalAbbreviations" value="true"/&gt;&lt;/prefs&gt;&lt;/data&gt;</vt:lpwstr>
  </property>
</Properties>
</file>