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B9EF" w14:textId="77B35131" w:rsidR="000E2F65" w:rsidRDefault="00D60EA0" w:rsidP="00C9672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Appendix:</w:t>
      </w:r>
    </w:p>
    <w:p w14:paraId="73E226A0" w14:textId="77777777" w:rsidR="000E2F65" w:rsidRDefault="000E2F65" w:rsidP="000E2F65">
      <w:pPr>
        <w:rPr>
          <w:b/>
          <w:bCs/>
        </w:rPr>
      </w:pPr>
      <w:r>
        <w:rPr>
          <w:b/>
          <w:bCs/>
        </w:rPr>
        <w:t>Association Between SARS-CoV-2 RNAemia and Post-Acute Sequelae of COVID-19.</w:t>
      </w:r>
    </w:p>
    <w:p w14:paraId="45F0CC39" w14:textId="77777777" w:rsidR="000E2F65" w:rsidRDefault="000E2F65" w:rsidP="000E2F65">
      <w:pPr>
        <w:rPr>
          <w:b/>
          <w:bCs/>
        </w:rPr>
      </w:pPr>
    </w:p>
    <w:p w14:paraId="41D7898A" w14:textId="77777777" w:rsidR="000E2F65" w:rsidRPr="0059089E" w:rsidRDefault="000E2F65" w:rsidP="000E2F65">
      <w:pPr>
        <w:jc w:val="both"/>
      </w:pPr>
      <w:r>
        <w:t>Nikhil Ram-Mohan PhD</w:t>
      </w:r>
      <w:r>
        <w:rPr>
          <w:vertAlign w:val="superscript"/>
        </w:rPr>
        <w:t>1</w:t>
      </w:r>
      <w:r>
        <w:t>, David Kim MD PhD</w:t>
      </w:r>
      <w:r>
        <w:rPr>
          <w:vertAlign w:val="superscript"/>
        </w:rPr>
        <w:t>1</w:t>
      </w:r>
      <w:r>
        <w:t>, Angela J Rogers MD MPH</w:t>
      </w:r>
      <w:r w:rsidRPr="0008006C">
        <w:rPr>
          <w:vertAlign w:val="superscript"/>
        </w:rPr>
        <w:t>2</w:t>
      </w:r>
      <w:r>
        <w:t xml:space="preserve">, Catherine A </w:t>
      </w:r>
      <w:proofErr w:type="spellStart"/>
      <w:r>
        <w:t>Blish</w:t>
      </w:r>
      <w:proofErr w:type="spellEnd"/>
      <w:r>
        <w:t xml:space="preserve"> MD PhD</w:t>
      </w:r>
      <w:r w:rsidRPr="0008006C">
        <w:rPr>
          <w:vertAlign w:val="superscript"/>
        </w:rPr>
        <w:t>3</w:t>
      </w:r>
      <w:r>
        <w:t>, Kari C Nadeau MD PhD</w:t>
      </w:r>
      <w:r>
        <w:rPr>
          <w:vertAlign w:val="superscript"/>
        </w:rPr>
        <w:t>2</w:t>
      </w:r>
      <w:r>
        <w:t>, Andra L Blomkalns MD</w:t>
      </w:r>
      <w:r>
        <w:rPr>
          <w:vertAlign w:val="superscript"/>
        </w:rPr>
        <w:t>1</w:t>
      </w:r>
      <w:r>
        <w:t>, Samuel Yang MD</w:t>
      </w:r>
      <w:r w:rsidRPr="0008006C">
        <w:rPr>
          <w:vertAlign w:val="superscript"/>
        </w:rPr>
        <w:t>1</w:t>
      </w:r>
      <w:r>
        <w:rPr>
          <w:vertAlign w:val="superscript"/>
        </w:rPr>
        <w:t>*</w:t>
      </w:r>
    </w:p>
    <w:p w14:paraId="04C43D04" w14:textId="77777777" w:rsidR="000E2F65" w:rsidRDefault="000E2F65" w:rsidP="000E2F65">
      <w:pPr>
        <w:jc w:val="both"/>
      </w:pPr>
    </w:p>
    <w:p w14:paraId="776579AC" w14:textId="77777777" w:rsidR="000E2F65" w:rsidRPr="0008006C" w:rsidRDefault="000E2F65" w:rsidP="000E2F65">
      <w:pPr>
        <w:jc w:val="both"/>
        <w:rPr>
          <w:sz w:val="20"/>
          <w:szCs w:val="20"/>
        </w:rPr>
      </w:pPr>
      <w:r w:rsidRPr="0008006C">
        <w:rPr>
          <w:sz w:val="20"/>
          <w:szCs w:val="20"/>
          <w:vertAlign w:val="superscript"/>
        </w:rPr>
        <w:t xml:space="preserve">1 </w:t>
      </w:r>
      <w:r w:rsidRPr="0008006C">
        <w:rPr>
          <w:sz w:val="20"/>
          <w:szCs w:val="20"/>
        </w:rPr>
        <w:t>Department of Emergency Medicine, Stanford University School of Medicine</w:t>
      </w:r>
      <w:r>
        <w:rPr>
          <w:sz w:val="20"/>
          <w:szCs w:val="20"/>
        </w:rPr>
        <w:t>, Palo Alto CA 94305 USA</w:t>
      </w:r>
    </w:p>
    <w:p w14:paraId="0AF9B6AC" w14:textId="77777777" w:rsidR="000E2F65" w:rsidRDefault="000E2F65" w:rsidP="000E2F65">
      <w:pPr>
        <w:ind w:left="90" w:hanging="90"/>
        <w:jc w:val="both"/>
        <w:rPr>
          <w:sz w:val="20"/>
          <w:szCs w:val="20"/>
        </w:rPr>
      </w:pPr>
      <w:r w:rsidRPr="0008006C">
        <w:rPr>
          <w:sz w:val="20"/>
          <w:szCs w:val="20"/>
          <w:vertAlign w:val="superscript"/>
        </w:rPr>
        <w:t xml:space="preserve">2 </w:t>
      </w:r>
      <w:r w:rsidRPr="0008006C">
        <w:rPr>
          <w:sz w:val="20"/>
          <w:szCs w:val="20"/>
        </w:rPr>
        <w:t>Department of Medicine - Pulmonary, Allergy &amp; Critical Care Medicine</w:t>
      </w:r>
      <w:r w:rsidRPr="009A365B">
        <w:rPr>
          <w:sz w:val="20"/>
          <w:szCs w:val="20"/>
        </w:rPr>
        <w:t>, Stanford University School of Medicine</w:t>
      </w:r>
      <w:r>
        <w:rPr>
          <w:sz w:val="20"/>
          <w:szCs w:val="20"/>
        </w:rPr>
        <w:t>, Palo Alto CA 94305 USA</w:t>
      </w:r>
    </w:p>
    <w:p w14:paraId="28E18947" w14:textId="77777777" w:rsidR="000E2F65" w:rsidRPr="0008006C" w:rsidRDefault="000E2F65" w:rsidP="000E2F65">
      <w:pPr>
        <w:jc w:val="both"/>
        <w:rPr>
          <w:sz w:val="20"/>
          <w:szCs w:val="20"/>
        </w:rPr>
      </w:pPr>
      <w:r w:rsidRPr="0008006C">
        <w:rPr>
          <w:sz w:val="20"/>
          <w:szCs w:val="20"/>
          <w:vertAlign w:val="superscript"/>
        </w:rPr>
        <w:t xml:space="preserve">3 </w:t>
      </w:r>
      <w:r w:rsidRPr="0008006C">
        <w:rPr>
          <w:sz w:val="20"/>
          <w:szCs w:val="20"/>
        </w:rPr>
        <w:t>Department of Medicine/Infectious Diseases</w:t>
      </w:r>
      <w:r w:rsidRPr="009A365B">
        <w:rPr>
          <w:sz w:val="20"/>
          <w:szCs w:val="20"/>
        </w:rPr>
        <w:t>, Stanford University School of Medicine</w:t>
      </w:r>
      <w:r>
        <w:rPr>
          <w:sz w:val="20"/>
          <w:szCs w:val="20"/>
        </w:rPr>
        <w:t>, Palo Alto CA 94305 USA</w:t>
      </w:r>
    </w:p>
    <w:p w14:paraId="6F5C2362" w14:textId="77777777" w:rsidR="000E2F65" w:rsidRPr="0008006C" w:rsidRDefault="000E2F65" w:rsidP="000E2F65">
      <w:pPr>
        <w:ind w:left="90" w:hanging="90"/>
        <w:jc w:val="both"/>
        <w:rPr>
          <w:sz w:val="20"/>
          <w:szCs w:val="20"/>
        </w:rPr>
      </w:pPr>
    </w:p>
    <w:p w14:paraId="3CC66874" w14:textId="77777777" w:rsidR="000E2F65" w:rsidRDefault="000E2F65" w:rsidP="000E2F65">
      <w:pPr>
        <w:jc w:val="both"/>
        <w:rPr>
          <w:vertAlign w:val="superscript"/>
        </w:rPr>
      </w:pPr>
    </w:p>
    <w:p w14:paraId="22A1FBBD" w14:textId="77777777" w:rsidR="000E2F65" w:rsidRDefault="000E2F65" w:rsidP="000E2F65">
      <w:pPr>
        <w:jc w:val="both"/>
      </w:pPr>
      <w:r>
        <w:rPr>
          <w:vertAlign w:val="superscript"/>
        </w:rPr>
        <w:t xml:space="preserve">* </w:t>
      </w:r>
      <w:r>
        <w:t xml:space="preserve">Correspondence to: </w:t>
      </w:r>
    </w:p>
    <w:p w14:paraId="3B435415" w14:textId="77777777" w:rsidR="000E2F65" w:rsidRDefault="000E2F65" w:rsidP="000E2F65">
      <w:pPr>
        <w:jc w:val="both"/>
      </w:pPr>
    </w:p>
    <w:p w14:paraId="20FD7BFA" w14:textId="77777777" w:rsidR="000E2F65" w:rsidRDefault="000E2F65" w:rsidP="000E2F65">
      <w:pPr>
        <w:ind w:firstLine="720"/>
        <w:jc w:val="both"/>
      </w:pPr>
      <w:r>
        <w:t>Samuel Yang</w:t>
      </w:r>
    </w:p>
    <w:p w14:paraId="3789F133" w14:textId="77777777" w:rsidR="000E2F65" w:rsidRDefault="00335119" w:rsidP="000E2F65">
      <w:pPr>
        <w:ind w:firstLine="720"/>
        <w:jc w:val="both"/>
      </w:pPr>
      <w:hyperlink r:id="rId5" w:history="1">
        <w:r w:rsidR="000E2F65" w:rsidRPr="00D86163">
          <w:rPr>
            <w:rStyle w:val="Hyperlink"/>
          </w:rPr>
          <w:t>syang5@stanford.edu</w:t>
        </w:r>
      </w:hyperlink>
    </w:p>
    <w:p w14:paraId="41F70107" w14:textId="77777777" w:rsidR="000E2F65" w:rsidRDefault="000E2F65" w:rsidP="000E2F65">
      <w:pPr>
        <w:ind w:firstLine="720"/>
        <w:jc w:val="both"/>
      </w:pPr>
      <w:r w:rsidRPr="0008006C">
        <w:t>(650) 725-9492</w:t>
      </w:r>
    </w:p>
    <w:p w14:paraId="7A0383BF" w14:textId="3BEF38AB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635DCAC4" w14:textId="2038A875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38A34F85" w14:textId="6C2E71F0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4CD5EF1C" w14:textId="4642E6CE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0F9D3A51" w14:textId="1DD2E1DC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3E2F83BF" w14:textId="3FDE1386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459FCD0D" w14:textId="1E8A4F9B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3B1CA5A8" w14:textId="550BE849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44DB1295" w14:textId="2364C4B5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6BDB20C7" w14:textId="50856801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28F3D5FE" w14:textId="2D652CC5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1D733D96" w14:textId="690E69EC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6902790B" w14:textId="1EEA93EF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4920B7ED" w14:textId="185E759C" w:rsidR="000E2F65" w:rsidRDefault="000E2F65" w:rsidP="00C96723">
      <w:pPr>
        <w:spacing w:line="480" w:lineRule="auto"/>
        <w:rPr>
          <w:rFonts w:ascii="Times New Roman" w:hAnsi="Times New Roman" w:cs="Times New Roman"/>
        </w:rPr>
      </w:pPr>
    </w:p>
    <w:p w14:paraId="1C9457DE" w14:textId="4D6FE96A" w:rsidR="00520905" w:rsidRPr="00227E41" w:rsidRDefault="00520905" w:rsidP="00C96723">
      <w:pPr>
        <w:spacing w:line="480" w:lineRule="auto"/>
        <w:rPr>
          <w:rFonts w:ascii="Times New Roman" w:hAnsi="Times New Roman" w:cs="Times New Roman"/>
          <w:b/>
          <w:bCs/>
        </w:rPr>
      </w:pPr>
      <w:r w:rsidRPr="00227E41">
        <w:rPr>
          <w:rFonts w:ascii="Times New Roman" w:hAnsi="Times New Roman" w:cs="Times New Roman"/>
          <w:b/>
          <w:bCs/>
        </w:rPr>
        <w:t>Table S1. Logistic model of PASC risk.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1980"/>
      </w:tblGrid>
      <w:tr w:rsidR="00520905" w14:paraId="371F26C7" w14:textId="77777777" w:rsidTr="00227E41">
        <w:tc>
          <w:tcPr>
            <w:tcW w:w="3116" w:type="dxa"/>
            <w:tcBorders>
              <w:top w:val="nil"/>
              <w:left w:val="nil"/>
            </w:tcBorders>
            <w:vAlign w:val="bottom"/>
          </w:tcPr>
          <w:p w14:paraId="3C0C1CB5" w14:textId="5B8F6549" w:rsidR="00520905" w:rsidRPr="00227E41" w:rsidRDefault="00520905" w:rsidP="00227E41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1649" w:type="dxa"/>
            <w:tcBorders>
              <w:top w:val="nil"/>
            </w:tcBorders>
            <w:vAlign w:val="bottom"/>
          </w:tcPr>
          <w:p w14:paraId="37B61DE1" w14:textId="20621024" w:rsidR="00520905" w:rsidRPr="00227E41" w:rsidRDefault="00520905" w:rsidP="00227E41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>Odds Ratio</w:t>
            </w:r>
          </w:p>
        </w:tc>
        <w:tc>
          <w:tcPr>
            <w:tcW w:w="1980" w:type="dxa"/>
            <w:tcBorders>
              <w:top w:val="nil"/>
              <w:right w:val="nil"/>
            </w:tcBorders>
            <w:vAlign w:val="bottom"/>
          </w:tcPr>
          <w:p w14:paraId="60A50E36" w14:textId="5385CDCE" w:rsidR="00520905" w:rsidRPr="00227E41" w:rsidRDefault="00520905" w:rsidP="00227E41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 xml:space="preserve">95% </w:t>
            </w:r>
            <w:r>
              <w:rPr>
                <w:rFonts w:ascii="Times New Roman" w:hAnsi="Times New Roman" w:cs="Times New Roman"/>
                <w:b/>
                <w:bCs/>
              </w:rPr>
              <w:t>CI</w:t>
            </w:r>
          </w:p>
        </w:tc>
      </w:tr>
      <w:tr w:rsidR="00520905" w14:paraId="1069209C" w14:textId="77777777" w:rsidTr="00227E41">
        <w:tc>
          <w:tcPr>
            <w:tcW w:w="3116" w:type="dxa"/>
            <w:tcBorders>
              <w:left w:val="nil"/>
            </w:tcBorders>
          </w:tcPr>
          <w:p w14:paraId="411F6F1E" w14:textId="6C08A378" w:rsidR="00520905" w:rsidRDefault="00520905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649" w:type="dxa"/>
          </w:tcPr>
          <w:p w14:paraId="6DF6AF08" w14:textId="766F49C8" w:rsidR="00520905" w:rsidRDefault="00227E41" w:rsidP="00227E41">
            <w:pPr>
              <w:rPr>
                <w:rFonts w:ascii="Times New Roman" w:hAnsi="Times New Roman" w:cs="Times New Roman"/>
              </w:rPr>
            </w:pPr>
            <w:r w:rsidRPr="00227E41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980" w:type="dxa"/>
            <w:tcBorders>
              <w:right w:val="nil"/>
            </w:tcBorders>
          </w:tcPr>
          <w:p w14:paraId="2BA5BDA5" w14:textId="2E8F6466" w:rsidR="00520905" w:rsidRDefault="00227E41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 – 1.00</w:t>
            </w:r>
          </w:p>
        </w:tc>
      </w:tr>
      <w:tr w:rsidR="00520905" w14:paraId="5E77133C" w14:textId="77777777" w:rsidTr="00227E41">
        <w:tc>
          <w:tcPr>
            <w:tcW w:w="3116" w:type="dxa"/>
            <w:tcBorders>
              <w:left w:val="nil"/>
            </w:tcBorders>
          </w:tcPr>
          <w:p w14:paraId="2C14C6F5" w14:textId="595A6877" w:rsidR="00520905" w:rsidRDefault="00227E41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649" w:type="dxa"/>
          </w:tcPr>
          <w:p w14:paraId="34216704" w14:textId="1ADBE46C" w:rsidR="00520905" w:rsidRDefault="00227E41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980" w:type="dxa"/>
            <w:tcBorders>
              <w:right w:val="nil"/>
            </w:tcBorders>
          </w:tcPr>
          <w:p w14:paraId="0079DF45" w14:textId="413AC816" w:rsidR="00520905" w:rsidRDefault="00227E41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 – 1.03</w:t>
            </w:r>
          </w:p>
        </w:tc>
      </w:tr>
      <w:tr w:rsidR="00520905" w14:paraId="04AE8393" w14:textId="77777777" w:rsidTr="00227E41">
        <w:tc>
          <w:tcPr>
            <w:tcW w:w="3116" w:type="dxa"/>
            <w:tcBorders>
              <w:left w:val="nil"/>
            </w:tcBorders>
          </w:tcPr>
          <w:p w14:paraId="1929D558" w14:textId="359F34F7" w:rsidR="00520905" w:rsidRDefault="00520905" w:rsidP="00227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Disease severity at enrollment (reference = mild)</w:t>
            </w:r>
          </w:p>
        </w:tc>
        <w:tc>
          <w:tcPr>
            <w:tcW w:w="1649" w:type="dxa"/>
          </w:tcPr>
          <w:p w14:paraId="74EA4929" w14:textId="77777777" w:rsidR="00520905" w:rsidRDefault="00520905" w:rsidP="00227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5B05B2F0" w14:textId="77777777" w:rsidR="00520905" w:rsidRDefault="00520905" w:rsidP="00227E41">
            <w:pPr>
              <w:rPr>
                <w:rFonts w:ascii="Times New Roman" w:hAnsi="Times New Roman" w:cs="Times New Roman"/>
              </w:rPr>
            </w:pPr>
          </w:p>
        </w:tc>
      </w:tr>
      <w:tr w:rsidR="00520905" w14:paraId="1331BD83" w14:textId="77777777" w:rsidTr="00227E41">
        <w:tc>
          <w:tcPr>
            <w:tcW w:w="3116" w:type="dxa"/>
            <w:tcBorders>
              <w:left w:val="nil"/>
            </w:tcBorders>
          </w:tcPr>
          <w:p w14:paraId="1D9B6BBB" w14:textId="42B6889D" w:rsidR="00520905" w:rsidRDefault="00520905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Moderate</w:t>
            </w:r>
          </w:p>
        </w:tc>
        <w:tc>
          <w:tcPr>
            <w:tcW w:w="1649" w:type="dxa"/>
          </w:tcPr>
          <w:p w14:paraId="6E80A6B8" w14:textId="7C1E1880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980" w:type="dxa"/>
            <w:tcBorders>
              <w:right w:val="nil"/>
            </w:tcBorders>
          </w:tcPr>
          <w:p w14:paraId="5888CD1D" w14:textId="46138691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 – 1.32</w:t>
            </w:r>
          </w:p>
        </w:tc>
      </w:tr>
      <w:tr w:rsidR="00520905" w14:paraId="61427AD7" w14:textId="77777777" w:rsidTr="00227E41">
        <w:tc>
          <w:tcPr>
            <w:tcW w:w="3116" w:type="dxa"/>
            <w:tcBorders>
              <w:left w:val="nil"/>
            </w:tcBorders>
          </w:tcPr>
          <w:p w14:paraId="7C92AE93" w14:textId="3FF21617" w:rsidR="00520905" w:rsidRDefault="00520905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Severe</w:t>
            </w:r>
          </w:p>
        </w:tc>
        <w:tc>
          <w:tcPr>
            <w:tcW w:w="1649" w:type="dxa"/>
          </w:tcPr>
          <w:p w14:paraId="2240258E" w14:textId="4B8D67EC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980" w:type="dxa"/>
            <w:tcBorders>
              <w:right w:val="nil"/>
            </w:tcBorders>
          </w:tcPr>
          <w:p w14:paraId="11ED8CE2" w14:textId="1FA074C5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 – 1.83</w:t>
            </w:r>
          </w:p>
        </w:tc>
      </w:tr>
      <w:tr w:rsidR="00520905" w14:paraId="0FF22797" w14:textId="77777777" w:rsidTr="00227E41">
        <w:tc>
          <w:tcPr>
            <w:tcW w:w="3116" w:type="dxa"/>
            <w:tcBorders>
              <w:left w:val="nil"/>
            </w:tcBorders>
          </w:tcPr>
          <w:p w14:paraId="0B0F1689" w14:textId="14CBCD45" w:rsidR="00520905" w:rsidRDefault="00520905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of symptoms by enrollment</w:t>
            </w:r>
          </w:p>
        </w:tc>
        <w:tc>
          <w:tcPr>
            <w:tcW w:w="1649" w:type="dxa"/>
          </w:tcPr>
          <w:p w14:paraId="5CE035A6" w14:textId="277E7AB7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980" w:type="dxa"/>
            <w:tcBorders>
              <w:right w:val="nil"/>
            </w:tcBorders>
          </w:tcPr>
          <w:p w14:paraId="2076FDC5" w14:textId="4B892EC5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 – 1.02</w:t>
            </w:r>
          </w:p>
        </w:tc>
      </w:tr>
      <w:tr w:rsidR="00520905" w14:paraId="47CF8187" w14:textId="77777777" w:rsidTr="00227E41">
        <w:trPr>
          <w:trHeight w:val="143"/>
        </w:trPr>
        <w:tc>
          <w:tcPr>
            <w:tcW w:w="3116" w:type="dxa"/>
            <w:tcBorders>
              <w:left w:val="nil"/>
            </w:tcBorders>
          </w:tcPr>
          <w:p w14:paraId="65C8613D" w14:textId="003A89CB" w:rsidR="00520905" w:rsidRPr="00227E41" w:rsidRDefault="00520905" w:rsidP="00520905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>RNAemia at enrollment</w:t>
            </w:r>
          </w:p>
        </w:tc>
        <w:tc>
          <w:tcPr>
            <w:tcW w:w="1649" w:type="dxa"/>
          </w:tcPr>
          <w:p w14:paraId="534756A6" w14:textId="16FCB7AD" w:rsidR="00520905" w:rsidRPr="00227E41" w:rsidRDefault="00520905" w:rsidP="00520905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>1.3</w:t>
            </w:r>
            <w:r w:rsidR="00581A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0" w:type="dxa"/>
            <w:tcBorders>
              <w:right w:val="nil"/>
            </w:tcBorders>
          </w:tcPr>
          <w:p w14:paraId="72D3F0F3" w14:textId="781F163A" w:rsidR="00520905" w:rsidRPr="00227E41" w:rsidRDefault="00520905" w:rsidP="00520905">
            <w:pPr>
              <w:rPr>
                <w:rFonts w:ascii="Times New Roman" w:hAnsi="Times New Roman" w:cs="Times New Roman"/>
                <w:b/>
                <w:bCs/>
              </w:rPr>
            </w:pPr>
            <w:r w:rsidRPr="00227E41">
              <w:rPr>
                <w:rFonts w:ascii="Times New Roman" w:hAnsi="Times New Roman" w:cs="Times New Roman"/>
                <w:b/>
                <w:bCs/>
              </w:rPr>
              <w:t>1.0</w:t>
            </w:r>
            <w:r w:rsidR="00581A79">
              <w:rPr>
                <w:rFonts w:ascii="Times New Roman" w:hAnsi="Times New Roman" w:cs="Times New Roman"/>
                <w:b/>
                <w:bCs/>
              </w:rPr>
              <w:t>8</w:t>
            </w:r>
            <w:r w:rsidRPr="00227E41">
              <w:rPr>
                <w:rFonts w:ascii="Times New Roman" w:hAnsi="Times New Roman" w:cs="Times New Roman"/>
                <w:b/>
                <w:bCs/>
              </w:rPr>
              <w:t xml:space="preserve"> – 1.59</w:t>
            </w:r>
          </w:p>
        </w:tc>
      </w:tr>
      <w:tr w:rsidR="00520905" w14:paraId="6A3E6A08" w14:textId="77777777" w:rsidTr="00227E41">
        <w:tc>
          <w:tcPr>
            <w:tcW w:w="3116" w:type="dxa"/>
            <w:tcBorders>
              <w:left w:val="nil"/>
            </w:tcBorders>
          </w:tcPr>
          <w:p w14:paraId="18D70C7F" w14:textId="24620430" w:rsidR="00520905" w:rsidRDefault="00520905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Symptomatic at enrollment</w:t>
            </w:r>
          </w:p>
        </w:tc>
        <w:tc>
          <w:tcPr>
            <w:tcW w:w="1649" w:type="dxa"/>
          </w:tcPr>
          <w:p w14:paraId="0D0717B1" w14:textId="39FE787A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980" w:type="dxa"/>
            <w:tcBorders>
              <w:right w:val="nil"/>
            </w:tcBorders>
          </w:tcPr>
          <w:p w14:paraId="64249393" w14:textId="053064B7" w:rsidR="00520905" w:rsidRDefault="00227E41" w:rsidP="0052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 – 1.83</w:t>
            </w:r>
          </w:p>
        </w:tc>
      </w:tr>
    </w:tbl>
    <w:p w14:paraId="2F2A978D" w14:textId="7C6678B7" w:rsidR="00520905" w:rsidRDefault="00520905" w:rsidP="0022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n=</w:t>
      </w:r>
      <w:r w:rsidR="00227E41">
        <w:rPr>
          <w:rFonts w:ascii="Times New Roman" w:hAnsi="Times New Roman" w:cs="Times New Roman"/>
        </w:rPr>
        <w:t>155</w:t>
      </w:r>
    </w:p>
    <w:p w14:paraId="31315D31" w14:textId="77777777" w:rsidR="00520905" w:rsidRDefault="00520905" w:rsidP="00C96723">
      <w:pPr>
        <w:spacing w:line="480" w:lineRule="auto"/>
        <w:rPr>
          <w:rFonts w:ascii="Times New Roman" w:hAnsi="Times New Roman" w:cs="Times New Roman"/>
        </w:rPr>
      </w:pPr>
    </w:p>
    <w:p w14:paraId="035236DE" w14:textId="54A627A0" w:rsidR="00C96723" w:rsidRPr="00C96723" w:rsidRDefault="00C96723" w:rsidP="00227E41">
      <w:pPr>
        <w:rPr>
          <w:rFonts w:ascii="Times New Roman" w:hAnsi="Times New Roman" w:cs="Times New Roman"/>
        </w:rPr>
      </w:pPr>
      <w:r w:rsidRPr="00C96723">
        <w:rPr>
          <w:rFonts w:ascii="Times New Roman" w:hAnsi="Times New Roman" w:cs="Times New Roman"/>
        </w:rPr>
        <w:t xml:space="preserve">Potential predictors of Post-Acute Sequelae of COVID-19 (PASC) at follow-up included: </w:t>
      </w:r>
      <w:r w:rsidR="00520905">
        <w:rPr>
          <w:rFonts w:ascii="Times New Roman" w:hAnsi="Times New Roman" w:cs="Times New Roman"/>
        </w:rPr>
        <w:t>a</w:t>
      </w:r>
      <w:r w:rsidRPr="00C96723">
        <w:rPr>
          <w:rFonts w:ascii="Times New Roman" w:hAnsi="Times New Roman" w:cs="Times New Roman"/>
        </w:rPr>
        <w:t xml:space="preserve">ge, gender, severity of disease upon enrollment (mild = discharged from ED, moderate = hospitalized, requiring no more than oxygen by nasal cannula, and severe = hospitalized, requiring high-flow nasal cannula or mechanical ventilation), </w:t>
      </w:r>
      <w:r w:rsidR="00520905">
        <w:rPr>
          <w:rFonts w:ascii="Times New Roman" w:hAnsi="Times New Roman" w:cs="Times New Roman"/>
        </w:rPr>
        <w:t xml:space="preserve">duration </w:t>
      </w:r>
      <w:r w:rsidRPr="00C96723">
        <w:rPr>
          <w:rFonts w:ascii="Times New Roman" w:hAnsi="Times New Roman" w:cs="Times New Roman"/>
        </w:rPr>
        <w:t>of symptoms upon enrollment, RNAemia</w:t>
      </w:r>
      <w:r w:rsidR="00520905">
        <w:rPr>
          <w:rFonts w:ascii="Times New Roman" w:hAnsi="Times New Roman" w:cs="Times New Roman"/>
        </w:rPr>
        <w:t xml:space="preserve"> at enrollment</w:t>
      </w:r>
      <w:r w:rsidRPr="00C96723">
        <w:rPr>
          <w:rFonts w:ascii="Times New Roman" w:hAnsi="Times New Roman" w:cs="Times New Roman"/>
        </w:rPr>
        <w:t xml:space="preserve">, and </w:t>
      </w:r>
      <w:r w:rsidR="00520905">
        <w:rPr>
          <w:rFonts w:ascii="Times New Roman" w:hAnsi="Times New Roman" w:cs="Times New Roman"/>
        </w:rPr>
        <w:t xml:space="preserve">presence of </w:t>
      </w:r>
      <w:r w:rsidR="0033101E">
        <w:rPr>
          <w:rFonts w:ascii="Times New Roman" w:hAnsi="Times New Roman" w:cs="Times New Roman"/>
        </w:rPr>
        <w:t xml:space="preserve">any </w:t>
      </w:r>
      <w:r w:rsidRPr="00C96723">
        <w:rPr>
          <w:rFonts w:ascii="Times New Roman" w:hAnsi="Times New Roman" w:cs="Times New Roman"/>
        </w:rPr>
        <w:t>symptom at enrollment (anxiety, dizziness, fatigue, hair loss, palpitations, rash, insomnia, chest pain, chills, cough, decrease in sense of taste, fever, nausea/vomiting/diarrhea, headache, loss of smell, myalgia, new confusion, shortness of breath).</w:t>
      </w:r>
      <w:r w:rsidR="0033101E">
        <w:rPr>
          <w:rFonts w:ascii="Times New Roman" w:hAnsi="Times New Roman" w:cs="Times New Roman"/>
        </w:rPr>
        <w:t xml:space="preserve"> </w:t>
      </w:r>
    </w:p>
    <w:p w14:paraId="65713DCD" w14:textId="5B475893" w:rsidR="00335119" w:rsidRPr="00C96723" w:rsidRDefault="00C96723" w:rsidP="00C96723">
      <w:pPr>
        <w:spacing w:line="480" w:lineRule="auto"/>
        <w:rPr>
          <w:rFonts w:ascii="Times New Roman" w:hAnsi="Times New Roman" w:cs="Times New Roman"/>
        </w:rPr>
      </w:pPr>
      <w:r w:rsidRPr="00C96723">
        <w:rPr>
          <w:rFonts w:ascii="Times New Roman" w:hAnsi="Times New Roman" w:cs="Times New Roman"/>
        </w:rPr>
        <w:t xml:space="preserve"> </w:t>
      </w:r>
    </w:p>
    <w:sectPr w:rsidR="00335119" w:rsidRPr="00C96723" w:rsidSect="0087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23"/>
    <w:rsid w:val="000E2F65"/>
    <w:rsid w:val="00227E41"/>
    <w:rsid w:val="0033101E"/>
    <w:rsid w:val="00335119"/>
    <w:rsid w:val="00475659"/>
    <w:rsid w:val="00520905"/>
    <w:rsid w:val="00581A79"/>
    <w:rsid w:val="006A20CC"/>
    <w:rsid w:val="006F389A"/>
    <w:rsid w:val="007E0FB9"/>
    <w:rsid w:val="00824C99"/>
    <w:rsid w:val="00874BC6"/>
    <w:rsid w:val="009C783A"/>
    <w:rsid w:val="00C96723"/>
    <w:rsid w:val="00D60EA0"/>
    <w:rsid w:val="00E803C3"/>
    <w:rsid w:val="00F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D7A8"/>
  <w15:chartTrackingRefBased/>
  <w15:docId w15:val="{A09408DA-8564-42DE-A993-28B8164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F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ang5@stan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Ram Mohan</dc:creator>
  <cp:keywords/>
  <dc:description/>
  <cp:lastModifiedBy>Nikhil Ram Mohan</cp:lastModifiedBy>
  <cp:revision>6</cp:revision>
  <dcterms:created xsi:type="dcterms:W3CDTF">2021-08-25T22:24:00Z</dcterms:created>
  <dcterms:modified xsi:type="dcterms:W3CDTF">2021-08-27T19:11:00Z</dcterms:modified>
</cp:coreProperties>
</file>