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99AB2" w14:textId="77777777" w:rsidR="004F3135" w:rsidRPr="00E847E9" w:rsidRDefault="004F3135" w:rsidP="004F3135">
      <w:pPr>
        <w:widowControl w:val="0"/>
        <w:spacing w:line="360" w:lineRule="auto"/>
        <w:jc w:val="center"/>
        <w:rPr>
          <w:b/>
          <w:bCs/>
          <w:caps/>
          <w:noProof/>
          <w:sz w:val="28"/>
          <w:szCs w:val="28"/>
          <w:lang w:val="en-GB"/>
        </w:rPr>
      </w:pPr>
      <w:r w:rsidRPr="00E847E9">
        <w:rPr>
          <w:b/>
          <w:bCs/>
          <w:caps/>
          <w:noProof/>
          <w:sz w:val="28"/>
          <w:szCs w:val="28"/>
          <w:lang w:val="en-GB"/>
        </w:rPr>
        <w:t>Supplementary Material</w:t>
      </w:r>
    </w:p>
    <w:p w14:paraId="4040840B" w14:textId="77777777" w:rsidR="004F3135" w:rsidRPr="00E847E9" w:rsidRDefault="004F3135" w:rsidP="004F3135">
      <w:pPr>
        <w:widowControl w:val="0"/>
        <w:spacing w:line="480" w:lineRule="auto"/>
        <w:jc w:val="center"/>
        <w:rPr>
          <w:noProof/>
          <w:lang w:val="en-GB"/>
        </w:rPr>
      </w:pPr>
    </w:p>
    <w:p w14:paraId="06166A9F" w14:textId="77777777" w:rsidR="004F3135" w:rsidRPr="00E847E9" w:rsidRDefault="004F3135" w:rsidP="001D48D6">
      <w:pPr>
        <w:widowControl w:val="0"/>
        <w:autoSpaceDE w:val="0"/>
        <w:autoSpaceDN w:val="0"/>
        <w:adjustRightInd w:val="0"/>
        <w:spacing w:line="480" w:lineRule="auto"/>
        <w:rPr>
          <w:b/>
          <w:caps/>
          <w:lang w:val="en-GB"/>
        </w:rPr>
      </w:pPr>
      <w:r w:rsidRPr="00E847E9">
        <w:rPr>
          <w:b/>
          <w:caps/>
          <w:lang w:val="en-GB"/>
        </w:rPr>
        <w:t>Supplementary Figures</w:t>
      </w:r>
    </w:p>
    <w:p w14:paraId="25051A53" w14:textId="77777777" w:rsidR="004F3135" w:rsidRPr="00E847E9" w:rsidRDefault="004F3135" w:rsidP="001D48D6">
      <w:pPr>
        <w:widowControl w:val="0"/>
        <w:autoSpaceDE w:val="0"/>
        <w:autoSpaceDN w:val="0"/>
        <w:adjustRightInd w:val="0"/>
        <w:spacing w:line="480" w:lineRule="auto"/>
        <w:rPr>
          <w:b/>
          <w:lang w:val="en-GB"/>
        </w:rPr>
      </w:pPr>
    </w:p>
    <w:p w14:paraId="15BFD323" w14:textId="44D5F3A5" w:rsidR="001D48D6" w:rsidRPr="00E847E9" w:rsidRDefault="001D48D6" w:rsidP="001D48D6">
      <w:pPr>
        <w:widowControl w:val="0"/>
        <w:spacing w:line="480" w:lineRule="auto"/>
        <w:rPr>
          <w:bCs/>
          <w:lang w:val="en-GB"/>
        </w:rPr>
      </w:pPr>
      <w:proofErr w:type="gramStart"/>
      <w:r w:rsidRPr="00E847E9">
        <w:rPr>
          <w:b/>
          <w:lang w:val="en-GB"/>
        </w:rPr>
        <w:t>Fig.</w:t>
      </w:r>
      <w:proofErr w:type="gramEnd"/>
      <w:r w:rsidRPr="00E847E9">
        <w:rPr>
          <w:b/>
          <w:lang w:val="en-GB"/>
        </w:rPr>
        <w:t xml:space="preserve"> S1. Chronological distribution of SARS-CoV-2 diagnoses by qPCR at IHU Méditerranée Infection institute (A) and mean number per month of amino acid substitutions in the SARS-CoV-2 spike</w:t>
      </w:r>
      <w:r w:rsidR="004C6C55" w:rsidRPr="00E847E9">
        <w:rPr>
          <w:b/>
          <w:lang w:val="en-GB"/>
        </w:rPr>
        <w:t xml:space="preserve"> (B).</w:t>
      </w:r>
    </w:p>
    <w:p w14:paraId="7B13A494" w14:textId="77777777" w:rsidR="001D48D6" w:rsidRPr="00E847E9" w:rsidRDefault="001D48D6" w:rsidP="001D48D6">
      <w:pPr>
        <w:widowControl w:val="0"/>
        <w:spacing w:line="480" w:lineRule="auto"/>
        <w:rPr>
          <w:lang w:val="en-GB"/>
        </w:rPr>
      </w:pPr>
      <w:r w:rsidRPr="00E847E9">
        <w:rPr>
          <w:bCs/>
          <w:lang w:val="en-GB"/>
        </w:rPr>
        <w:t>(</w:t>
      </w:r>
      <w:r w:rsidRPr="00E847E9">
        <w:rPr>
          <w:b/>
          <w:lang w:val="en-GB"/>
        </w:rPr>
        <w:t>B</w:t>
      </w:r>
      <w:r w:rsidRPr="00E847E9">
        <w:rPr>
          <w:bCs/>
          <w:lang w:val="en-GB"/>
        </w:rPr>
        <w:t>) Number per month of amino acid substitutions in SARS-CoV-2 spike proteins are calculated in reference to the genome of the Wuhan-Hu-1 isolate (</w:t>
      </w:r>
      <w:proofErr w:type="spellStart"/>
      <w:r w:rsidRPr="00E847E9">
        <w:rPr>
          <w:bCs/>
          <w:lang w:val="en-GB"/>
        </w:rPr>
        <w:t>GenBank</w:t>
      </w:r>
      <w:proofErr w:type="spellEnd"/>
      <w:r w:rsidRPr="00E847E9">
        <w:rPr>
          <w:bCs/>
          <w:lang w:val="en-GB"/>
        </w:rPr>
        <w:t xml:space="preserve"> Accession no. </w:t>
      </w:r>
      <w:proofErr w:type="gramStart"/>
      <w:r w:rsidRPr="00E847E9">
        <w:rPr>
          <w:lang w:val="en-GB"/>
        </w:rPr>
        <w:t>NC_045512.2).</w:t>
      </w:r>
      <w:proofErr w:type="gramEnd"/>
    </w:p>
    <w:p w14:paraId="40EBF544" w14:textId="478DBF4B" w:rsidR="001D48D6" w:rsidRDefault="001D48D6" w:rsidP="001D48D6">
      <w:pPr>
        <w:spacing w:line="480" w:lineRule="auto"/>
        <w:rPr>
          <w:b/>
          <w:lang w:val="en-GB"/>
        </w:rPr>
      </w:pPr>
    </w:p>
    <w:p w14:paraId="02568F08" w14:textId="77777777" w:rsidR="00F00935" w:rsidRPr="00E847E9" w:rsidRDefault="00F00935" w:rsidP="001D48D6">
      <w:pPr>
        <w:spacing w:line="480" w:lineRule="auto"/>
        <w:rPr>
          <w:b/>
          <w:lang w:val="en-GB"/>
        </w:rPr>
      </w:pPr>
    </w:p>
    <w:p w14:paraId="630B37D0" w14:textId="4B697F71" w:rsidR="00A719F2" w:rsidRDefault="00087A83" w:rsidP="001D48D6">
      <w:pPr>
        <w:spacing w:line="480" w:lineRule="auto"/>
        <w:rPr>
          <w:b/>
          <w:lang w:val="en-GB"/>
        </w:rPr>
      </w:pPr>
      <w:r>
        <w:rPr>
          <w:b/>
          <w:noProof/>
        </w:rPr>
        <w:lastRenderedPageBreak/>
        <w:drawing>
          <wp:inline distT="0" distB="0" distL="0" distR="0" wp14:anchorId="6E5F05A9" wp14:editId="3EF3C5EE">
            <wp:extent cx="5760000" cy="6875811"/>
            <wp:effectExtent l="0" t="0" r="0" b="1270"/>
            <wp:docPr id="11" name="Picture 11" descr="G:\Pro\A_colsonp on 'frosty' (U)\AAAA_Coronavirus\Variant_position_paper\Submission_medRxiv\FigPortray_01092021_vD2\Diapositive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ro\A_colsonp on 'frosty' (U)\AAAA_Coronavirus\Variant_position_paper\Submission_medRxiv\FigPortray_01092021_vD2\Diapositive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" t="7117" r="6145" b="11743"/>
                    <a:stretch/>
                  </pic:blipFill>
                  <pic:spPr bwMode="auto">
                    <a:xfrm>
                      <a:off x="0" y="0"/>
                      <a:ext cx="5760000" cy="687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4BA9C" w14:textId="77777777" w:rsidR="00F00935" w:rsidRDefault="00F00935" w:rsidP="001D48D6">
      <w:pPr>
        <w:spacing w:line="480" w:lineRule="auto"/>
        <w:rPr>
          <w:b/>
          <w:lang w:val="en-GB"/>
        </w:rPr>
      </w:pPr>
    </w:p>
    <w:p w14:paraId="04DBFF4F" w14:textId="77777777" w:rsidR="00F00935" w:rsidRDefault="00F00935" w:rsidP="001D48D6">
      <w:pPr>
        <w:spacing w:line="480" w:lineRule="auto"/>
        <w:rPr>
          <w:b/>
          <w:lang w:val="en-GB"/>
        </w:rPr>
      </w:pPr>
    </w:p>
    <w:p w14:paraId="1D057EDE" w14:textId="77777777" w:rsidR="00F00935" w:rsidRPr="00E847E9" w:rsidRDefault="00F00935" w:rsidP="001D48D6">
      <w:pPr>
        <w:spacing w:line="480" w:lineRule="auto"/>
        <w:rPr>
          <w:b/>
          <w:lang w:val="en-GB"/>
        </w:rPr>
        <w:sectPr w:rsidR="00F00935" w:rsidRPr="00E847E9" w:rsidSect="00DF1026">
          <w:footerReference w:type="default" r:id="rId8"/>
          <w:pgSz w:w="11906" w:h="16838"/>
          <w:pgMar w:top="1417" w:right="1417" w:bottom="1417" w:left="1417" w:header="720" w:footer="344" w:gutter="0"/>
          <w:lnNumType w:countBy="1" w:restart="continuous"/>
          <w:cols w:space="720"/>
          <w:docGrid w:linePitch="360"/>
        </w:sectPr>
      </w:pPr>
    </w:p>
    <w:p w14:paraId="4FCF9D58" w14:textId="7DE56BC0" w:rsidR="004F3135" w:rsidRPr="00A719F2" w:rsidRDefault="004F3135" w:rsidP="001D48D6">
      <w:pPr>
        <w:spacing w:line="480" w:lineRule="auto"/>
        <w:rPr>
          <w:lang w:val="en-GB"/>
        </w:rPr>
      </w:pPr>
      <w:proofErr w:type="gramStart"/>
      <w:r w:rsidRPr="00A719F2">
        <w:rPr>
          <w:b/>
          <w:lang w:val="en-GB"/>
        </w:rPr>
        <w:lastRenderedPageBreak/>
        <w:t>Fig</w:t>
      </w:r>
      <w:r w:rsidR="001D48D6" w:rsidRPr="00A719F2">
        <w:rPr>
          <w:b/>
          <w:lang w:val="en-GB"/>
        </w:rPr>
        <w:t>.</w:t>
      </w:r>
      <w:proofErr w:type="gramEnd"/>
      <w:r w:rsidRPr="00A719F2">
        <w:rPr>
          <w:b/>
          <w:lang w:val="en-GB"/>
        </w:rPr>
        <w:t xml:space="preserve"> S</w:t>
      </w:r>
      <w:r w:rsidR="00651F25" w:rsidRPr="00A719F2">
        <w:rPr>
          <w:b/>
          <w:lang w:val="en-GB"/>
        </w:rPr>
        <w:t>2</w:t>
      </w:r>
      <w:r w:rsidRPr="002A7A8D">
        <w:rPr>
          <w:b/>
          <w:lang w:val="en-GB"/>
        </w:rPr>
        <w:t>. Timeline of trends of searches in Google for world (a) and France (b) and number of publications (c, d) with “variant” and “Covid-19” or “SARS-CoV-2” as keywords</w:t>
      </w:r>
      <w:r w:rsidR="002A7A8D">
        <w:rPr>
          <w:b/>
          <w:lang w:val="en-GB"/>
        </w:rPr>
        <w:t>.</w:t>
      </w:r>
    </w:p>
    <w:p w14:paraId="1BA4920C" w14:textId="7689D4BD" w:rsidR="00000000" w:rsidRDefault="00CE24DE" w:rsidP="00A873AF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lang w:val="en-GB"/>
        </w:rPr>
        <w:sectPr w:rsidR="00000000" w:rsidSect="00A873AF">
          <w:pgSz w:w="16838" w:h="11906" w:orient="landscape"/>
          <w:pgMar w:top="1417" w:right="1417" w:bottom="1417" w:left="1417" w:header="720" w:footer="344" w:gutter="0"/>
          <w:lnNumType w:countBy="1" w:restart="continuous"/>
          <w:cols w:space="720"/>
          <w:docGrid w:linePitch="360"/>
        </w:sectPr>
      </w:pPr>
      <w:r>
        <w:rPr>
          <w:b/>
          <w:noProof/>
        </w:rPr>
        <w:drawing>
          <wp:inline distT="0" distB="0" distL="0" distR="0" wp14:anchorId="643AA9F5" wp14:editId="02B98DD9">
            <wp:extent cx="8640000" cy="4396033"/>
            <wp:effectExtent l="0" t="0" r="0" b="5080"/>
            <wp:docPr id="12" name="Picture 12" descr="G:\Pro\A_colsonp on 'frosty' (U)\AAAA_Coronavirus\Variant_position_paper\Submission_medRxiv\FigLandscape_01092021vD2\Diapositive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Pro\A_colsonp on 'frosty' (U)\AAAA_Coronavirus\Variant_position_paper\Submission_medRxiv\FigLandscape_01092021vD2\Diapositive9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" t="7085" r="2540" b="6267"/>
                    <a:stretch/>
                  </pic:blipFill>
                  <pic:spPr bwMode="auto">
                    <a:xfrm>
                      <a:off x="0" y="0"/>
                      <a:ext cx="8640000" cy="439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C8005" w14:textId="590FBB6A" w:rsidR="004F3135" w:rsidRPr="00A719F2" w:rsidRDefault="004F3135" w:rsidP="001D48D6">
      <w:pPr>
        <w:widowControl w:val="0"/>
        <w:autoSpaceDE w:val="0"/>
        <w:autoSpaceDN w:val="0"/>
        <w:adjustRightInd w:val="0"/>
        <w:spacing w:line="480" w:lineRule="auto"/>
        <w:rPr>
          <w:noProof/>
          <w:lang w:val="en-GB"/>
        </w:rPr>
      </w:pPr>
      <w:proofErr w:type="gramStart"/>
      <w:r w:rsidRPr="00A719F2">
        <w:rPr>
          <w:b/>
          <w:lang w:val="en-GB"/>
        </w:rPr>
        <w:lastRenderedPageBreak/>
        <w:t>Fig</w:t>
      </w:r>
      <w:r w:rsidR="001D48D6" w:rsidRPr="00A719F2">
        <w:rPr>
          <w:b/>
          <w:lang w:val="en-GB"/>
        </w:rPr>
        <w:t>.</w:t>
      </w:r>
      <w:proofErr w:type="gramEnd"/>
      <w:r w:rsidRPr="00A719F2">
        <w:rPr>
          <w:b/>
          <w:lang w:val="en-GB"/>
        </w:rPr>
        <w:t xml:space="preserve"> S</w:t>
      </w:r>
      <w:r w:rsidR="00651F25" w:rsidRPr="00A719F2">
        <w:rPr>
          <w:b/>
          <w:lang w:val="en-GB"/>
        </w:rPr>
        <w:t>3</w:t>
      </w:r>
      <w:r w:rsidRPr="00A719F2">
        <w:rPr>
          <w:b/>
          <w:lang w:val="en-GB"/>
        </w:rPr>
        <w:t>.</w:t>
      </w:r>
      <w:r w:rsidRPr="00A719F2">
        <w:rPr>
          <w:rFonts w:eastAsia="+mn-ea"/>
          <w:b/>
          <w:bCs/>
          <w:color w:val="000000"/>
          <w:kern w:val="24"/>
          <w:lang w:val="en-GB"/>
        </w:rPr>
        <w:t xml:space="preserve"> </w:t>
      </w:r>
      <w:r w:rsidRPr="00A873AF">
        <w:rPr>
          <w:b/>
          <w:noProof/>
          <w:lang w:val="en-GB"/>
        </w:rPr>
        <w:t>The emergence and outcome of the SARS-CoV-2 Marseille-4 variant (according to GISAID database as of 30 June 2021)</w:t>
      </w:r>
      <w:r w:rsidR="002A7A8D" w:rsidRPr="00A873AF">
        <w:rPr>
          <w:b/>
          <w:noProof/>
          <w:lang w:val="en-GB"/>
        </w:rPr>
        <w:t>.</w:t>
      </w:r>
    </w:p>
    <w:p w14:paraId="458834A1" w14:textId="69E8680B" w:rsidR="00087A83" w:rsidRDefault="004F3135" w:rsidP="001D48D6">
      <w:pPr>
        <w:spacing w:line="480" w:lineRule="auto"/>
        <w:rPr>
          <w:noProof/>
          <w:lang w:val="en-GB"/>
        </w:rPr>
      </w:pPr>
      <w:r w:rsidRPr="00A719F2">
        <w:rPr>
          <w:noProof/>
          <w:lang w:val="en-GB"/>
        </w:rPr>
        <w:t>Number of genomes per day (</w:t>
      </w:r>
      <w:r w:rsidR="002A7A8D">
        <w:rPr>
          <w:noProof/>
          <w:lang w:val="en-GB"/>
        </w:rPr>
        <w:t>A</w:t>
      </w:r>
      <w:r w:rsidRPr="00A719F2">
        <w:rPr>
          <w:noProof/>
          <w:lang w:val="en-GB"/>
        </w:rPr>
        <w:t>), number of genomes per day and country (</w:t>
      </w:r>
      <w:r w:rsidR="002A7A8D">
        <w:rPr>
          <w:noProof/>
          <w:lang w:val="en-GB"/>
        </w:rPr>
        <w:t>B</w:t>
      </w:r>
      <w:r w:rsidRPr="00A719F2">
        <w:rPr>
          <w:noProof/>
          <w:lang w:val="en-GB"/>
        </w:rPr>
        <w:t>), and time range of genome collection and total number of genomes per world region (</w:t>
      </w:r>
      <w:r w:rsidR="002A7A8D">
        <w:rPr>
          <w:noProof/>
          <w:lang w:val="en-GB"/>
        </w:rPr>
        <w:t>C</w:t>
      </w:r>
      <w:r w:rsidRPr="00A719F2">
        <w:rPr>
          <w:noProof/>
          <w:lang w:val="en-GB"/>
        </w:rPr>
        <w:t xml:space="preserve">) are shown. </w:t>
      </w:r>
    </w:p>
    <w:p w14:paraId="2A4C8C42" w14:textId="77777777" w:rsidR="002A7A8D" w:rsidRDefault="002A7A8D">
      <w:pPr>
        <w:spacing w:after="200" w:line="276" w:lineRule="auto"/>
        <w:rPr>
          <w:noProof/>
          <w:lang w:val="en-GB"/>
        </w:rPr>
      </w:pPr>
    </w:p>
    <w:p w14:paraId="349D2C98" w14:textId="77777777" w:rsidR="00087A83" w:rsidRDefault="00087A83">
      <w:pPr>
        <w:spacing w:after="200" w:line="276" w:lineRule="auto"/>
        <w:rPr>
          <w:noProof/>
          <w:lang w:val="en-GB"/>
        </w:rPr>
      </w:pPr>
      <w:r>
        <w:rPr>
          <w:noProof/>
          <w:lang w:val="en-GB"/>
        </w:rPr>
        <w:br w:type="page"/>
      </w:r>
    </w:p>
    <w:p w14:paraId="1557E526" w14:textId="476947F3" w:rsidR="004F3135" w:rsidRPr="00A719F2" w:rsidRDefault="00087A83" w:rsidP="004F3135">
      <w:pPr>
        <w:spacing w:line="480" w:lineRule="auto"/>
        <w:rPr>
          <w:lang w:val="en-GB"/>
        </w:rPr>
      </w:pPr>
      <w:r w:rsidRPr="00087A83">
        <w:rPr>
          <w:noProof/>
        </w:rPr>
        <w:lastRenderedPageBreak/>
        <w:drawing>
          <wp:inline distT="0" distB="0" distL="0" distR="0" wp14:anchorId="2CFA0527" wp14:editId="303438F1">
            <wp:extent cx="5760000" cy="8530467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53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2175A" w14:textId="0F6C14F5" w:rsidR="00070507" w:rsidRDefault="00070507">
      <w:pPr>
        <w:spacing w:after="200" w:line="276" w:lineRule="auto"/>
        <w:rPr>
          <w:b/>
          <w:caps/>
          <w:lang w:val="en-GB"/>
        </w:rPr>
      </w:pPr>
    </w:p>
    <w:p w14:paraId="4DE7E37B" w14:textId="2B54896D" w:rsidR="00070507" w:rsidRPr="00A719F2" w:rsidRDefault="00070507" w:rsidP="004F3135">
      <w:pPr>
        <w:widowControl w:val="0"/>
        <w:autoSpaceDE w:val="0"/>
        <w:autoSpaceDN w:val="0"/>
        <w:adjustRightInd w:val="0"/>
        <w:spacing w:line="480" w:lineRule="auto"/>
        <w:rPr>
          <w:b/>
          <w:caps/>
          <w:lang w:val="en-GB"/>
        </w:rPr>
        <w:sectPr w:rsidR="00070507" w:rsidRPr="00A719F2" w:rsidSect="00A873AF">
          <w:pgSz w:w="11906" w:h="16838"/>
          <w:pgMar w:top="993" w:right="1417" w:bottom="1135" w:left="1417" w:header="720" w:footer="344" w:gutter="0"/>
          <w:lnNumType w:countBy="1" w:restart="continuous"/>
          <w:cols w:space="720"/>
          <w:docGrid w:linePitch="360"/>
        </w:sectPr>
      </w:pPr>
    </w:p>
    <w:p w14:paraId="67FEA26B" w14:textId="0B069BC2" w:rsidR="004F3135" w:rsidRPr="00A719F2" w:rsidRDefault="004F3135" w:rsidP="004F3135">
      <w:pPr>
        <w:widowControl w:val="0"/>
        <w:autoSpaceDE w:val="0"/>
        <w:autoSpaceDN w:val="0"/>
        <w:adjustRightInd w:val="0"/>
        <w:spacing w:line="480" w:lineRule="auto"/>
        <w:rPr>
          <w:b/>
          <w:caps/>
          <w:lang w:val="en-GB"/>
        </w:rPr>
      </w:pPr>
      <w:r w:rsidRPr="00A719F2">
        <w:rPr>
          <w:b/>
          <w:caps/>
          <w:lang w:val="en-GB"/>
        </w:rPr>
        <w:lastRenderedPageBreak/>
        <w:t>Supplementary Tables</w:t>
      </w:r>
    </w:p>
    <w:p w14:paraId="2EA9C4E1" w14:textId="77777777" w:rsidR="004F3135" w:rsidRPr="00A719F2" w:rsidRDefault="004F3135" w:rsidP="004F3135">
      <w:pPr>
        <w:spacing w:line="480" w:lineRule="auto"/>
        <w:rPr>
          <w:lang w:val="en-GB"/>
        </w:rPr>
      </w:pPr>
    </w:p>
    <w:p w14:paraId="17312BDB" w14:textId="7A03684C" w:rsidR="004F3135" w:rsidRPr="00A719F2" w:rsidRDefault="004F3135" w:rsidP="004F3135">
      <w:pPr>
        <w:widowControl w:val="0"/>
        <w:spacing w:line="360" w:lineRule="auto"/>
        <w:rPr>
          <w:rStyle w:val="longtext"/>
          <w:rFonts w:eastAsiaTheme="majorEastAsia"/>
          <w:shd w:val="clear" w:color="auto" w:fill="FFFFFF"/>
          <w:lang w:val="en-GB"/>
        </w:rPr>
      </w:pPr>
      <w:r w:rsidRPr="00A719F2">
        <w:rPr>
          <w:b/>
          <w:bCs/>
          <w:noProof/>
          <w:lang w:val="en-GB"/>
        </w:rPr>
        <w:t>Supplementary Table S1.</w:t>
      </w:r>
      <w:r w:rsidRPr="00A719F2">
        <w:rPr>
          <w:noProof/>
          <w:lang w:val="en-GB"/>
        </w:rPr>
        <w:t xml:space="preserve"> </w:t>
      </w:r>
      <w:r w:rsidRPr="00A873AF">
        <w:rPr>
          <w:b/>
          <w:noProof/>
          <w:lang w:val="en-GB"/>
        </w:rPr>
        <w:t>Monthly numbers of genome sequences, spike sequences and qPCR performed each month, and  proportions of positive diagnoses of SARS-CoV-2 infection</w:t>
      </w:r>
      <w:r w:rsidRPr="00A873AF">
        <w:rPr>
          <w:rStyle w:val="longtext"/>
          <w:rFonts w:eastAsiaTheme="majorEastAsia"/>
          <w:b/>
          <w:shd w:val="clear" w:color="auto" w:fill="FFFFFF"/>
          <w:lang w:val="en-GB"/>
        </w:rPr>
        <w:t xml:space="preserve"> as of July 2021</w:t>
      </w:r>
      <w:r w:rsidR="002B76C6">
        <w:rPr>
          <w:rStyle w:val="longtext"/>
          <w:rFonts w:eastAsiaTheme="majorEastAsia"/>
          <w:b/>
          <w:shd w:val="clear" w:color="auto" w:fill="FFFFFF"/>
          <w:lang w:val="en-GB"/>
        </w:rPr>
        <w:t>.</w:t>
      </w:r>
    </w:p>
    <w:p w14:paraId="58104C81" w14:textId="77777777" w:rsidR="004F3135" w:rsidRPr="00A719F2" w:rsidRDefault="004F3135" w:rsidP="004F3135">
      <w:pPr>
        <w:widowControl w:val="0"/>
        <w:spacing w:line="360" w:lineRule="auto"/>
        <w:rPr>
          <w:noProof/>
          <w:lang w:val="en-GB"/>
        </w:rPr>
      </w:pPr>
    </w:p>
    <w:tbl>
      <w:tblPr>
        <w:tblW w:w="98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141"/>
        <w:gridCol w:w="190"/>
        <w:gridCol w:w="1496"/>
        <w:gridCol w:w="1011"/>
        <w:gridCol w:w="190"/>
        <w:gridCol w:w="1168"/>
        <w:gridCol w:w="1152"/>
        <w:gridCol w:w="190"/>
        <w:gridCol w:w="1024"/>
        <w:gridCol w:w="1061"/>
      </w:tblGrid>
      <w:tr w:rsidR="00E238C9" w:rsidRPr="00A719F2" w14:paraId="351F01C0" w14:textId="77777777" w:rsidTr="00E238C9">
        <w:trPr>
          <w:trHeight w:val="795"/>
          <w:jc w:val="center"/>
        </w:trPr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CE4E" w14:textId="77777777" w:rsidR="00E238C9" w:rsidRPr="00A719F2" w:rsidRDefault="00E238C9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color w:val="000000"/>
                <w:sz w:val="20"/>
                <w:szCs w:val="20"/>
                <w:lang w:val="en-GB"/>
              </w:rPr>
              <w:t>Month/Year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E26DB" w14:textId="77777777" w:rsidR="00E238C9" w:rsidRPr="00A719F2" w:rsidRDefault="00E238C9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color w:val="000000"/>
                <w:sz w:val="20"/>
                <w:szCs w:val="20"/>
                <w:lang w:val="en-GB"/>
              </w:rPr>
              <w:t>Total number of positive diagnoses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572F5" w14:textId="77777777" w:rsidR="00E238C9" w:rsidRPr="00A719F2" w:rsidRDefault="00E238C9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72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45BE3" w14:textId="4352653D" w:rsidR="00E238C9" w:rsidRPr="00A719F2" w:rsidRDefault="00E238C9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SARS-CoV-2 genotyping approach</w:t>
            </w:r>
            <w:r w:rsidRPr="00A719F2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  <w:p w14:paraId="01F5287D" w14:textId="250565F0" w:rsidR="00E238C9" w:rsidRPr="00A719F2" w:rsidRDefault="00E238C9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E238C9" w:rsidRPr="00A719F2" w14:paraId="5C433244" w14:textId="77777777" w:rsidTr="009345A1">
        <w:trPr>
          <w:trHeight w:val="795"/>
          <w:jc w:val="center"/>
        </w:trPr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CB90E8" w14:textId="77777777" w:rsidR="00E238C9" w:rsidRPr="00A719F2" w:rsidRDefault="00E238C9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82DF95" w14:textId="77777777" w:rsidR="00E238C9" w:rsidRPr="00A719F2" w:rsidRDefault="00E238C9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C84607" w14:textId="77777777" w:rsidR="00E238C9" w:rsidRPr="00A719F2" w:rsidRDefault="00E238C9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C52DE" w14:textId="1F55281B" w:rsidR="00E238C9" w:rsidRPr="00A719F2" w:rsidRDefault="00E238C9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Next-generation genome sequencing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83F96C" w14:textId="77777777" w:rsidR="00E238C9" w:rsidRPr="00A719F2" w:rsidRDefault="00E238C9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9BB2E" w14:textId="4D25E0F6" w:rsidR="00E238C9" w:rsidRPr="00A719F2" w:rsidRDefault="00E238C9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Next-generation spike gene fragment sequencing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0EA5C2" w14:textId="77777777" w:rsidR="00E238C9" w:rsidRPr="00A719F2" w:rsidRDefault="00E238C9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3E4F3" w14:textId="751D50D6" w:rsidR="00E238C9" w:rsidRPr="00A719F2" w:rsidRDefault="00E238C9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qPCR</w:t>
            </w:r>
          </w:p>
        </w:tc>
      </w:tr>
      <w:tr w:rsidR="00E238C9" w:rsidRPr="00A719F2" w14:paraId="1F87683C" w14:textId="77777777" w:rsidTr="00E238C9">
        <w:trPr>
          <w:trHeight w:val="795"/>
          <w:jc w:val="center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30164" w14:textId="77777777" w:rsidR="004F3135" w:rsidRPr="00A719F2" w:rsidRDefault="004F3135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90D40" w14:textId="77777777" w:rsidR="004F3135" w:rsidRPr="00A719F2" w:rsidRDefault="004F3135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E4BBC" w14:textId="77777777" w:rsidR="004F3135" w:rsidRPr="00A719F2" w:rsidRDefault="004F3135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C3781" w14:textId="77777777" w:rsidR="004F3135" w:rsidRPr="00A719F2" w:rsidRDefault="004F3135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color w:val="000000"/>
                <w:sz w:val="20"/>
                <w:szCs w:val="20"/>
                <w:lang w:val="en-GB"/>
              </w:rPr>
              <w:t>Number of genomes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9F8ED" w14:textId="77777777" w:rsidR="004F3135" w:rsidRPr="00A719F2" w:rsidRDefault="004F3135" w:rsidP="007847C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% of the positive diagnoses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F6441" w14:textId="77777777" w:rsidR="004F3135" w:rsidRPr="00A719F2" w:rsidRDefault="004F3135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5E861" w14:textId="77777777" w:rsidR="004F3135" w:rsidRPr="00A719F2" w:rsidRDefault="004F3135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color w:val="000000"/>
                <w:sz w:val="20"/>
                <w:szCs w:val="20"/>
                <w:lang w:val="en-GB"/>
              </w:rPr>
              <w:t>Number of sequences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0B81E" w14:textId="77777777" w:rsidR="004F3135" w:rsidRPr="00A719F2" w:rsidRDefault="004F3135" w:rsidP="007847C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% of the positive diagnoses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41970" w14:textId="77777777" w:rsidR="004F3135" w:rsidRPr="00A719F2" w:rsidRDefault="004F3135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09C8D" w14:textId="19C8C205" w:rsidR="004F3135" w:rsidRPr="00A719F2" w:rsidRDefault="004F3135" w:rsidP="007847C5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color w:val="000000"/>
                <w:sz w:val="20"/>
                <w:szCs w:val="20"/>
                <w:lang w:val="en-GB"/>
              </w:rPr>
              <w:t>Number</w:t>
            </w:r>
            <w:r w:rsidR="005A1091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of positive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2B645" w14:textId="77777777" w:rsidR="004F3135" w:rsidRPr="00A719F2" w:rsidRDefault="004F3135" w:rsidP="007847C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% of the positive diagnoses</w:t>
            </w:r>
          </w:p>
        </w:tc>
      </w:tr>
      <w:tr w:rsidR="00E238C9" w:rsidRPr="00A719F2" w14:paraId="7ADA46DC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803E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2020/2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29812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0EAAA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6CFA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C77FC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3A4C2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498BE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8B04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5D1B4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912C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03A53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0,0</w:t>
            </w:r>
          </w:p>
        </w:tc>
      </w:tr>
      <w:tr w:rsidR="00E238C9" w:rsidRPr="00A719F2" w14:paraId="49FB0D26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556B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2020/3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2A824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3,731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91E61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F5D02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777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FF39D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1985D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F08D1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1C61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&lt;0,1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A900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B5731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CC5C0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0,2</w:t>
            </w:r>
          </w:p>
        </w:tc>
      </w:tr>
      <w:tr w:rsidR="00E238C9" w:rsidRPr="00A719F2" w14:paraId="46713742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43FB3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2020/4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C8826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2,790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FF6A5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5CD70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877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7360C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31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16DEF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3422A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E2505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EE989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219DF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71F1A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0,2</w:t>
            </w:r>
          </w:p>
        </w:tc>
      </w:tr>
      <w:tr w:rsidR="00E238C9" w:rsidRPr="00A719F2" w14:paraId="10CAEC3C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CC4D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2020/5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759F9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3818C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A2CA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EB70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34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6E92C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33BF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9FC68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E957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873FD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69265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0,5</w:t>
            </w:r>
          </w:p>
        </w:tc>
      </w:tr>
      <w:tr w:rsidR="00E238C9" w:rsidRPr="00A719F2" w14:paraId="089181FB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56E78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2020/6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BE608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48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4A517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1136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724C0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48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9B550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D968F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58CEB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BEA37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1E77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96F2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0,0</w:t>
            </w:r>
          </w:p>
        </w:tc>
      </w:tr>
      <w:tr w:rsidR="00E238C9" w:rsidRPr="00A719F2" w14:paraId="04C437BD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43946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2020/7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60A05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368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B489E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B755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EFADD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66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AD8F6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225B0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CC659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23660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CC608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613D8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0,5</w:t>
            </w:r>
          </w:p>
        </w:tc>
      </w:tr>
      <w:tr w:rsidR="00E238C9" w:rsidRPr="00A719F2" w14:paraId="38959B92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B0135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2020/8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A4D42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2,620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2B252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FC95B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741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C9288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4983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72C30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7022F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&lt;0,1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B8943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D8E0E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F8A34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0,6</w:t>
            </w:r>
          </w:p>
        </w:tc>
      </w:tr>
      <w:tr w:rsidR="00E238C9" w:rsidRPr="00A719F2" w14:paraId="42180134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E1018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2020/9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63AE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4,664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8C076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C35D2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1,192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BA04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2078A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1C0A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87C7B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&lt;0,1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C5426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50B00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3C6A2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0,3</w:t>
            </w:r>
          </w:p>
        </w:tc>
      </w:tr>
      <w:tr w:rsidR="00E238C9" w:rsidRPr="00A719F2" w14:paraId="477BCB99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0541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2020/10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D4E87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6,413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6890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A15C8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1,713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27FB6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A42BB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E311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9C290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01C8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305AF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DF4FA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0,3</w:t>
            </w:r>
          </w:p>
        </w:tc>
      </w:tr>
      <w:tr w:rsidR="00E238C9" w:rsidRPr="00A719F2" w14:paraId="130B28E3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E8FEF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2020/11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4BE7B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3,911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C5BDD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E554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751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6C2A0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53863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0F3A6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FFE4D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&lt;0,1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B7F08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0C14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D419E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0,7</w:t>
            </w:r>
          </w:p>
        </w:tc>
      </w:tr>
      <w:tr w:rsidR="00E238C9" w:rsidRPr="00A719F2" w14:paraId="399E8DA2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C41D1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2020/12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5AEFD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2,116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7055C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59887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450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9417E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25F6F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3E4F0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2AD32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B211F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26074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B12D6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10</w:t>
            </w:r>
          </w:p>
        </w:tc>
      </w:tr>
      <w:tr w:rsidR="00E238C9" w:rsidRPr="00A719F2" w14:paraId="1C6B01F6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5D4A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2021/1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3A6C3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4,391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8099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F4DDE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692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B00C9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9EF45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CF226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26B9A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6DDF2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D4F13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2,445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F74A8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56</w:t>
            </w:r>
          </w:p>
        </w:tc>
      </w:tr>
      <w:tr w:rsidR="00E238C9" w:rsidRPr="00A719F2" w14:paraId="108E7B86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054B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2021/2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300A9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5,928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D3B3E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6B04A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1,075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5B68A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93B0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6C9B0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992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43D6E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56C4C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85016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2,751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549D6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46</w:t>
            </w:r>
          </w:p>
        </w:tc>
      </w:tr>
      <w:tr w:rsidR="00E238C9" w:rsidRPr="00A719F2" w14:paraId="08DA3444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582FE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2021/3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F36C5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6,016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4FE02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14F6C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724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09AA7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F041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2C38F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2,639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50589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39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48A3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97653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1,879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1136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31</w:t>
            </w:r>
          </w:p>
        </w:tc>
      </w:tr>
      <w:tr w:rsidR="00E238C9" w:rsidRPr="00A719F2" w14:paraId="786F4604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3BA8B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2021/4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35EC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6,210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966E4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D0F99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1,503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C2118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E7E9E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C58A1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0DB2C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51A25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904B0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3,667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5A888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5</w:t>
            </w:r>
            <w:r w:rsidRPr="00A719F2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E238C9" w:rsidRPr="00A719F2" w14:paraId="3FA0E09C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DF4C6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</w:t>
            </w:r>
            <w:r w:rsidRPr="00A719F2">
              <w:rPr>
                <w:color w:val="000000"/>
                <w:sz w:val="20"/>
                <w:szCs w:val="20"/>
              </w:rPr>
              <w:t>021/5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42A5E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</w:t>
            </w:r>
            <w:r w:rsidRPr="00A719F2">
              <w:rPr>
                <w:color w:val="000000"/>
                <w:sz w:val="20"/>
                <w:szCs w:val="20"/>
              </w:rPr>
              <w:t>,566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A3B33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E18AE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1,137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57625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44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2465A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CD86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67DED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9A451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B29B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1,199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D5D4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47</w:t>
            </w:r>
          </w:p>
        </w:tc>
      </w:tr>
      <w:tr w:rsidR="00E238C9" w:rsidRPr="00A719F2" w14:paraId="58647AE2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59C29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2021/6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4A26B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660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AE53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7C9E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278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4AAC5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7F44D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3F24E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38D5B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88A5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0D857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293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86201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44</w:t>
            </w:r>
          </w:p>
        </w:tc>
      </w:tr>
      <w:tr w:rsidR="00E238C9" w:rsidRPr="00A719F2" w14:paraId="710FC8A7" w14:textId="77777777" w:rsidTr="00E238C9">
        <w:trPr>
          <w:trHeight w:val="265"/>
          <w:jc w:val="center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B049F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2021/7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D1D69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3,767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DE9DC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176E9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1,412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BA840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37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296C3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E85D1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067A4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0,0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4A158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E9199" w14:textId="77777777" w:rsidR="004F3135" w:rsidRPr="00A719F2" w:rsidRDefault="004F3135" w:rsidP="007847C5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color w:val="000000"/>
                <w:sz w:val="20"/>
                <w:szCs w:val="20"/>
                <w:lang w:val="en-GB"/>
              </w:rPr>
              <w:t>1,674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47240" w14:textId="77777777" w:rsidR="004F3135" w:rsidRPr="00A719F2" w:rsidRDefault="004F3135" w:rsidP="007847C5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A719F2">
              <w:rPr>
                <w:i/>
                <w:iCs/>
                <w:color w:val="000000"/>
                <w:sz w:val="20"/>
                <w:szCs w:val="20"/>
                <w:lang w:val="en-GB"/>
              </w:rPr>
              <w:t>44</w:t>
            </w:r>
          </w:p>
        </w:tc>
        <w:bookmarkStart w:id="0" w:name="_GoBack"/>
        <w:bookmarkEnd w:id="0"/>
      </w:tr>
    </w:tbl>
    <w:p w14:paraId="7543F3B2" w14:textId="77777777" w:rsidR="004F3135" w:rsidRPr="00A719F2" w:rsidRDefault="004F3135" w:rsidP="004F3135">
      <w:pPr>
        <w:widowControl w:val="0"/>
        <w:spacing w:line="360" w:lineRule="auto"/>
        <w:rPr>
          <w:noProof/>
          <w:lang w:val="en-GB"/>
        </w:rPr>
        <w:sectPr w:rsidR="004F3135" w:rsidRPr="00A719F2" w:rsidSect="00DF1026">
          <w:pgSz w:w="11906" w:h="16838"/>
          <w:pgMar w:top="1417" w:right="1417" w:bottom="1417" w:left="1417" w:header="720" w:footer="344" w:gutter="0"/>
          <w:lnNumType w:countBy="1" w:restart="continuous"/>
          <w:cols w:space="720"/>
          <w:docGrid w:linePitch="360"/>
        </w:sectPr>
      </w:pPr>
    </w:p>
    <w:p w14:paraId="3BB06220" w14:textId="65F95E0B" w:rsidR="00773DAA" w:rsidRPr="00A719F2" w:rsidRDefault="00651F25" w:rsidP="00773DAA">
      <w:pPr>
        <w:spacing w:line="480" w:lineRule="auto"/>
        <w:rPr>
          <w:bCs/>
          <w:lang w:val="en-GB"/>
        </w:rPr>
      </w:pPr>
      <w:proofErr w:type="gramStart"/>
      <w:r w:rsidRPr="00A719F2">
        <w:rPr>
          <w:b/>
          <w:lang w:val="en-GB"/>
        </w:rPr>
        <w:lastRenderedPageBreak/>
        <w:t xml:space="preserve">Supplementary </w:t>
      </w:r>
      <w:r w:rsidRPr="00A719F2">
        <w:rPr>
          <w:b/>
          <w:bCs/>
          <w:noProof/>
          <w:lang w:val="en-GB"/>
        </w:rPr>
        <w:t>Table S2.</w:t>
      </w:r>
      <w:proofErr w:type="gramEnd"/>
      <w:r w:rsidRPr="00A719F2">
        <w:rPr>
          <w:b/>
          <w:bCs/>
          <w:noProof/>
          <w:lang w:val="en-GB"/>
        </w:rPr>
        <w:t xml:space="preserve"> </w:t>
      </w:r>
      <w:r w:rsidR="00773DAA" w:rsidRPr="00A719F2">
        <w:rPr>
          <w:b/>
          <w:lang w:val="en-GB"/>
        </w:rPr>
        <w:t>Mean (±standard deviation) numbers per month of mutations in SARS-CoV-2 genomes obtained from patients SARS-CoV-2-diagnosed at IHU Méditerranée Infection, Marseille</w:t>
      </w:r>
      <w:r w:rsidR="00247081" w:rsidRPr="00A719F2">
        <w:rPr>
          <w:b/>
          <w:lang w:val="en-GB"/>
        </w:rPr>
        <w:t>.</w:t>
      </w:r>
    </w:p>
    <w:p w14:paraId="78B13B0A" w14:textId="6A7F685C" w:rsidR="00773DAA" w:rsidRPr="00A719F2" w:rsidRDefault="00773DAA" w:rsidP="00773DAA">
      <w:pPr>
        <w:spacing w:line="480" w:lineRule="auto"/>
        <w:rPr>
          <w:bCs/>
          <w:lang w:val="en-GB"/>
        </w:rPr>
      </w:pPr>
      <w:r w:rsidRPr="00A719F2">
        <w:rPr>
          <w:bCs/>
          <w:lang w:val="en-GB"/>
        </w:rPr>
        <w:t>Numbers of mutations in SARS-CoV-2 genomes are calculated in reference to the genome of the Wuhan-Hu-1 isolate (</w:t>
      </w:r>
      <w:proofErr w:type="spellStart"/>
      <w:r w:rsidRPr="00A719F2">
        <w:rPr>
          <w:bCs/>
          <w:lang w:val="en-GB"/>
        </w:rPr>
        <w:t>GenBank</w:t>
      </w:r>
      <w:proofErr w:type="spellEnd"/>
      <w:r w:rsidRPr="00A719F2">
        <w:rPr>
          <w:bCs/>
          <w:lang w:val="en-GB"/>
        </w:rPr>
        <w:t xml:space="preserve"> Accession no. </w:t>
      </w:r>
      <w:proofErr w:type="gramStart"/>
      <w:r w:rsidRPr="00A719F2">
        <w:rPr>
          <w:lang w:val="en-GB"/>
        </w:rPr>
        <w:t>NC_045512.2).</w:t>
      </w:r>
      <w:proofErr w:type="gramEnd"/>
      <w:r w:rsidRPr="00A719F2">
        <w:rPr>
          <w:lang w:val="en-GB"/>
        </w:rPr>
        <w:t xml:space="preserve"> </w:t>
      </w:r>
      <w:r w:rsidRPr="00A719F2">
        <w:rPr>
          <w:bCs/>
          <w:lang w:val="en-GB"/>
        </w:rPr>
        <w:t>Whiskers indicate 10-90 percentiles.</w:t>
      </w:r>
    </w:p>
    <w:tbl>
      <w:tblPr>
        <w:tblW w:w="142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773DAA" w:rsidRPr="00A719F2" w14:paraId="3047BEEF" w14:textId="77777777" w:rsidTr="00A873AF">
        <w:trPr>
          <w:trHeight w:val="1995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96C51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873A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3149B3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February</w:t>
            </w:r>
            <w:proofErr w:type="spellEnd"/>
            <w:r w:rsidRPr="00A873AF">
              <w:rPr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89350D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March 2020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6921DD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April 2020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901FC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May 2020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A20824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June</w:t>
            </w:r>
            <w:proofErr w:type="spellEnd"/>
            <w:r w:rsidRPr="00A873AF">
              <w:rPr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C333F0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July 2020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05C9D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August 2020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A1CC57F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September</w:t>
            </w:r>
            <w:proofErr w:type="spellEnd"/>
            <w:r w:rsidRPr="00A873AF">
              <w:rPr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D1802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October</w:t>
            </w:r>
            <w:proofErr w:type="spellEnd"/>
            <w:r w:rsidRPr="00A873AF">
              <w:rPr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C2E9BCE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November</w:t>
            </w:r>
            <w:proofErr w:type="spellEnd"/>
            <w:r w:rsidRPr="00A873AF">
              <w:rPr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31C11C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December</w:t>
            </w:r>
            <w:proofErr w:type="spellEnd"/>
            <w:r w:rsidRPr="00A873AF">
              <w:rPr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6E3580F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January</w:t>
            </w:r>
            <w:proofErr w:type="spellEnd"/>
            <w:r w:rsidRPr="00A873AF">
              <w:rPr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AB623F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February</w:t>
            </w:r>
            <w:proofErr w:type="spellEnd"/>
            <w:r w:rsidRPr="00A873AF">
              <w:rPr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88DD55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March 2021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43EC0C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April 2021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675648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May 2021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9EACFE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June</w:t>
            </w:r>
            <w:proofErr w:type="spellEnd"/>
            <w:r w:rsidRPr="00A873AF">
              <w:rPr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25F6237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July 2021</w:t>
            </w:r>
          </w:p>
        </w:tc>
      </w:tr>
      <w:tr w:rsidR="00773DAA" w:rsidRPr="00A719F2" w14:paraId="46D2B9F9" w14:textId="77777777" w:rsidTr="00A873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4A054" w14:textId="77777777" w:rsidR="00773DAA" w:rsidRPr="00A873AF" w:rsidRDefault="00773DAA" w:rsidP="00773DA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  <w:r w:rsidRPr="00A873AF">
              <w:rPr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873AF">
              <w:rPr>
                <w:b/>
                <w:bCs/>
                <w:color w:val="000000"/>
                <w:sz w:val="20"/>
                <w:szCs w:val="20"/>
              </w:rPr>
              <w:t>genomes</w:t>
            </w:r>
            <w:proofErr w:type="spellEnd"/>
            <w:r w:rsidRPr="00A873A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73AF">
              <w:rPr>
                <w:b/>
                <w:bCs/>
                <w:color w:val="000000"/>
                <w:sz w:val="20"/>
                <w:szCs w:val="20"/>
              </w:rPr>
              <w:t>analyzed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7979F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0982F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B32B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5890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760C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8C72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DE01E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BAAE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73442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C9C8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89C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E88B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06E4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3C62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4B12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1,203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C5AB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FFD0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A253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847</w:t>
            </w:r>
          </w:p>
        </w:tc>
      </w:tr>
      <w:tr w:rsidR="00773DAA" w:rsidRPr="00A719F2" w14:paraId="452242A9" w14:textId="77777777" w:rsidTr="00A873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55D20" w14:textId="77777777" w:rsidR="00773DAA" w:rsidRPr="00A873AF" w:rsidRDefault="00773DAA" w:rsidP="00773D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25C09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17CB7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A623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64A0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36A1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9523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2DBE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9CB15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0D30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B6FD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0722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48B9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79A5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6705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11C7E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C18E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056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02FB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AA" w:rsidRPr="00A873AF" w14:paraId="6FF6E7B4" w14:textId="77777777" w:rsidTr="00A873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4316C" w14:textId="77777777" w:rsidR="00773DAA" w:rsidRPr="00A873AF" w:rsidRDefault="00773DAA" w:rsidP="00773DA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73AF">
              <w:rPr>
                <w:b/>
                <w:bCs/>
                <w:color w:val="000000"/>
                <w:sz w:val="20"/>
                <w:szCs w:val="20"/>
                <w:lang w:val="en-US"/>
              </w:rPr>
              <w:t>Nucleotide changes in the genome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8E8E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AE81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7B6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6C4B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64CB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A025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79E3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E689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E7DC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4C3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44BF9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4435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C7A4C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C95A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695B7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A6A1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E1A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2843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73DAA" w:rsidRPr="00A719F2" w14:paraId="4D6CD5B3" w14:textId="77777777" w:rsidTr="00A873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3C74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Median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17F7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3850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3D33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B6F4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8BF67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3864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2D337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DD02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6521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7F68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8648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5EC62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A4045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07AA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DF525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240D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D6A7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B321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36</w:t>
            </w:r>
          </w:p>
        </w:tc>
      </w:tr>
      <w:tr w:rsidR="00773DAA" w:rsidRPr="00A719F2" w14:paraId="395C8937" w14:textId="77777777" w:rsidTr="00A873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F02D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D425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6884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E32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747B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9.4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66849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10.8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B6C39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386EC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20.0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D8C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7803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21.9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98FE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23.0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2FCC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25.2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9049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24.2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2C11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26.4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6893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34.1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9DD9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35.7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7AE7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36.2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C202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36.8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A8927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36.1</w:t>
            </w:r>
          </w:p>
        </w:tc>
      </w:tr>
      <w:tr w:rsidR="00773DAA" w:rsidRPr="00A719F2" w14:paraId="63DAA61B" w14:textId="77777777" w:rsidTr="00A873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8D9F9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Std</w:t>
            </w:r>
            <w:proofErr w:type="spellEnd"/>
            <w:r w:rsidRPr="00A873A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873AF">
              <w:rPr>
                <w:color w:val="000000"/>
                <w:sz w:val="20"/>
                <w:szCs w:val="20"/>
              </w:rPr>
              <w:t>Deviation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EFAE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B3FE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FB40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91C1F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8C3F9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2FD4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594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577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4.7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AB737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363B2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4454F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3C787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A647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5.7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C8AE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8EAB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1A74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3F9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4.7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6F2B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3.1</w:t>
            </w:r>
          </w:p>
        </w:tc>
      </w:tr>
      <w:tr w:rsidR="00773DAA" w:rsidRPr="00A719F2" w14:paraId="7BFAC992" w14:textId="77777777" w:rsidTr="00A873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34029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14362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2BBF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13FB5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5C1D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A530F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14D4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D722F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2380F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D801F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91BF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2085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64A3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93C1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3867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B497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E552F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6EF0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D8CA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AA" w:rsidRPr="00A873AF" w14:paraId="6D3DD772" w14:textId="77777777" w:rsidTr="00A873AF">
        <w:trPr>
          <w:trHeight w:val="300"/>
        </w:trPr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3E87D" w14:textId="77777777" w:rsidR="00773DAA" w:rsidRPr="00A873AF" w:rsidRDefault="00773DAA" w:rsidP="00773DA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73AF">
              <w:rPr>
                <w:b/>
                <w:bCs/>
                <w:color w:val="000000"/>
                <w:sz w:val="20"/>
                <w:szCs w:val="20"/>
                <w:lang w:val="en-US"/>
              </w:rPr>
              <w:t>Amino acid substitutions in the spike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AE665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5622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2FAC9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BC69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E52F7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1ABD7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A3657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37C4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36D0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9CEEE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434D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BCE5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6920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BFA0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35A8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39B5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A62D2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73DAA" w:rsidRPr="00A719F2" w14:paraId="7F7044AA" w14:textId="77777777" w:rsidTr="00A873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F235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Median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C25F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9285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E0AA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C1345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0D0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23B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F9FF5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8659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E987E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CE18E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5DEE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40C7E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024C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09D0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4ACC5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4E73F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82205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DF442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8</w:t>
            </w:r>
          </w:p>
        </w:tc>
      </w:tr>
      <w:tr w:rsidR="00773DAA" w:rsidRPr="00A719F2" w14:paraId="20AAF897" w14:textId="77777777" w:rsidTr="00A873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732E9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8BF9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6DAE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E68A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2A51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440F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327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81189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5919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FC32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F3CFD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36CC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026D2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DFFB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6BBA9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A092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7.7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CFC72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7.8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D89DE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7.8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EC512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8.2</w:t>
            </w:r>
          </w:p>
        </w:tc>
      </w:tr>
      <w:tr w:rsidR="00773DAA" w:rsidRPr="00A719F2" w14:paraId="18D7AA60" w14:textId="77777777" w:rsidTr="00A873AF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0F836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3AF">
              <w:rPr>
                <w:color w:val="000000"/>
                <w:sz w:val="20"/>
                <w:szCs w:val="20"/>
              </w:rPr>
              <w:t>Std</w:t>
            </w:r>
            <w:proofErr w:type="spellEnd"/>
            <w:r w:rsidRPr="00A873A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873AF">
              <w:rPr>
                <w:color w:val="000000"/>
                <w:sz w:val="20"/>
                <w:szCs w:val="20"/>
              </w:rPr>
              <w:t>Deviation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3122B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0DC2F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FC3FB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2510BF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02AE1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9DC20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FE6EB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98FE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2B10B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8EACD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8996A4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64BF96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6A532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C68D8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DF2612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46743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BA76A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7453A" w14:textId="77777777" w:rsidR="00773DAA" w:rsidRPr="00A873AF" w:rsidRDefault="00773DAA" w:rsidP="00773DAA">
            <w:pPr>
              <w:jc w:val="center"/>
              <w:rPr>
                <w:color w:val="000000"/>
                <w:sz w:val="20"/>
                <w:szCs w:val="20"/>
              </w:rPr>
            </w:pPr>
            <w:r w:rsidRPr="00A873AF">
              <w:rPr>
                <w:color w:val="000000"/>
                <w:sz w:val="20"/>
                <w:szCs w:val="20"/>
              </w:rPr>
              <w:t>1.5</w:t>
            </w:r>
          </w:p>
        </w:tc>
      </w:tr>
    </w:tbl>
    <w:p w14:paraId="6BA472ED" w14:textId="77777777" w:rsidR="00773DAA" w:rsidRPr="00A719F2" w:rsidRDefault="00773DAA" w:rsidP="00651F25">
      <w:pPr>
        <w:spacing w:line="480" w:lineRule="auto"/>
        <w:rPr>
          <w:b/>
          <w:lang w:val="en-GB"/>
        </w:rPr>
      </w:pPr>
    </w:p>
    <w:p w14:paraId="4837BD54" w14:textId="77777777" w:rsidR="00773DAA" w:rsidRPr="00A719F2" w:rsidRDefault="00773DAA" w:rsidP="00651F25">
      <w:pPr>
        <w:spacing w:line="480" w:lineRule="auto"/>
        <w:rPr>
          <w:b/>
          <w:lang w:val="en-GB"/>
        </w:rPr>
        <w:sectPr w:rsidR="00773DAA" w:rsidRPr="00A719F2" w:rsidSect="00A873AF">
          <w:pgSz w:w="16838" w:h="11906" w:orient="landscape"/>
          <w:pgMar w:top="1417" w:right="1417" w:bottom="1417" w:left="1417" w:header="720" w:footer="344" w:gutter="0"/>
          <w:lnNumType w:countBy="1" w:restart="continuous"/>
          <w:cols w:space="720"/>
          <w:docGrid w:linePitch="360"/>
        </w:sectPr>
      </w:pPr>
    </w:p>
    <w:p w14:paraId="4AE8E747" w14:textId="73DE67A8" w:rsidR="004F3135" w:rsidRPr="00A719F2" w:rsidRDefault="004F3135" w:rsidP="00651F25">
      <w:pPr>
        <w:spacing w:line="480" w:lineRule="auto"/>
        <w:rPr>
          <w:noProof/>
          <w:lang w:val="en-GB"/>
        </w:rPr>
      </w:pPr>
      <w:proofErr w:type="gramStart"/>
      <w:r w:rsidRPr="00A719F2">
        <w:rPr>
          <w:b/>
          <w:lang w:val="en-GB"/>
        </w:rPr>
        <w:lastRenderedPageBreak/>
        <w:t xml:space="preserve">Supplementary </w:t>
      </w:r>
      <w:r w:rsidRPr="00A873AF">
        <w:rPr>
          <w:b/>
          <w:bCs/>
          <w:noProof/>
          <w:lang w:val="en-GB"/>
        </w:rPr>
        <w:t>Table S3.</w:t>
      </w:r>
      <w:proofErr w:type="gramEnd"/>
      <w:r w:rsidRPr="00A873AF">
        <w:rPr>
          <w:b/>
          <w:bCs/>
          <w:noProof/>
          <w:lang w:val="en-GB"/>
        </w:rPr>
        <w:t xml:space="preserve"> </w:t>
      </w:r>
      <w:r w:rsidRPr="00A873AF">
        <w:rPr>
          <w:b/>
          <w:noProof/>
          <w:lang w:val="en-GB"/>
        </w:rPr>
        <w:t>Weekly proportions of the variants among patients SARS-CoV-2-diagnosed in our institute</w:t>
      </w:r>
      <w:r w:rsidR="00247081" w:rsidRPr="00A719F2">
        <w:rPr>
          <w:b/>
          <w:noProof/>
          <w:lang w:val="en-GB"/>
        </w:rPr>
        <w:t>.</w:t>
      </w:r>
    </w:p>
    <w:p w14:paraId="63FD731F" w14:textId="4CF6BD2C" w:rsidR="00C16521" w:rsidRDefault="00773DAA" w:rsidP="00A873AF">
      <w:pPr>
        <w:widowControl w:val="0"/>
        <w:spacing w:line="360" w:lineRule="auto"/>
        <w:jc w:val="center"/>
      </w:pPr>
      <w:r w:rsidRPr="003556B9">
        <w:rPr>
          <w:noProof/>
        </w:rPr>
        <w:drawing>
          <wp:inline distT="0" distB="0" distL="0" distR="0" wp14:anchorId="016DDF3B" wp14:editId="49CF306D">
            <wp:extent cx="3698543" cy="86546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607" cy="86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521" w:rsidSect="00A873AF">
      <w:pgSz w:w="11906" w:h="16838"/>
      <w:pgMar w:top="709" w:right="1417" w:bottom="993" w:left="1417" w:header="720" w:footer="344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1893A" w14:textId="77777777" w:rsidR="00626607" w:rsidRDefault="00626607" w:rsidP="00431363">
      <w:r>
        <w:separator/>
      </w:r>
    </w:p>
  </w:endnote>
  <w:endnote w:type="continuationSeparator" w:id="0">
    <w:p w14:paraId="65111DA8" w14:textId="77777777" w:rsidR="00626607" w:rsidRDefault="00626607" w:rsidP="0043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886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0D700" w14:textId="77777777" w:rsidR="00431363" w:rsidRDefault="004313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9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F74C5A2" w14:textId="77777777" w:rsidR="00431363" w:rsidRDefault="00431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FB5E5" w14:textId="77777777" w:rsidR="00626607" w:rsidRDefault="00626607" w:rsidP="00431363">
      <w:r>
        <w:separator/>
      </w:r>
    </w:p>
  </w:footnote>
  <w:footnote w:type="continuationSeparator" w:id="0">
    <w:p w14:paraId="4E362106" w14:textId="77777777" w:rsidR="00626607" w:rsidRDefault="00626607" w:rsidP="0043136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LSON Philippe">
    <w15:presenceInfo w15:providerId="AD" w15:userId="S::philippe.COLSON@univ-amu.fr::9b0f9ac9-4862-4fe7-93f7-4111b3cb06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35"/>
    <w:rsid w:val="00070507"/>
    <w:rsid w:val="00087A83"/>
    <w:rsid w:val="001D48D6"/>
    <w:rsid w:val="00247081"/>
    <w:rsid w:val="002A7A8D"/>
    <w:rsid w:val="002B76C6"/>
    <w:rsid w:val="0032466A"/>
    <w:rsid w:val="003556B9"/>
    <w:rsid w:val="00431363"/>
    <w:rsid w:val="004C6C55"/>
    <w:rsid w:val="004F3135"/>
    <w:rsid w:val="005A1091"/>
    <w:rsid w:val="00626607"/>
    <w:rsid w:val="00651F25"/>
    <w:rsid w:val="00773DAA"/>
    <w:rsid w:val="008925CE"/>
    <w:rsid w:val="008B5C67"/>
    <w:rsid w:val="00916460"/>
    <w:rsid w:val="00A719F2"/>
    <w:rsid w:val="00A873AF"/>
    <w:rsid w:val="00AB0B9A"/>
    <w:rsid w:val="00AC5640"/>
    <w:rsid w:val="00BF2DBB"/>
    <w:rsid w:val="00C16521"/>
    <w:rsid w:val="00CD7000"/>
    <w:rsid w:val="00CE24DE"/>
    <w:rsid w:val="00DE115A"/>
    <w:rsid w:val="00E069A5"/>
    <w:rsid w:val="00E238C9"/>
    <w:rsid w:val="00E847E9"/>
    <w:rsid w:val="00F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B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4F3135"/>
  </w:style>
  <w:style w:type="character" w:styleId="LineNumber">
    <w:name w:val="line number"/>
    <w:basedOn w:val="DefaultParagraphFont"/>
    <w:uiPriority w:val="99"/>
    <w:semiHidden/>
    <w:unhideWhenUsed/>
    <w:rsid w:val="004F3135"/>
  </w:style>
  <w:style w:type="paragraph" w:styleId="BalloonText">
    <w:name w:val="Balloon Text"/>
    <w:basedOn w:val="Normal"/>
    <w:link w:val="BalloonTextChar"/>
    <w:uiPriority w:val="99"/>
    <w:semiHidden/>
    <w:unhideWhenUsed/>
    <w:rsid w:val="004F3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35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4313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3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4313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3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vision">
    <w:name w:val="Revision"/>
    <w:hidden/>
    <w:uiPriority w:val="99"/>
    <w:semiHidden/>
    <w:rsid w:val="0065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4F3135"/>
  </w:style>
  <w:style w:type="character" w:styleId="LineNumber">
    <w:name w:val="line number"/>
    <w:basedOn w:val="DefaultParagraphFont"/>
    <w:uiPriority w:val="99"/>
    <w:semiHidden/>
    <w:unhideWhenUsed/>
    <w:rsid w:val="004F3135"/>
  </w:style>
  <w:style w:type="paragraph" w:styleId="BalloonText">
    <w:name w:val="Balloon Text"/>
    <w:basedOn w:val="Normal"/>
    <w:link w:val="BalloonTextChar"/>
    <w:uiPriority w:val="99"/>
    <w:semiHidden/>
    <w:unhideWhenUsed/>
    <w:rsid w:val="004F3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35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4313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3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4313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3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vision">
    <w:name w:val="Revision"/>
    <w:hidden/>
    <w:uiPriority w:val="99"/>
    <w:semiHidden/>
    <w:rsid w:val="0065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4.emf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E16DC097</Template>
  <TotalTime>2</TotalTime>
  <Pages>8</Pages>
  <Words>543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COLSON</dc:creator>
  <cp:lastModifiedBy>Philippe COLSON</cp:lastModifiedBy>
  <cp:revision>4</cp:revision>
  <cp:lastPrinted>2021-09-01T11:03:00Z</cp:lastPrinted>
  <dcterms:created xsi:type="dcterms:W3CDTF">2021-09-03T15:34:00Z</dcterms:created>
  <dcterms:modified xsi:type="dcterms:W3CDTF">2021-09-03T15:36:00Z</dcterms:modified>
</cp:coreProperties>
</file>