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5A67" w14:textId="77777777" w:rsidR="005502F3" w:rsidRDefault="009E1D4E">
      <w:pPr>
        <w:pStyle w:val="Title"/>
      </w:pPr>
      <w:r>
        <w:t>SARS-CoV-2 Seroprevalence in a University Community: A Longitudinal Study of the Impact of Student Return to Campus on Infection Risk Among Community Members</w:t>
      </w:r>
    </w:p>
    <w:p w14:paraId="0AAF7B02" w14:textId="47082DBA" w:rsidR="005502F3" w:rsidRDefault="009E1D4E" w:rsidP="00A636A0">
      <w:pPr>
        <w:pStyle w:val="Title"/>
      </w:pPr>
      <w:r>
        <w:t>Supplemental Appendix</w:t>
      </w:r>
    </w:p>
    <w:p w14:paraId="090EBE7E" w14:textId="77777777" w:rsidR="005502F3" w:rsidRDefault="009E1D4E">
      <w:pPr>
        <w:pStyle w:val="Heading1"/>
      </w:pPr>
      <w:bookmarkStart w:id="0" w:name="supplementary-text"/>
      <w:r>
        <w:t>S</w:t>
      </w:r>
      <w:r>
        <w:t>upplementary Text</w:t>
      </w:r>
    </w:p>
    <w:p w14:paraId="15AE952F" w14:textId="77777777" w:rsidR="005502F3" w:rsidRDefault="009E1D4E">
      <w:pPr>
        <w:pStyle w:val="Heading2"/>
      </w:pPr>
      <w:bookmarkStart w:id="1" w:name="laboratory-methods"/>
      <w:r>
        <w:t>Laboratory Methods:</w:t>
      </w:r>
    </w:p>
    <w:p w14:paraId="659DE265" w14:textId="77777777" w:rsidR="005502F3" w:rsidRDefault="009E1D4E">
      <w:pPr>
        <w:pStyle w:val="Heading3"/>
      </w:pPr>
      <w:bookmarkStart w:id="2" w:name="X4389a3d8ba5f44f9de36286e3f6475996c854d9"/>
      <w:r>
        <w:t>Production and Purification of SARS-CoV-2 Receptor-binding domain (S/RBD)</w:t>
      </w:r>
    </w:p>
    <w:p w14:paraId="750330FA" w14:textId="77777777" w:rsidR="005502F3" w:rsidRDefault="009E1D4E" w:rsidP="00A636A0">
      <w:r>
        <w:t>Transfections of plasmid pSL1510 (pCAGGS-RBD from Florian Krammer, Mount Sinai, USA) was performed using the Expi293 Expression System from ThermoFisher. Cells were cultured per manu</w:t>
      </w:r>
      <w:r>
        <w:t>facturer’s instructions (37°C, 8% CO2, in shaker flasks at 120-130 rpm), and the supernatant was harvested by simple centrifugation on the third day for downstream processing. Cell viability and concentration were monitored throughout to ensure that the cu</w:t>
      </w:r>
      <w:r>
        <w:t xml:space="preserve">lture remained in log phase growth. The detailed protocol is deposited in protocols.io [1]. Briefly, culture supernatant was incubated with pre-equilibrated Ni-NTA resin in 1X PBS at 4°C for 1 h on a nutator, after which a gravity column was used to elute </w:t>
      </w:r>
      <w:r>
        <w:t>the protein.</w:t>
      </w:r>
    </w:p>
    <w:p w14:paraId="167AE36E" w14:textId="77777777" w:rsidR="005502F3" w:rsidRDefault="009E1D4E">
      <w:pPr>
        <w:pStyle w:val="Heading3"/>
      </w:pPr>
      <w:bookmarkStart w:id="3" w:name="X976bae13fc327af3ede6f34b0fe5b6da44a8850"/>
      <w:bookmarkEnd w:id="2"/>
      <w:r>
        <w:t>Estimation of IgG antibodies against SARS-CoV-2</w:t>
      </w:r>
    </w:p>
    <w:p w14:paraId="0373A923" w14:textId="77777777" w:rsidR="005502F3" w:rsidRDefault="009E1D4E">
      <w:pPr>
        <w:pStyle w:val="FirstParagraph"/>
      </w:pPr>
      <w:r>
        <w:t xml:space="preserve">An in-house indirect isotype-specific (IgG) ELISA against SARS-CoV-2 receptor-binding domain (S/RBD) was developed [1]. Commercially purchased human monoclonal antibody reactive to spike regions </w:t>
      </w:r>
      <w:r>
        <w:t xml:space="preserve">of SARS-CoV-1 and SARS-CoV-2 were used as positive controls in the assay (Two isotypes of CR3022, IgG1: Ab01680-10.0; Absolute Antibody, USA). The cut-off </w:t>
      </w:r>
      <w:r>
        <w:lastRenderedPageBreak/>
        <w:t>for this IgG ELISA was determined as an optical density (absorbance at 450 nm) higher than three or s</w:t>
      </w:r>
      <w:r>
        <w:t>ix standard deviations above the mean of the tested pre-COVID-19 serum samples (n=100). Briefly, serum was separated from the blood collected from study participants and inactivated at 56°C for 30 minutes. Microtiter plates were coated with purified recomb</w:t>
      </w:r>
      <w:r>
        <w:t>inant S/RBD. Negative serum control was included on each microtiter plate. 1:50 dilutions of serum were added, incubated for 1 hour, washed, incubated with goat anti-human IgG (Fc specific) (A0170, Sigma-Aldrich, USA), and washed. 3,3′,5,5′-Tetramethylbenz</w:t>
      </w:r>
      <w:r>
        <w:t>idine dihydrochloride (TMB) was used as the ELISA substrate (T3405, Sigma-Aldrich, USA) was added, the plates were developed until the top dilution reached the saturation pointes, and the reaction was stopped with H2SO4. Plates were read at an absorbance o</w:t>
      </w:r>
      <w:r>
        <w:t>f 450 nm.</w:t>
      </w:r>
    </w:p>
    <w:p w14:paraId="072C63B5" w14:textId="77777777" w:rsidR="005502F3" w:rsidRDefault="009E1D4E">
      <w:pPr>
        <w:pStyle w:val="Heading2"/>
      </w:pPr>
      <w:bookmarkStart w:id="4" w:name="statistical-methods"/>
      <w:bookmarkEnd w:id="1"/>
      <w:bookmarkEnd w:id="3"/>
      <w:r>
        <w:t>Statistical Methods</w:t>
      </w:r>
    </w:p>
    <w:p w14:paraId="4CF9CEE0" w14:textId="77777777" w:rsidR="005502F3" w:rsidRDefault="009E1D4E">
      <w:pPr>
        <w:pStyle w:val="Heading3"/>
      </w:pPr>
      <w:bookmarkStart w:id="5" w:name="treatment-of-missing-data"/>
      <w:r>
        <w:t>Treatment of Missing Data</w:t>
      </w:r>
    </w:p>
    <w:p w14:paraId="26824317" w14:textId="74D152B8" w:rsidR="005502F3" w:rsidRDefault="009E1D4E">
      <w:pPr>
        <w:pStyle w:val="FirstParagraph"/>
      </w:pPr>
      <w:r>
        <w:t>In the subset of individuals in the returning student subgroup that had ELISA results, there are few missing values for the model variables, with the exception of “working as a service professional” (</w:t>
      </w:r>
      <w:r>
        <w:t>421/684). As a result of high missingness, service professional was removed as a predictor in the model. Exploration of the missing values in the remaining predictor variables demonstrate no bias by outcome, confirmed using Chi-squared tests of missingness</w:t>
      </w:r>
      <w:r>
        <w:t xml:space="preserve"> in predictors by outcome level. Little’s test of Missing Completely At Random (MCAR) indicated that the data was not MCAR (p = </w:t>
      </w:r>
      <w:proofErr w:type="gramStart"/>
      <w:r>
        <w:t>0.0727533)[</w:t>
      </w:r>
      <w:proofErr w:type="gramEnd"/>
      <w:r>
        <w:t>2], and three imputation methods (MICE, k-Nearest Neighbour with 5 neighbours, and Bagged Tree) [3–5] were used to co</w:t>
      </w:r>
      <w:r>
        <w:t>mpare model fits (</w:t>
      </w:r>
      <w:r w:rsidR="008A4231">
        <w:t xml:space="preserve">Supplemental </w:t>
      </w:r>
      <w:r>
        <w:t>Figure</w:t>
      </w:r>
      <w:r w:rsidR="008A4231">
        <w:t xml:space="preserve"> 1</w:t>
      </w:r>
      <w:r>
        <w:t xml:space="preserve">). Most missing values occurred across all variables, and there was no observable pattern among the majority of variables: there was some evidence that missingness in </w:t>
      </w:r>
      <w:r>
        <w:lastRenderedPageBreak/>
        <w:t>“travel in the 3 months prior to ret</w:t>
      </w:r>
      <w:r>
        <w:t>urn” was associated with “travelling since campus return” response, and that missingness in “eaten in a restaurant in the past 7 days” was associated with “IgG classification.” As such, the predictor variables were deemed to be ‘Missing At Random,’ and MIC</w:t>
      </w:r>
      <w:r>
        <w:t>E was used to impute missing values.</w:t>
      </w:r>
    </w:p>
    <w:p w14:paraId="3C28B353" w14:textId="164B9B9D" w:rsidR="005502F3" w:rsidRDefault="009E1D4E" w:rsidP="00CE79CC">
      <w:pPr>
        <w:pStyle w:val="Heading3"/>
      </w:pPr>
      <w:bookmarkStart w:id="6" w:name="alternative-estimate-of-true-prevalence"/>
      <w:bookmarkEnd w:id="5"/>
      <w:r>
        <w:t>Alternative Estimate of True Prevalence</w:t>
      </w:r>
    </w:p>
    <w:p w14:paraId="00744EE6" w14:textId="4B903A37" w:rsidR="005502F3" w:rsidRDefault="009E1D4E">
      <w:pPr>
        <w:pStyle w:val="FirstParagraph"/>
      </w:pPr>
      <w:r>
        <w:t>I</w:t>
      </w:r>
      <w:r>
        <w:t>n the main text we present estimates of the true prevalence in the returning student and community resident cohorts that corrects for the sensitivity of the assay. We e</w:t>
      </w:r>
      <w:r>
        <w:t>stimated sensitivity based on the returning student samples only because the student population had high access to RT-PCR diagnostic tests. Here we present an alternative analysis using an estimate of sensitivity including the community residents. 9 commun</w:t>
      </w:r>
      <w:r>
        <w:t>ity residents self-reported a positive COVID-19 diagnosis by a medical professional prior to the first visit; an additional 19 community residents reported a positive COVID-19 diagnosis between the first and second visit. Of these, 17 were positive for IgG</w:t>
      </w:r>
      <w:r>
        <w:t xml:space="preserve"> antibodies. Pooled with the student results, this results in a sensitivity estimate of 89 (95% CI: 82.5-93.7). This implies a lower sensitivity in the community resident participants, though the number of observations is low.</w:t>
      </w:r>
      <w:r w:rsidR="008A4231">
        <w:t xml:space="preserve"> Supplemental</w:t>
      </w:r>
      <w:r>
        <w:t xml:space="preserve"> Figure </w:t>
      </w:r>
      <w:r w:rsidR="008A4231">
        <w:t>2</w:t>
      </w:r>
      <w:r>
        <w:t xml:space="preserve"> shows the estimated true prevalence assuming a uniform prior on the interval (82.5, 93.7) on sensitivity in the community resident population and a uniform prior on the interval (0.85, 0.99) on specificity. For all values of specificity greater than 0</w:t>
      </w:r>
      <w:r>
        <w:t>.85, there is no change in the qualitative result that the 95% confidence intervals for prevalence in the community residents overlap for both visits for specificity values less than 0.95, and are distinctly different to the prevalence within the returning</w:t>
      </w:r>
      <w:r>
        <w:t xml:space="preserve"> student subgroup.</w:t>
      </w:r>
    </w:p>
    <w:p w14:paraId="09037592" w14:textId="77777777" w:rsidR="005502F3" w:rsidRDefault="009E1D4E">
      <w:r>
        <w:br w:type="page"/>
      </w:r>
    </w:p>
    <w:p w14:paraId="64C2155D" w14:textId="77777777" w:rsidR="005502F3" w:rsidRDefault="009E1D4E">
      <w:pPr>
        <w:pStyle w:val="Heading1"/>
      </w:pPr>
      <w:bookmarkStart w:id="7" w:name="references"/>
      <w:bookmarkEnd w:id="0"/>
      <w:bookmarkEnd w:id="4"/>
      <w:bookmarkEnd w:id="6"/>
      <w:r>
        <w:lastRenderedPageBreak/>
        <w:t>References</w:t>
      </w:r>
    </w:p>
    <w:p w14:paraId="04BA8664" w14:textId="77777777" w:rsidR="005502F3" w:rsidRDefault="009E1D4E">
      <w:pPr>
        <w:pStyle w:val="Bibliography"/>
      </w:pPr>
      <w:bookmarkStart w:id="8" w:name="ref-gontuQuantitativeEstimationIgM2020"/>
      <w:bookmarkStart w:id="9" w:name="refs"/>
      <w:r>
        <w:t xml:space="preserve">[1] </w:t>
      </w:r>
      <w:r>
        <w:tab/>
        <w:t>Gontu A, Srinivasan S, Nair MS, Lindner SE, Minns AM, Rossi R, et al. Quantitative Estimation of IgM and IgG Antibodies Against SARS-CoV-2. Protocolsio 2020. doi:</w:t>
      </w:r>
      <w:hyperlink r:id="rId7">
        <w:r>
          <w:rPr>
            <w:rStyle w:val="Hyperlink"/>
          </w:rPr>
          <w:t>dx.doi.org/10.17504/protocols.io.bivgke3w</w:t>
        </w:r>
      </w:hyperlink>
      <w:r>
        <w:t>.</w:t>
      </w:r>
    </w:p>
    <w:p w14:paraId="02C24DD9" w14:textId="77777777" w:rsidR="005502F3" w:rsidRDefault="009E1D4E">
      <w:pPr>
        <w:pStyle w:val="Bibliography"/>
      </w:pPr>
      <w:bookmarkStart w:id="10" w:name="ref-littleTestMissingCompletely1988"/>
      <w:bookmarkEnd w:id="8"/>
      <w:r>
        <w:t xml:space="preserve">[2] </w:t>
      </w:r>
      <w:r>
        <w:tab/>
        <w:t>Little RJA. A Test of Missing Completely at Random for Multivariate Data with Missing Values. J Am Stat Assoc 1988;83:1198–202. doi:</w:t>
      </w:r>
      <w:hyperlink r:id="rId8">
        <w:r>
          <w:rPr>
            <w:rStyle w:val="Hyperlink"/>
          </w:rPr>
          <w:t>10.1080/01621459.1988.10478722</w:t>
        </w:r>
      </w:hyperlink>
      <w:r>
        <w:t>.</w:t>
      </w:r>
    </w:p>
    <w:p w14:paraId="7331350D" w14:textId="77777777" w:rsidR="005502F3" w:rsidRDefault="009E1D4E">
      <w:pPr>
        <w:pStyle w:val="Bibliography"/>
      </w:pPr>
      <w:bookmarkStart w:id="11" w:name="ref-buurenMiceMultivariateImputation2011"/>
      <w:bookmarkEnd w:id="10"/>
      <w:r>
        <w:t xml:space="preserve">[3] </w:t>
      </w:r>
      <w:r>
        <w:tab/>
        <w:t>Buuren S van, Groothuis-Oudshoorn K. Mice: Multivariate Imputation by Chained Equations in R. J Stat Softw 2011;45:1–67. doi:</w:t>
      </w:r>
      <w:hyperlink r:id="rId9">
        <w:r>
          <w:rPr>
            <w:rStyle w:val="Hyperlink"/>
          </w:rPr>
          <w:t>10.18637/jss.v045.i03</w:t>
        </w:r>
      </w:hyperlink>
      <w:r>
        <w:t>.</w:t>
      </w:r>
    </w:p>
    <w:p w14:paraId="41CD2EE8" w14:textId="77777777" w:rsidR="005502F3" w:rsidRDefault="009E1D4E">
      <w:pPr>
        <w:pStyle w:val="Bibliography"/>
      </w:pPr>
      <w:bookmarkStart w:id="12" w:name="ref-kuhnTidymodelsCollectionPackages2020"/>
      <w:bookmarkEnd w:id="11"/>
      <w:r>
        <w:t xml:space="preserve">[4] </w:t>
      </w:r>
      <w:r>
        <w:tab/>
        <w:t>Kuhn M, Wickham H. Tidymodels: A collection of packages for modeling and machine learning using tidyverse principles. 2020.</w:t>
      </w:r>
    </w:p>
    <w:p w14:paraId="778D5C82" w14:textId="77777777" w:rsidR="005502F3" w:rsidRDefault="009E1D4E">
      <w:pPr>
        <w:pStyle w:val="Bibliography"/>
      </w:pPr>
      <w:bookmarkStart w:id="13" w:name="ref-kuhnFeatureEngineeringSelection2019"/>
      <w:bookmarkEnd w:id="12"/>
      <w:r>
        <w:t xml:space="preserve">[5] </w:t>
      </w:r>
      <w:r>
        <w:tab/>
        <w:t>Kuhn M, Johnson K. Feature Engineering and Selection: A Practical Approach for Predictive Models. Taylor &amp; Francis; 2019.</w:t>
      </w:r>
    </w:p>
    <w:bookmarkEnd w:id="9"/>
    <w:bookmarkEnd w:id="13"/>
    <w:p w14:paraId="0522EC74" w14:textId="77777777" w:rsidR="005502F3" w:rsidRDefault="009E1D4E">
      <w:r>
        <w:br w:type="page"/>
      </w:r>
    </w:p>
    <w:p w14:paraId="27D5D01F" w14:textId="77777777" w:rsidR="005502F3" w:rsidRDefault="009E1D4E">
      <w:pPr>
        <w:pStyle w:val="Heading1"/>
      </w:pPr>
      <w:bookmarkStart w:id="14" w:name="tables"/>
      <w:bookmarkEnd w:id="7"/>
      <w:r>
        <w:lastRenderedPageBreak/>
        <w:t>Ta</w:t>
      </w:r>
      <w:r>
        <w:t>bles</w:t>
      </w:r>
    </w:p>
    <w:p w14:paraId="509DEEA8" w14:textId="7D0FCF41" w:rsidR="005502F3" w:rsidRDefault="00A636A0">
      <w:pPr>
        <w:pStyle w:val="FirstParagraph"/>
      </w:pPr>
      <w:r>
        <w:t xml:space="preserve">Supplemental Table 1: </w:t>
      </w:r>
      <w:r w:rsidR="009E1D4E">
        <w:t>Propensity of following public health measures in returning students and community members with PSU ELISA results; subset of community members that received the “Health Messaging” survey. P-value refers to Chi-square test with Yates’ continuity correc</w:t>
      </w:r>
      <w:r w:rsidR="009E1D4E">
        <w:t>tion of proportions in the predictor level by cohort.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53"/>
        <w:gridCol w:w="1855"/>
        <w:gridCol w:w="2488"/>
        <w:gridCol w:w="2488"/>
        <w:gridCol w:w="892"/>
      </w:tblGrid>
      <w:tr w:rsidR="00A636A0" w:rsidRPr="00CE79CC" w14:paraId="6C554322" w14:textId="77777777" w:rsidTr="00A636A0">
        <w:tblPrEx>
          <w:tblCellMar>
            <w:top w:w="0" w:type="dxa"/>
            <w:bottom w:w="0" w:type="dxa"/>
          </w:tblCellMar>
        </w:tblPrEx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  <w:vAlign w:val="bottom"/>
          </w:tcPr>
          <w:p w14:paraId="2A59D9A0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262626"/>
              </w:rPr>
            </w:pPr>
            <w:r w:rsidRPr="00CE79CC">
              <w:rPr>
                <w:rFonts w:cs="Times New Roman"/>
                <w:b/>
                <w:bCs/>
                <w:color w:val="262626"/>
              </w:rPr>
              <w:t>PH Measure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  <w:vAlign w:val="bottom"/>
          </w:tcPr>
          <w:p w14:paraId="53FE9A81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262626"/>
              </w:rPr>
            </w:pPr>
          </w:p>
        </w:tc>
        <w:tc>
          <w:tcPr>
            <w:tcW w:w="1328" w:type="pct"/>
            <w:tcBorders>
              <w:top w:val="single" w:sz="4" w:space="0" w:color="auto"/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  <w:vAlign w:val="bottom"/>
          </w:tcPr>
          <w:p w14:paraId="697A165C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262626"/>
              </w:rPr>
            </w:pPr>
            <w:r w:rsidRPr="00CE79CC">
              <w:rPr>
                <w:rFonts w:cs="Times New Roman"/>
                <w:b/>
                <w:bCs/>
                <w:color w:val="262626"/>
              </w:rPr>
              <w:t>Community - Health Messaging</w:t>
            </w:r>
          </w:p>
        </w:tc>
        <w:tc>
          <w:tcPr>
            <w:tcW w:w="1328" w:type="pct"/>
            <w:tcBorders>
              <w:top w:val="single" w:sz="4" w:space="0" w:color="auto"/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  <w:vAlign w:val="bottom"/>
          </w:tcPr>
          <w:p w14:paraId="0BB8BCEA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262626"/>
              </w:rPr>
            </w:pPr>
            <w:r w:rsidRPr="00CE79CC">
              <w:rPr>
                <w:rFonts w:cs="Times New Roman"/>
                <w:b/>
                <w:bCs/>
                <w:color w:val="262626"/>
              </w:rPr>
              <w:t>Returning Students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  <w:vAlign w:val="bottom"/>
          </w:tcPr>
          <w:p w14:paraId="4934094A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262626"/>
              </w:rPr>
            </w:pPr>
            <w:r w:rsidRPr="00CE79CC">
              <w:rPr>
                <w:rFonts w:cs="Times New Roman"/>
                <w:b/>
                <w:bCs/>
                <w:color w:val="262626"/>
              </w:rPr>
              <w:t>p</w:t>
            </w:r>
          </w:p>
        </w:tc>
      </w:tr>
      <w:tr w:rsidR="00A636A0" w:rsidRPr="00CE79CC" w14:paraId="670BCA54" w14:textId="77777777" w:rsidTr="00A636A0">
        <w:tblPrEx>
          <w:tblCellMar>
            <w:top w:w="0" w:type="dxa"/>
            <w:bottom w:w="0" w:type="dxa"/>
          </w:tblCellMar>
        </w:tblPrEx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1DFD54BB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Total N (%)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1AA85AA2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</w:p>
        </w:tc>
        <w:tc>
          <w:tcPr>
            <w:tcW w:w="1328" w:type="pct"/>
            <w:tcBorders>
              <w:top w:val="single" w:sz="4" w:space="0" w:color="auto"/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47A9C461" w14:textId="6ABFECA2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835 (55.0</w:t>
            </w:r>
            <w:r w:rsidRPr="00CE79CC">
              <w:rPr>
                <w:rFonts w:cs="Times New Roman"/>
                <w:color w:val="262626"/>
              </w:rPr>
              <w:t>%</w:t>
            </w:r>
            <w:r w:rsidRPr="00CE79CC">
              <w:rPr>
                <w:rFonts w:cs="Times New Roman"/>
                <w:color w:val="262626"/>
              </w:rPr>
              <w:t>)</w:t>
            </w:r>
          </w:p>
        </w:tc>
        <w:tc>
          <w:tcPr>
            <w:tcW w:w="1328" w:type="pct"/>
            <w:tcBorders>
              <w:top w:val="single" w:sz="4" w:space="0" w:color="auto"/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56DF9AAC" w14:textId="5A5F12F1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684 (45.0</w:t>
            </w:r>
            <w:r w:rsidRPr="00CE79CC">
              <w:rPr>
                <w:rFonts w:cs="Times New Roman"/>
                <w:color w:val="262626"/>
              </w:rPr>
              <w:t>%</w:t>
            </w:r>
            <w:r w:rsidRPr="00CE79CC">
              <w:rPr>
                <w:rFonts w:cs="Times New Roman"/>
                <w:color w:val="262626"/>
              </w:rPr>
              <w:t>)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5B3DA5BA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</w:p>
        </w:tc>
      </w:tr>
      <w:tr w:rsidR="00A636A0" w:rsidRPr="00CE79CC" w14:paraId="3B80BE4C" w14:textId="77777777" w:rsidTr="00A636A0">
        <w:tblPrEx>
          <w:tblCellMar>
            <w:top w:w="0" w:type="dxa"/>
            <w:bottom w:w="0" w:type="dxa"/>
          </w:tblCellMar>
        </w:tblPrEx>
        <w:tc>
          <w:tcPr>
            <w:tcW w:w="997" w:type="pct"/>
            <w:tcBorders>
              <w:top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4A5DD8B9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Mask Wearing</w:t>
            </w:r>
          </w:p>
        </w:tc>
        <w:tc>
          <w:tcPr>
            <w:tcW w:w="998" w:type="pct"/>
            <w:tcBorders>
              <w:top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0D5013BE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Always</w:t>
            </w:r>
          </w:p>
        </w:tc>
        <w:tc>
          <w:tcPr>
            <w:tcW w:w="1328" w:type="pct"/>
            <w:tcBorders>
              <w:top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54120E07" w14:textId="5FE5F2B8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633 (76.1</w:t>
            </w:r>
            <w:r w:rsidRPr="00CE79CC">
              <w:rPr>
                <w:rFonts w:cs="Times New Roman"/>
                <w:color w:val="262626"/>
              </w:rPr>
              <w:t>%</w:t>
            </w:r>
            <w:r w:rsidRPr="00CE79CC">
              <w:rPr>
                <w:rFonts w:cs="Times New Roman"/>
                <w:color w:val="262626"/>
              </w:rPr>
              <w:t>)</w:t>
            </w:r>
          </w:p>
        </w:tc>
        <w:tc>
          <w:tcPr>
            <w:tcW w:w="1328" w:type="pct"/>
            <w:tcBorders>
              <w:top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53B1109D" w14:textId="142C02E0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593 (87.0</w:t>
            </w:r>
            <w:r w:rsidRPr="00CE79CC">
              <w:rPr>
                <w:rFonts w:cs="Times New Roman"/>
                <w:color w:val="262626"/>
              </w:rPr>
              <w:t>%</w:t>
            </w:r>
            <w:r w:rsidRPr="00CE79CC">
              <w:rPr>
                <w:rFonts w:cs="Times New Roman"/>
                <w:color w:val="262626"/>
              </w:rPr>
              <w:t>)</w:t>
            </w:r>
          </w:p>
        </w:tc>
        <w:tc>
          <w:tcPr>
            <w:tcW w:w="348" w:type="pct"/>
            <w:tcBorders>
              <w:top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4AD72A5B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&lt;0.001</w:t>
            </w:r>
          </w:p>
        </w:tc>
      </w:tr>
      <w:tr w:rsidR="00A636A0" w:rsidRPr="00CE79CC" w14:paraId="33588B79" w14:textId="77777777" w:rsidTr="00A636A0">
        <w:tblPrEx>
          <w:tblCellMar>
            <w:top w:w="0" w:type="dxa"/>
            <w:bottom w:w="0" w:type="dxa"/>
          </w:tblCellMar>
        </w:tblPrEx>
        <w:tc>
          <w:tcPr>
            <w:tcW w:w="997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55115043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1440EE56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Not Always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1A042479" w14:textId="139D5DF4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199 (23.9</w:t>
            </w:r>
            <w:r w:rsidRPr="00CE79CC">
              <w:rPr>
                <w:rFonts w:cs="Times New Roman"/>
                <w:color w:val="262626"/>
              </w:rPr>
              <w:t>%</w:t>
            </w:r>
            <w:r w:rsidRPr="00CE79CC">
              <w:rPr>
                <w:rFonts w:cs="Times New Roman"/>
                <w:color w:val="262626"/>
              </w:rPr>
              <w:t>)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2BF7F785" w14:textId="77770A3D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89 (13.0</w:t>
            </w:r>
            <w:r w:rsidRPr="00CE79CC">
              <w:rPr>
                <w:rFonts w:cs="Times New Roman"/>
                <w:color w:val="262626"/>
              </w:rPr>
              <w:t>%</w:t>
            </w:r>
            <w:r w:rsidRPr="00CE79CC">
              <w:rPr>
                <w:rFonts w:cs="Times New Roman"/>
                <w:color w:val="262626"/>
              </w:rPr>
              <w:t>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62DF80AE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</w:p>
        </w:tc>
      </w:tr>
      <w:tr w:rsidR="00A636A0" w:rsidRPr="00CE79CC" w14:paraId="1B46D103" w14:textId="77777777" w:rsidTr="00A636A0">
        <w:tblPrEx>
          <w:tblCellMar>
            <w:top w:w="0" w:type="dxa"/>
            <w:bottom w:w="0" w:type="dxa"/>
          </w:tblCellMar>
        </w:tblPrEx>
        <w:tc>
          <w:tcPr>
            <w:tcW w:w="997" w:type="pct"/>
            <w:tcBorders>
              <w:top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66EB68E3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Distancing in Public</w:t>
            </w:r>
          </w:p>
        </w:tc>
        <w:tc>
          <w:tcPr>
            <w:tcW w:w="998" w:type="pct"/>
            <w:tcBorders>
              <w:top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7023B4B0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Always</w:t>
            </w:r>
          </w:p>
        </w:tc>
        <w:tc>
          <w:tcPr>
            <w:tcW w:w="1328" w:type="pct"/>
            <w:tcBorders>
              <w:top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24D7B72E" w14:textId="172A1CB4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249 (30.0</w:t>
            </w:r>
            <w:r w:rsidRPr="00CE79CC">
              <w:rPr>
                <w:rFonts w:cs="Times New Roman"/>
                <w:color w:val="262626"/>
              </w:rPr>
              <w:t>%</w:t>
            </w:r>
            <w:r w:rsidRPr="00CE79CC">
              <w:rPr>
                <w:rFonts w:cs="Times New Roman"/>
                <w:color w:val="262626"/>
              </w:rPr>
              <w:t>)</w:t>
            </w:r>
          </w:p>
        </w:tc>
        <w:tc>
          <w:tcPr>
            <w:tcW w:w="1328" w:type="pct"/>
            <w:tcBorders>
              <w:top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029B2147" w14:textId="2CD0AF36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198 (29.1</w:t>
            </w:r>
            <w:r w:rsidRPr="00CE79CC">
              <w:rPr>
                <w:rFonts w:cs="Times New Roman"/>
                <w:color w:val="262626"/>
              </w:rPr>
              <w:t>%</w:t>
            </w:r>
            <w:r w:rsidRPr="00CE79CC">
              <w:rPr>
                <w:rFonts w:cs="Times New Roman"/>
                <w:color w:val="262626"/>
              </w:rPr>
              <w:t>)</w:t>
            </w:r>
          </w:p>
        </w:tc>
        <w:tc>
          <w:tcPr>
            <w:tcW w:w="348" w:type="pct"/>
            <w:tcBorders>
              <w:top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145851CD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0.749</w:t>
            </w:r>
          </w:p>
        </w:tc>
      </w:tr>
      <w:tr w:rsidR="00A636A0" w:rsidRPr="00CE79CC" w14:paraId="1C4D53F5" w14:textId="77777777" w:rsidTr="00A636A0">
        <w:tblPrEx>
          <w:tblCellMar>
            <w:top w:w="0" w:type="dxa"/>
            <w:bottom w:w="0" w:type="dxa"/>
          </w:tblCellMar>
        </w:tblPrEx>
        <w:tc>
          <w:tcPr>
            <w:tcW w:w="997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06CD18AA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0537EA8F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Not Always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4D2E1749" w14:textId="459BEEAC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582 (70.0</w:t>
            </w:r>
            <w:r w:rsidRPr="00CE79CC">
              <w:rPr>
                <w:rFonts w:cs="Times New Roman"/>
                <w:color w:val="262626"/>
              </w:rPr>
              <w:t>%</w:t>
            </w:r>
            <w:r w:rsidRPr="00CE79CC">
              <w:rPr>
                <w:rFonts w:cs="Times New Roman"/>
                <w:color w:val="262626"/>
              </w:rPr>
              <w:t>)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7C403338" w14:textId="5CDE7791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483 (70.9</w:t>
            </w:r>
            <w:r w:rsidRPr="00CE79CC">
              <w:rPr>
                <w:rFonts w:cs="Times New Roman"/>
                <w:color w:val="262626"/>
              </w:rPr>
              <w:t>%</w:t>
            </w:r>
            <w:r w:rsidRPr="00CE79CC">
              <w:rPr>
                <w:rFonts w:cs="Times New Roman"/>
                <w:color w:val="262626"/>
              </w:rPr>
              <w:t>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45F9D42B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</w:p>
        </w:tc>
      </w:tr>
      <w:tr w:rsidR="00A636A0" w:rsidRPr="00CE79CC" w14:paraId="691AB409" w14:textId="77777777" w:rsidTr="00A636A0">
        <w:tblPrEx>
          <w:tblCellMar>
            <w:top w:w="0" w:type="dxa"/>
            <w:bottom w:w="0" w:type="dxa"/>
          </w:tblCellMar>
        </w:tblPrEx>
        <w:tc>
          <w:tcPr>
            <w:tcW w:w="997" w:type="pct"/>
            <w:tcBorders>
              <w:top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5D9AABC7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Avoiding crowds of &gt;25 people</w:t>
            </w:r>
          </w:p>
        </w:tc>
        <w:tc>
          <w:tcPr>
            <w:tcW w:w="998" w:type="pct"/>
            <w:tcBorders>
              <w:top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11BCDFF7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Always</w:t>
            </w:r>
          </w:p>
        </w:tc>
        <w:tc>
          <w:tcPr>
            <w:tcW w:w="1328" w:type="pct"/>
            <w:tcBorders>
              <w:top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15E8C513" w14:textId="0A2008B1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549 (65.8</w:t>
            </w:r>
            <w:r w:rsidRPr="00CE79CC">
              <w:rPr>
                <w:rFonts w:cs="Times New Roman"/>
                <w:color w:val="262626"/>
              </w:rPr>
              <w:t>%</w:t>
            </w:r>
            <w:r w:rsidRPr="00CE79CC">
              <w:rPr>
                <w:rFonts w:cs="Times New Roman"/>
                <w:color w:val="262626"/>
              </w:rPr>
              <w:t>)</w:t>
            </w:r>
          </w:p>
        </w:tc>
        <w:tc>
          <w:tcPr>
            <w:tcW w:w="1328" w:type="pct"/>
            <w:tcBorders>
              <w:top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1DDD222D" w14:textId="5D9DE46B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293 (43.0</w:t>
            </w:r>
            <w:r w:rsidRPr="00CE79CC">
              <w:rPr>
                <w:rFonts w:cs="Times New Roman"/>
                <w:color w:val="262626"/>
              </w:rPr>
              <w:t>%</w:t>
            </w:r>
            <w:r w:rsidRPr="00CE79CC">
              <w:rPr>
                <w:rFonts w:cs="Times New Roman"/>
                <w:color w:val="262626"/>
              </w:rPr>
              <w:t>)</w:t>
            </w:r>
          </w:p>
        </w:tc>
        <w:tc>
          <w:tcPr>
            <w:tcW w:w="348" w:type="pct"/>
            <w:tcBorders>
              <w:top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4774DBA2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&lt;0.001</w:t>
            </w:r>
          </w:p>
        </w:tc>
      </w:tr>
      <w:tr w:rsidR="00A636A0" w:rsidRPr="00CE79CC" w14:paraId="53D6897D" w14:textId="77777777" w:rsidTr="00A636A0">
        <w:tblPrEx>
          <w:tblCellMar>
            <w:top w:w="0" w:type="dxa"/>
            <w:bottom w:w="0" w:type="dxa"/>
          </w:tblCellMar>
        </w:tblPrEx>
        <w:tc>
          <w:tcPr>
            <w:tcW w:w="997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4079A379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15812982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Not Always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17221DD2" w14:textId="09FA175D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285 (34.2</w:t>
            </w:r>
            <w:r w:rsidRPr="00CE79CC">
              <w:rPr>
                <w:rFonts w:cs="Times New Roman"/>
                <w:color w:val="262626"/>
              </w:rPr>
              <w:t>%</w:t>
            </w:r>
            <w:r w:rsidRPr="00CE79CC">
              <w:rPr>
                <w:rFonts w:cs="Times New Roman"/>
                <w:color w:val="262626"/>
              </w:rPr>
              <w:t>)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12DEC09B" w14:textId="0D50C88C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389 (57.0</w:t>
            </w:r>
            <w:r w:rsidRPr="00CE79CC">
              <w:rPr>
                <w:rFonts w:cs="Times New Roman"/>
                <w:color w:val="262626"/>
              </w:rPr>
              <w:t>%</w:t>
            </w:r>
            <w:r w:rsidRPr="00CE79CC">
              <w:rPr>
                <w:rFonts w:cs="Times New Roman"/>
                <w:color w:val="262626"/>
              </w:rPr>
              <w:t>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068FC072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</w:p>
        </w:tc>
      </w:tr>
    </w:tbl>
    <w:p w14:paraId="24658E80" w14:textId="77777777" w:rsidR="00A636A0" w:rsidRPr="00A636A0" w:rsidRDefault="00A636A0" w:rsidP="00A636A0">
      <w:pPr>
        <w:pStyle w:val="BodyText"/>
      </w:pPr>
    </w:p>
    <w:p w14:paraId="17B68069" w14:textId="77777777" w:rsidR="00CE79CC" w:rsidRDefault="00CE79CC">
      <w:pPr>
        <w:spacing w:line="240" w:lineRule="auto"/>
      </w:pPr>
      <w:r>
        <w:br w:type="page"/>
      </w:r>
    </w:p>
    <w:p w14:paraId="020C5F7E" w14:textId="5CADEEFE" w:rsidR="005502F3" w:rsidRDefault="00A636A0">
      <w:pPr>
        <w:pStyle w:val="BodyText"/>
      </w:pPr>
      <w:r>
        <w:lastRenderedPageBreak/>
        <w:t xml:space="preserve">Supplemental Table 2: </w:t>
      </w:r>
      <w:r w:rsidR="009E1D4E">
        <w:t>Raw prevalence in each subgroup by adherence to PH public health measures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20"/>
        <w:gridCol w:w="1888"/>
        <w:gridCol w:w="1890"/>
        <w:gridCol w:w="1888"/>
        <w:gridCol w:w="1890"/>
      </w:tblGrid>
      <w:tr w:rsidR="00A636A0" w:rsidRPr="00CE79CC" w14:paraId="5DA1F21D" w14:textId="77777777" w:rsidTr="00A636A0">
        <w:tblPrEx>
          <w:tblCellMar>
            <w:top w:w="0" w:type="dxa"/>
            <w:bottom w:w="0" w:type="dxa"/>
          </w:tblCellMar>
        </w:tblPrEx>
        <w:tc>
          <w:tcPr>
            <w:tcW w:w="1054" w:type="pct"/>
            <w:tcBorders>
              <w:top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  <w:vAlign w:val="bottom"/>
          </w:tcPr>
          <w:p w14:paraId="23041EB0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262626"/>
              </w:rPr>
            </w:pPr>
          </w:p>
        </w:tc>
        <w:tc>
          <w:tcPr>
            <w:tcW w:w="1973" w:type="pct"/>
            <w:gridSpan w:val="2"/>
            <w:tcBorders>
              <w:top w:val="single" w:sz="4" w:space="0" w:color="auto"/>
            </w:tcBorders>
            <w:tcMar>
              <w:top w:w="60" w:type="nil"/>
              <w:left w:w="160" w:type="nil"/>
              <w:right w:w="60" w:type="nil"/>
            </w:tcMar>
            <w:vAlign w:val="bottom"/>
          </w:tcPr>
          <w:p w14:paraId="7019F836" w14:textId="7C439D19" w:rsidR="00A636A0" w:rsidRPr="00CE79CC" w:rsidRDefault="00A636A0" w:rsidP="00A6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262626"/>
              </w:rPr>
            </w:pPr>
            <w:r w:rsidRPr="00CE79CC">
              <w:rPr>
                <w:rFonts w:cs="Times New Roman"/>
                <w:b/>
                <w:bCs/>
                <w:color w:val="262626"/>
              </w:rPr>
              <w:t>Community - Health Messaging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</w:tcBorders>
            <w:tcMar>
              <w:top w:w="60" w:type="nil"/>
              <w:left w:w="160" w:type="nil"/>
              <w:right w:w="60" w:type="nil"/>
            </w:tcMar>
            <w:vAlign w:val="bottom"/>
          </w:tcPr>
          <w:p w14:paraId="4B0C0500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262626"/>
              </w:rPr>
            </w:pPr>
            <w:r w:rsidRPr="00CE79CC">
              <w:rPr>
                <w:rFonts w:cs="Times New Roman"/>
                <w:b/>
                <w:bCs/>
                <w:color w:val="262626"/>
              </w:rPr>
              <w:t>Returning Students</w:t>
            </w:r>
          </w:p>
        </w:tc>
      </w:tr>
      <w:tr w:rsidR="00A636A0" w:rsidRPr="00CE79CC" w14:paraId="197E70D0" w14:textId="77777777" w:rsidTr="00A636A0">
        <w:tblPrEx>
          <w:tblCellMar>
            <w:top w:w="0" w:type="dxa"/>
            <w:bottom w:w="0" w:type="dxa"/>
          </w:tblCellMar>
        </w:tblPrEx>
        <w:tc>
          <w:tcPr>
            <w:tcW w:w="1054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  <w:vAlign w:val="bottom"/>
          </w:tcPr>
          <w:p w14:paraId="28D2260B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262626"/>
              </w:rPr>
            </w:pPr>
            <w:r w:rsidRPr="00CE79CC">
              <w:rPr>
                <w:rFonts w:cs="Times New Roman"/>
                <w:b/>
                <w:bCs/>
                <w:color w:val="262626"/>
              </w:rPr>
              <w:t> 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  <w:vAlign w:val="bottom"/>
          </w:tcPr>
          <w:p w14:paraId="210A2FDE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262626"/>
              </w:rPr>
            </w:pPr>
            <w:r w:rsidRPr="00CE79CC">
              <w:rPr>
                <w:rFonts w:cs="Times New Roman"/>
                <w:b/>
                <w:bCs/>
                <w:color w:val="262626"/>
              </w:rPr>
              <w:t>Negative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  <w:vAlign w:val="bottom"/>
          </w:tcPr>
          <w:p w14:paraId="1EDB1026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262626"/>
              </w:rPr>
            </w:pPr>
            <w:r w:rsidRPr="00CE79CC">
              <w:rPr>
                <w:rFonts w:cs="Times New Roman"/>
                <w:b/>
                <w:bCs/>
                <w:color w:val="262626"/>
              </w:rPr>
              <w:t>Positive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  <w:vAlign w:val="bottom"/>
          </w:tcPr>
          <w:p w14:paraId="550733A2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262626"/>
              </w:rPr>
            </w:pPr>
            <w:r w:rsidRPr="00CE79CC">
              <w:rPr>
                <w:rFonts w:cs="Times New Roman"/>
                <w:b/>
                <w:bCs/>
                <w:color w:val="262626"/>
              </w:rPr>
              <w:t>Negative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  <w:vAlign w:val="bottom"/>
          </w:tcPr>
          <w:p w14:paraId="10549FAD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262626"/>
              </w:rPr>
            </w:pPr>
            <w:r w:rsidRPr="00CE79CC">
              <w:rPr>
                <w:rFonts w:cs="Times New Roman"/>
                <w:b/>
                <w:bCs/>
                <w:color w:val="262626"/>
              </w:rPr>
              <w:t>Positive</w:t>
            </w:r>
          </w:p>
        </w:tc>
      </w:tr>
      <w:tr w:rsidR="00A636A0" w:rsidRPr="00CE79CC" w14:paraId="22944728" w14:textId="77777777" w:rsidTr="00A636A0">
        <w:tblPrEx>
          <w:tblCellMar>
            <w:top w:w="0" w:type="dxa"/>
            <w:bottom w:w="0" w:type="dxa"/>
          </w:tblCellMar>
        </w:tblPrEx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22BAA18C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6CD4445C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(N=804)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264F68B9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(N=31)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4F7138E1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(N=476)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459FE801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(N=208)</w:t>
            </w:r>
          </w:p>
        </w:tc>
      </w:tr>
      <w:tr w:rsidR="00A636A0" w:rsidRPr="00CE79CC" w14:paraId="3ED9D329" w14:textId="77777777" w:rsidTr="00A636A0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2D7A8660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b/>
                <w:bCs/>
                <w:color w:val="262626"/>
              </w:rPr>
              <w:t>Mask Wearing</w:t>
            </w:r>
          </w:p>
        </w:tc>
      </w:tr>
      <w:tr w:rsidR="00A636A0" w:rsidRPr="00CE79CC" w14:paraId="113CBF2C" w14:textId="77777777" w:rsidTr="00A636A0">
        <w:tblPrEx>
          <w:tblCellMar>
            <w:top w:w="0" w:type="dxa"/>
            <w:bottom w:w="0" w:type="dxa"/>
          </w:tblCellMar>
        </w:tblPrEx>
        <w:tc>
          <w:tcPr>
            <w:tcW w:w="1054" w:type="pct"/>
            <w:tcMar>
              <w:top w:w="560" w:type="nil"/>
              <w:left w:w="160" w:type="nil"/>
              <w:bottom w:w="160" w:type="nil"/>
              <w:right w:w="160" w:type="nil"/>
            </w:tcMar>
          </w:tcPr>
          <w:p w14:paraId="4586B0BF" w14:textId="77777777" w:rsidR="00A636A0" w:rsidRPr="00CE79CC" w:rsidRDefault="00A636A0" w:rsidP="00A63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Always</w:t>
            </w:r>
          </w:p>
        </w:tc>
        <w:tc>
          <w:tcPr>
            <w:tcW w:w="986" w:type="pct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5B377BF5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610 (75.9%)</w:t>
            </w:r>
          </w:p>
        </w:tc>
        <w:tc>
          <w:tcPr>
            <w:tcW w:w="986" w:type="pct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7A9B4768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23 (74.2%)</w:t>
            </w:r>
          </w:p>
        </w:tc>
        <w:tc>
          <w:tcPr>
            <w:tcW w:w="986" w:type="pct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320F6614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410 (86.1%)</w:t>
            </w:r>
          </w:p>
        </w:tc>
        <w:tc>
          <w:tcPr>
            <w:tcW w:w="987" w:type="pct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13CBEC81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183 (88.0%)</w:t>
            </w:r>
          </w:p>
        </w:tc>
      </w:tr>
      <w:tr w:rsidR="00A636A0" w:rsidRPr="00CE79CC" w14:paraId="62E41A15" w14:textId="77777777" w:rsidTr="00A636A0">
        <w:tblPrEx>
          <w:tblCellMar>
            <w:top w:w="0" w:type="dxa"/>
            <w:bottom w:w="0" w:type="dxa"/>
          </w:tblCellMar>
        </w:tblPrEx>
        <w:tc>
          <w:tcPr>
            <w:tcW w:w="1054" w:type="pct"/>
            <w:tcMar>
              <w:top w:w="560" w:type="nil"/>
              <w:left w:w="160" w:type="nil"/>
              <w:bottom w:w="160" w:type="nil"/>
              <w:right w:w="160" w:type="nil"/>
            </w:tcMar>
          </w:tcPr>
          <w:p w14:paraId="627EB833" w14:textId="77777777" w:rsidR="00A636A0" w:rsidRPr="00CE79CC" w:rsidRDefault="00A636A0" w:rsidP="00A63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Not Always</w:t>
            </w:r>
          </w:p>
        </w:tc>
        <w:tc>
          <w:tcPr>
            <w:tcW w:w="986" w:type="pct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326D65BA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191 (23.8%)</w:t>
            </w:r>
          </w:p>
        </w:tc>
        <w:tc>
          <w:tcPr>
            <w:tcW w:w="986" w:type="pct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29E46B4F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8 (25.8%)</w:t>
            </w:r>
          </w:p>
        </w:tc>
        <w:tc>
          <w:tcPr>
            <w:tcW w:w="986" w:type="pct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3AF58E44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65 (13.7%)</w:t>
            </w:r>
          </w:p>
        </w:tc>
        <w:tc>
          <w:tcPr>
            <w:tcW w:w="987" w:type="pct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795F9500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24 (11.5%)</w:t>
            </w:r>
          </w:p>
        </w:tc>
      </w:tr>
      <w:tr w:rsidR="00A636A0" w:rsidRPr="00CE79CC" w14:paraId="326537A7" w14:textId="77777777" w:rsidTr="00A636A0">
        <w:tblPrEx>
          <w:tblCellMar>
            <w:top w:w="0" w:type="dxa"/>
            <w:bottom w:w="0" w:type="dxa"/>
          </w:tblCellMar>
        </w:tblPrEx>
        <w:tc>
          <w:tcPr>
            <w:tcW w:w="1054" w:type="pct"/>
            <w:tcBorders>
              <w:bottom w:val="single" w:sz="4" w:space="0" w:color="auto"/>
            </w:tcBorders>
            <w:tcMar>
              <w:top w:w="560" w:type="nil"/>
              <w:left w:w="160" w:type="nil"/>
              <w:bottom w:w="160" w:type="nil"/>
              <w:right w:w="160" w:type="nil"/>
            </w:tcMar>
          </w:tcPr>
          <w:p w14:paraId="63C985D9" w14:textId="77777777" w:rsidR="00A636A0" w:rsidRPr="00CE79CC" w:rsidRDefault="00A636A0" w:rsidP="00A63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Missing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4520B717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3 (0.4%)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131CBE5B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0 (0%)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50BF6A18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1 (0.2%)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5A560E08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1 (0.5%)</w:t>
            </w:r>
          </w:p>
        </w:tc>
      </w:tr>
      <w:tr w:rsidR="00A636A0" w:rsidRPr="00CE79CC" w14:paraId="28C707FE" w14:textId="77777777" w:rsidTr="00A636A0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7014C6F9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b/>
                <w:bCs/>
                <w:color w:val="262626"/>
              </w:rPr>
              <w:t>Distancing in Public</w:t>
            </w:r>
          </w:p>
        </w:tc>
      </w:tr>
      <w:tr w:rsidR="00A636A0" w:rsidRPr="00CE79CC" w14:paraId="7EEDEA6D" w14:textId="77777777" w:rsidTr="00A636A0">
        <w:tblPrEx>
          <w:tblCellMar>
            <w:top w:w="0" w:type="dxa"/>
            <w:bottom w:w="0" w:type="dxa"/>
          </w:tblCellMar>
        </w:tblPrEx>
        <w:tc>
          <w:tcPr>
            <w:tcW w:w="1054" w:type="pct"/>
            <w:tcMar>
              <w:top w:w="560" w:type="nil"/>
              <w:left w:w="160" w:type="nil"/>
              <w:bottom w:w="160" w:type="nil"/>
              <w:right w:w="160" w:type="nil"/>
            </w:tcMar>
          </w:tcPr>
          <w:p w14:paraId="768A6D9E" w14:textId="77777777" w:rsidR="00A636A0" w:rsidRPr="00CE79CC" w:rsidRDefault="00A636A0" w:rsidP="00A63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Always</w:t>
            </w:r>
          </w:p>
        </w:tc>
        <w:tc>
          <w:tcPr>
            <w:tcW w:w="986" w:type="pct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379C3824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242 (30.1%)</w:t>
            </w:r>
          </w:p>
        </w:tc>
        <w:tc>
          <w:tcPr>
            <w:tcW w:w="986" w:type="pct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7F228CB9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7 (22.6%)</w:t>
            </w:r>
          </w:p>
        </w:tc>
        <w:tc>
          <w:tcPr>
            <w:tcW w:w="986" w:type="pct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6B7D98A1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150 (31.5%)</w:t>
            </w:r>
          </w:p>
        </w:tc>
        <w:tc>
          <w:tcPr>
            <w:tcW w:w="987" w:type="pct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4C554968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48 (23.1%)</w:t>
            </w:r>
          </w:p>
        </w:tc>
      </w:tr>
      <w:tr w:rsidR="00A636A0" w:rsidRPr="00CE79CC" w14:paraId="5CA7B581" w14:textId="77777777" w:rsidTr="00A636A0">
        <w:tblPrEx>
          <w:tblCellMar>
            <w:top w:w="0" w:type="dxa"/>
            <w:bottom w:w="0" w:type="dxa"/>
          </w:tblCellMar>
        </w:tblPrEx>
        <w:tc>
          <w:tcPr>
            <w:tcW w:w="1054" w:type="pct"/>
            <w:tcMar>
              <w:top w:w="560" w:type="nil"/>
              <w:left w:w="160" w:type="nil"/>
              <w:bottom w:w="160" w:type="nil"/>
              <w:right w:w="160" w:type="nil"/>
            </w:tcMar>
          </w:tcPr>
          <w:p w14:paraId="08475B07" w14:textId="77777777" w:rsidR="00A636A0" w:rsidRPr="00CE79CC" w:rsidRDefault="00A636A0" w:rsidP="00A63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Not Always</w:t>
            </w:r>
          </w:p>
        </w:tc>
        <w:tc>
          <w:tcPr>
            <w:tcW w:w="986" w:type="pct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347BBFBC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558 (69.4%)</w:t>
            </w:r>
          </w:p>
        </w:tc>
        <w:tc>
          <w:tcPr>
            <w:tcW w:w="986" w:type="pct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0A775EE0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24 (77.4%)</w:t>
            </w:r>
          </w:p>
        </w:tc>
        <w:tc>
          <w:tcPr>
            <w:tcW w:w="986" w:type="pct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207F671B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324 (68.1%)</w:t>
            </w:r>
          </w:p>
        </w:tc>
        <w:tc>
          <w:tcPr>
            <w:tcW w:w="987" w:type="pct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52A34555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159 (76.4%)</w:t>
            </w:r>
          </w:p>
        </w:tc>
      </w:tr>
      <w:tr w:rsidR="00A636A0" w:rsidRPr="00CE79CC" w14:paraId="29FA05A3" w14:textId="77777777" w:rsidTr="00A636A0">
        <w:tblPrEx>
          <w:tblCellMar>
            <w:top w:w="0" w:type="dxa"/>
            <w:bottom w:w="0" w:type="dxa"/>
          </w:tblCellMar>
        </w:tblPrEx>
        <w:tc>
          <w:tcPr>
            <w:tcW w:w="1054" w:type="pct"/>
            <w:tcBorders>
              <w:bottom w:val="single" w:sz="4" w:space="0" w:color="auto"/>
            </w:tcBorders>
            <w:tcMar>
              <w:top w:w="560" w:type="nil"/>
              <w:left w:w="160" w:type="nil"/>
              <w:bottom w:w="160" w:type="nil"/>
              <w:right w:w="160" w:type="nil"/>
            </w:tcMar>
          </w:tcPr>
          <w:p w14:paraId="28EAF7B9" w14:textId="77777777" w:rsidR="00A636A0" w:rsidRPr="00CE79CC" w:rsidRDefault="00A636A0" w:rsidP="00A63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Missing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592E3039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4 (0.5%)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5BFCE780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0 (0%)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104A0FD1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2 (0.4%)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044D7123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1 (0.5%)</w:t>
            </w:r>
          </w:p>
        </w:tc>
      </w:tr>
      <w:tr w:rsidR="00A636A0" w:rsidRPr="00CE79CC" w14:paraId="614EA184" w14:textId="77777777" w:rsidTr="00A636A0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77B70159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b/>
                <w:bCs/>
                <w:color w:val="262626"/>
              </w:rPr>
              <w:t>Avoiding crowds of &gt;25 people</w:t>
            </w:r>
          </w:p>
        </w:tc>
      </w:tr>
      <w:tr w:rsidR="00A636A0" w:rsidRPr="00CE79CC" w14:paraId="799244B7" w14:textId="77777777" w:rsidTr="00A636A0">
        <w:tblPrEx>
          <w:tblCellMar>
            <w:top w:w="0" w:type="dxa"/>
            <w:bottom w:w="0" w:type="dxa"/>
          </w:tblCellMar>
        </w:tblPrEx>
        <w:tc>
          <w:tcPr>
            <w:tcW w:w="1054" w:type="pct"/>
            <w:tcMar>
              <w:top w:w="560" w:type="nil"/>
              <w:left w:w="160" w:type="nil"/>
              <w:bottom w:w="160" w:type="nil"/>
              <w:right w:w="160" w:type="nil"/>
            </w:tcMar>
          </w:tcPr>
          <w:p w14:paraId="20972A2F" w14:textId="77777777" w:rsidR="00A636A0" w:rsidRPr="00CE79CC" w:rsidRDefault="00A636A0" w:rsidP="00A63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Always</w:t>
            </w:r>
          </w:p>
        </w:tc>
        <w:tc>
          <w:tcPr>
            <w:tcW w:w="986" w:type="pct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623A0FC2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530 (65.9%)</w:t>
            </w:r>
          </w:p>
        </w:tc>
        <w:tc>
          <w:tcPr>
            <w:tcW w:w="986" w:type="pct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687B78A4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19 (61.3%)</w:t>
            </w:r>
          </w:p>
        </w:tc>
        <w:tc>
          <w:tcPr>
            <w:tcW w:w="986" w:type="pct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63D00C62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219 (46.0%)</w:t>
            </w:r>
          </w:p>
        </w:tc>
        <w:tc>
          <w:tcPr>
            <w:tcW w:w="987" w:type="pct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3F77FF84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74 (35.6%)</w:t>
            </w:r>
          </w:p>
        </w:tc>
      </w:tr>
      <w:tr w:rsidR="00A636A0" w:rsidRPr="00CE79CC" w14:paraId="7350177C" w14:textId="77777777" w:rsidTr="00A636A0">
        <w:tblPrEx>
          <w:tblCellMar>
            <w:top w:w="0" w:type="dxa"/>
            <w:bottom w:w="0" w:type="dxa"/>
          </w:tblCellMar>
        </w:tblPrEx>
        <w:tc>
          <w:tcPr>
            <w:tcW w:w="1054" w:type="pct"/>
            <w:tcMar>
              <w:top w:w="560" w:type="nil"/>
              <w:left w:w="160" w:type="nil"/>
              <w:bottom w:w="160" w:type="nil"/>
              <w:right w:w="160" w:type="nil"/>
            </w:tcMar>
          </w:tcPr>
          <w:p w14:paraId="7B63118B" w14:textId="77777777" w:rsidR="00A636A0" w:rsidRPr="00CE79CC" w:rsidRDefault="00A636A0" w:rsidP="00A63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Not Always</w:t>
            </w:r>
          </w:p>
        </w:tc>
        <w:tc>
          <w:tcPr>
            <w:tcW w:w="986" w:type="pct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22A50572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273 (34.0%)</w:t>
            </w:r>
          </w:p>
        </w:tc>
        <w:tc>
          <w:tcPr>
            <w:tcW w:w="986" w:type="pct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2FCEBB4F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12 (38.7%)</w:t>
            </w:r>
          </w:p>
        </w:tc>
        <w:tc>
          <w:tcPr>
            <w:tcW w:w="986" w:type="pct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28F497D3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256 (53.8%)</w:t>
            </w:r>
          </w:p>
        </w:tc>
        <w:tc>
          <w:tcPr>
            <w:tcW w:w="987" w:type="pct"/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4A713020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133 (63.9%)</w:t>
            </w:r>
          </w:p>
        </w:tc>
      </w:tr>
      <w:tr w:rsidR="00A636A0" w:rsidRPr="00CE79CC" w14:paraId="7CB9EC67" w14:textId="77777777" w:rsidTr="00A636A0">
        <w:tblPrEx>
          <w:tblCellMar>
            <w:top w:w="0" w:type="dxa"/>
            <w:bottom w:w="0" w:type="dxa"/>
          </w:tblCellMar>
        </w:tblPrEx>
        <w:tc>
          <w:tcPr>
            <w:tcW w:w="1054" w:type="pct"/>
            <w:tcBorders>
              <w:bottom w:val="single" w:sz="4" w:space="0" w:color="auto"/>
            </w:tcBorders>
            <w:tcMar>
              <w:top w:w="560" w:type="nil"/>
              <w:left w:w="160" w:type="nil"/>
              <w:bottom w:w="160" w:type="nil"/>
              <w:right w:w="160" w:type="nil"/>
            </w:tcMar>
          </w:tcPr>
          <w:p w14:paraId="62A1E469" w14:textId="77777777" w:rsidR="00A636A0" w:rsidRPr="00CE79CC" w:rsidRDefault="00A636A0" w:rsidP="00A63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Missing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77C46D6D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1 (0.1%)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45A6F445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0 (0%)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30F5D6B4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1 (0.2%)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14:paraId="623A96D9" w14:textId="77777777" w:rsidR="00A636A0" w:rsidRPr="00CE79CC" w:rsidRDefault="00A636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62626"/>
              </w:rPr>
            </w:pPr>
            <w:r w:rsidRPr="00CE79CC">
              <w:rPr>
                <w:rFonts w:cs="Times New Roman"/>
                <w:color w:val="262626"/>
              </w:rPr>
              <w:t>1 (0.5%)</w:t>
            </w:r>
          </w:p>
        </w:tc>
      </w:tr>
    </w:tbl>
    <w:p w14:paraId="5A3297C3" w14:textId="77777777" w:rsidR="00A636A0" w:rsidRDefault="00A636A0">
      <w:pPr>
        <w:pStyle w:val="BodyText"/>
      </w:pPr>
    </w:p>
    <w:p w14:paraId="11987180" w14:textId="77777777" w:rsidR="005502F3" w:rsidRDefault="009E1D4E">
      <w:r>
        <w:br w:type="page"/>
      </w:r>
    </w:p>
    <w:p w14:paraId="2046FA71" w14:textId="77777777" w:rsidR="005502F3" w:rsidRDefault="009E1D4E">
      <w:pPr>
        <w:pStyle w:val="Heading1"/>
      </w:pPr>
      <w:bookmarkStart w:id="15" w:name="figures"/>
      <w:bookmarkEnd w:id="14"/>
      <w:r>
        <w:lastRenderedPageBreak/>
        <w:t>Figures</w:t>
      </w:r>
    </w:p>
    <w:p w14:paraId="5E028AB4" w14:textId="77777777" w:rsidR="005502F3" w:rsidRDefault="009E1D4E">
      <w:pPr>
        <w:pStyle w:val="CaptionedFigure"/>
      </w:pPr>
      <w:r>
        <w:rPr>
          <w:noProof/>
        </w:rPr>
        <w:drawing>
          <wp:inline distT="0" distB="0" distL="0" distR="0" wp14:anchorId="0390C724" wp14:editId="6434564A">
            <wp:extent cx="5334000" cy="4267200"/>
            <wp:effectExtent l="0" t="0" r="0" b="0"/>
            <wp:docPr id="1" name="Picture" descr="Imputation method comparison among returning studen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upplemental-appendix_files/figure-docx/imputation-log-ors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900A70" w14:textId="35005022" w:rsidR="005502F3" w:rsidRDefault="0078660F" w:rsidP="0078660F">
      <w:r>
        <w:t xml:space="preserve">Supplemental Figure 1: </w:t>
      </w:r>
      <w:r w:rsidR="009E1D4E">
        <w:t>Imputation method comparison among returning students</w:t>
      </w:r>
    </w:p>
    <w:p w14:paraId="0AED2583" w14:textId="77777777" w:rsidR="005502F3" w:rsidRDefault="009E1D4E">
      <w:pPr>
        <w:pStyle w:val="CaptionedFigure"/>
      </w:pPr>
      <w:r>
        <w:rPr>
          <w:noProof/>
        </w:rPr>
        <w:lastRenderedPageBreak/>
        <w:drawing>
          <wp:inline distT="0" distB="0" distL="0" distR="0" wp14:anchorId="46DF4726" wp14:editId="7EB956B7">
            <wp:extent cx="5334000" cy="4267200"/>
            <wp:effectExtent l="0" t="0" r="0" b="0"/>
            <wp:docPr id="2" name="Picture" descr="Sensitivity analysis of true prevalence amongst returning student and community subgroups, using pooled estimate of IgG test sensitivity against self-reported prior positive t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upplemental-appendix_files/figure-docx/true-prev-pooled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4B641" w14:textId="576BE301" w:rsidR="005502F3" w:rsidRDefault="0078660F" w:rsidP="0078660F">
      <w:r>
        <w:t xml:space="preserve">Supplemental Figure 2: </w:t>
      </w:r>
      <w:r w:rsidR="009E1D4E">
        <w:t>Sensitivity analysis of true prevalence amongst returning student and community subgroups, using pooled estimate of IgG test sensitivity against self-reported prior positive test</w:t>
      </w:r>
      <w:bookmarkEnd w:id="15"/>
    </w:p>
    <w:sectPr w:rsidR="005502F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EB3C8" w14:textId="77777777" w:rsidR="009E1D4E" w:rsidRDefault="009E1D4E">
      <w:pPr>
        <w:spacing w:after="0" w:line="240" w:lineRule="auto"/>
      </w:pPr>
      <w:r>
        <w:separator/>
      </w:r>
    </w:p>
  </w:endnote>
  <w:endnote w:type="continuationSeparator" w:id="0">
    <w:p w14:paraId="2E6A3FD3" w14:textId="77777777" w:rsidR="009E1D4E" w:rsidRDefault="009E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BC40" w14:textId="77777777" w:rsidR="009E1D4E" w:rsidRDefault="009E1D4E">
      <w:r>
        <w:separator/>
      </w:r>
    </w:p>
  </w:footnote>
  <w:footnote w:type="continuationSeparator" w:id="0">
    <w:p w14:paraId="26EE7C33" w14:textId="77777777" w:rsidR="009E1D4E" w:rsidRDefault="009E1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AE401"/>
    <w:multiLevelType w:val="multilevel"/>
    <w:tmpl w:val="4DB6A65E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4E29B3"/>
    <w:rsid w:val="005502F3"/>
    <w:rsid w:val="00590D07"/>
    <w:rsid w:val="00784D58"/>
    <w:rsid w:val="0078660F"/>
    <w:rsid w:val="008A4231"/>
    <w:rsid w:val="008D6863"/>
    <w:rsid w:val="00936AFC"/>
    <w:rsid w:val="009E1D4E"/>
    <w:rsid w:val="00A636A0"/>
    <w:rsid w:val="00B86B75"/>
    <w:rsid w:val="00BC48D5"/>
    <w:rsid w:val="00C36279"/>
    <w:rsid w:val="00CE79CC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A6AD8"/>
  <w15:docId w15:val="{D37EB50C-3703-1647-8D26-FF2C0EF6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6A0"/>
    <w:pPr>
      <w:spacing w:line="480" w:lineRule="auto"/>
    </w:pPr>
    <w:rPr>
      <w:rFonts w:ascii="Times New Roman" w:hAnsi="Times New Roman"/>
    </w:rPr>
  </w:style>
  <w:style w:type="paragraph" w:styleId="Heading1">
    <w:name w:val="heading 1"/>
    <w:basedOn w:val="Normal"/>
    <w:next w:val="BodyText"/>
    <w:uiPriority w:val="9"/>
    <w:qFormat/>
    <w:rsid w:val="00A636A0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A636A0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rsid w:val="00A636A0"/>
    <w:pPr>
      <w:keepNext/>
      <w:keepLines/>
      <w:spacing w:before="200" w:after="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A636A0"/>
    <w:pPr>
      <w:keepNext/>
      <w:keepLines/>
      <w:spacing w:before="480" w:after="240"/>
      <w:jc w:val="center"/>
    </w:pPr>
    <w:rPr>
      <w:rFonts w:eastAsiaTheme="majorEastAsia" w:cstheme="majorBidi"/>
      <w:b/>
      <w:bCs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1621459.1988.104787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dx.doi.org/10.17504/protocols.io.bivgke3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doi.org/10.18637/jss.v045.i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1170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SARS-CoV-2 Seroprevalence in a University Community: A Longitudinal Study of the Impact of Student Return to Campus on Infection Risk Among Community Members</dc:title>
  <dc:creator/>
  <cp:keywords/>
  <cp:lastModifiedBy>Callum Arnold</cp:lastModifiedBy>
  <cp:revision>6</cp:revision>
  <dcterms:created xsi:type="dcterms:W3CDTF">2021-09-11T14:43:00Z</dcterms:created>
  <dcterms:modified xsi:type="dcterms:W3CDTF">2021-09-11T14:54:00Z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ress">
    <vt:lpwstr/>
  </property>
  <property fmtid="{D5CDD505-2E9C-101B-9397-08002B2CF9AE}" pid="3" name="always_allow_html">
    <vt:lpwstr>True</vt:lpwstr>
  </property>
  <property fmtid="{D5CDD505-2E9C-101B-9397-08002B2CF9AE}" pid="4" name="bibliography">
    <vt:lpwstr>data4action-uni-town.bib</vt:lpwstr>
  </property>
  <property fmtid="{D5CDD505-2E9C-101B-9397-08002B2CF9AE}" pid="5" name="csl">
    <vt:lpwstr>elsevier-vancouver.csl</vt:lpwstr>
  </property>
  <property fmtid="{D5CDD505-2E9C-101B-9397-08002B2CF9AE}" pid="6" name="date">
    <vt:lpwstr>2021-09-11</vt:lpwstr>
  </property>
  <property fmtid="{D5CDD505-2E9C-101B-9397-08002B2CF9AE}" pid="7" name="footnote">
    <vt:lpwstr/>
  </property>
  <property fmtid="{D5CDD505-2E9C-101B-9397-08002B2CF9AE}" pid="8" name="geometry">
    <vt:lpwstr>margin=1in</vt:lpwstr>
  </property>
  <property fmtid="{D5CDD505-2E9C-101B-9397-08002B2CF9AE}" pid="9" name="header-includes">
    <vt:lpwstr/>
  </property>
  <property fmtid="{D5CDD505-2E9C-101B-9397-08002B2CF9AE}" pid="10" name="journal">
    <vt:lpwstr>MedRxiv</vt:lpwstr>
  </property>
  <property fmtid="{D5CDD505-2E9C-101B-9397-08002B2CF9AE}" pid="11" name="linenumbers">
    <vt:lpwstr>True</vt:lpwstr>
  </property>
  <property fmtid="{D5CDD505-2E9C-101B-9397-08002B2CF9AE}" pid="12" name="numbersections">
    <vt:lpwstr>False</vt:lpwstr>
  </property>
  <property fmtid="{D5CDD505-2E9C-101B-9397-08002B2CF9AE}" pid="13" name="output">
    <vt:lpwstr/>
  </property>
  <property fmtid="{D5CDD505-2E9C-101B-9397-08002B2CF9AE}" pid="14" name="subtitle">
    <vt:lpwstr>Supplemental Appendix</vt:lpwstr>
  </property>
</Properties>
</file>