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6657" w14:textId="6A7927C2" w:rsidR="002D20A1" w:rsidRDefault="002B03BA" w:rsidP="00830D57">
      <w:pPr>
        <w:spacing w:after="0"/>
        <w:jc w:val="center"/>
        <w:rPr>
          <w:rFonts w:ascii="Arial" w:hAnsi="Arial" w:cs="Arial"/>
          <w:b/>
          <w:bCs/>
        </w:rPr>
      </w:pPr>
      <w:r w:rsidRPr="002B03BA">
        <w:rPr>
          <w:rFonts w:ascii="Arial" w:hAnsi="Arial" w:cs="Arial"/>
          <w:b/>
          <w:bCs/>
        </w:rPr>
        <w:t>SUPPLEMENTAL METHODS</w:t>
      </w:r>
    </w:p>
    <w:p w14:paraId="44F7380F" w14:textId="77777777" w:rsidR="002B03BA" w:rsidRPr="002B03BA" w:rsidRDefault="002B03BA" w:rsidP="00830D5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A6E86A" w14:textId="17263058" w:rsidR="002B03BA" w:rsidRPr="002B03BA" w:rsidRDefault="002B03BA" w:rsidP="00830D57">
      <w:pPr>
        <w:spacing w:after="0" w:line="360" w:lineRule="auto"/>
        <w:rPr>
          <w:rFonts w:ascii="Arial" w:hAnsi="Arial" w:cs="Arial"/>
          <w:b/>
          <w:bCs/>
        </w:rPr>
      </w:pPr>
      <w:r w:rsidRPr="002B03BA">
        <w:rPr>
          <w:rFonts w:ascii="Arial" w:hAnsi="Arial" w:cs="Arial"/>
          <w:b/>
          <w:bCs/>
        </w:rPr>
        <w:t>Codes used for identifying cases</w:t>
      </w:r>
    </w:p>
    <w:p w14:paraId="1F300152" w14:textId="547B4E6B" w:rsidR="003F2446" w:rsidRPr="00830D57" w:rsidRDefault="00830D57" w:rsidP="00830D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ICD-10 diagnostic codes were used to identify all patients who presented to hospitals or emergency departments in Alberta during the study period with a final diagnosis of ischemic stroke for their episode of care. </w:t>
      </w:r>
      <w:r w:rsidR="003F2446" w:rsidRPr="00830D57">
        <w:rPr>
          <w:rFonts w:ascii="Arial" w:hAnsi="Arial" w:cs="Arial"/>
        </w:rPr>
        <w:t>An episode of care refers to all contiguous inpatient hospitalizations.</w:t>
      </w:r>
      <w:r>
        <w:rPr>
          <w:rFonts w:ascii="Arial" w:hAnsi="Arial" w:cs="Arial"/>
        </w:rPr>
        <w:t xml:space="preserve"> These case identification codes are based on the Heart and Stroke Foundation’s Canadian Best Practice Recommendations (2016).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1040"/>
        <w:gridCol w:w="8695"/>
      </w:tblGrid>
      <w:tr w:rsidR="00830D57" w:rsidRPr="00830D57" w14:paraId="6022BB02" w14:textId="77777777" w:rsidTr="00830D57">
        <w:trPr>
          <w:trHeight w:val="615"/>
        </w:trPr>
        <w:tc>
          <w:tcPr>
            <w:tcW w:w="1040" w:type="dxa"/>
            <w:vMerge w:val="restart"/>
            <w:tcBorders>
              <w:top w:val="single" w:sz="4" w:space="0" w:color="215867"/>
              <w:left w:val="single" w:sz="4" w:space="0" w:color="215867"/>
              <w:bottom w:val="single" w:sz="4" w:space="0" w:color="215867"/>
              <w:right w:val="single" w:sz="4" w:space="0" w:color="215867"/>
            </w:tcBorders>
            <w:shd w:val="clear" w:color="auto" w:fill="AEAAAA" w:themeFill="background2" w:themeFillShade="BF"/>
            <w:vAlign w:val="center"/>
            <w:hideMark/>
          </w:tcPr>
          <w:p w14:paraId="67DF9337" w14:textId="77777777" w:rsidR="003F2446" w:rsidRPr="00830D57" w:rsidRDefault="003F2446" w:rsidP="00830D5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0D57">
              <w:rPr>
                <w:rFonts w:ascii="Arial" w:eastAsia="Times New Roman" w:hAnsi="Arial" w:cs="Arial"/>
                <w:bCs/>
              </w:rPr>
              <w:t>ICD-10-CA Code</w:t>
            </w:r>
          </w:p>
        </w:tc>
        <w:tc>
          <w:tcPr>
            <w:tcW w:w="8695" w:type="dxa"/>
            <w:vMerge w:val="restart"/>
            <w:tcBorders>
              <w:top w:val="single" w:sz="4" w:space="0" w:color="215867"/>
              <w:left w:val="single" w:sz="4" w:space="0" w:color="215867"/>
              <w:bottom w:val="single" w:sz="4" w:space="0" w:color="215867"/>
              <w:right w:val="single" w:sz="4" w:space="0" w:color="215867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71F8AF6" w14:textId="77777777" w:rsidR="003F2446" w:rsidRPr="00830D57" w:rsidRDefault="003F2446" w:rsidP="00830D5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0D57">
              <w:rPr>
                <w:rFonts w:ascii="Arial" w:eastAsia="Times New Roman" w:hAnsi="Arial" w:cs="Arial"/>
                <w:bCs/>
              </w:rPr>
              <w:t>Description</w:t>
            </w:r>
          </w:p>
        </w:tc>
      </w:tr>
      <w:tr w:rsidR="00830D57" w:rsidRPr="00830D57" w14:paraId="42199FEC" w14:textId="77777777" w:rsidTr="00830D57">
        <w:trPr>
          <w:trHeight w:val="509"/>
        </w:trPr>
        <w:tc>
          <w:tcPr>
            <w:tcW w:w="1040" w:type="dxa"/>
            <w:vMerge/>
            <w:tcBorders>
              <w:top w:val="single" w:sz="4" w:space="0" w:color="215867"/>
              <w:left w:val="single" w:sz="4" w:space="0" w:color="215867"/>
              <w:bottom w:val="single" w:sz="4" w:space="0" w:color="215867"/>
              <w:right w:val="single" w:sz="4" w:space="0" w:color="215867"/>
            </w:tcBorders>
            <w:shd w:val="clear" w:color="auto" w:fill="AEAAAA" w:themeFill="background2" w:themeFillShade="BF"/>
            <w:vAlign w:val="center"/>
            <w:hideMark/>
          </w:tcPr>
          <w:p w14:paraId="2F6D2C0C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695" w:type="dxa"/>
            <w:vMerge/>
            <w:tcBorders>
              <w:top w:val="single" w:sz="4" w:space="0" w:color="215867"/>
              <w:left w:val="single" w:sz="4" w:space="0" w:color="215867"/>
              <w:bottom w:val="single" w:sz="4" w:space="0" w:color="215867"/>
              <w:right w:val="single" w:sz="4" w:space="0" w:color="215867"/>
            </w:tcBorders>
            <w:shd w:val="clear" w:color="auto" w:fill="AEAAAA" w:themeFill="background2" w:themeFillShade="BF"/>
            <w:vAlign w:val="center"/>
            <w:hideMark/>
          </w:tcPr>
          <w:p w14:paraId="0A3F868E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30D57" w:rsidRPr="00830D57" w14:paraId="2046FC69" w14:textId="77777777" w:rsidTr="00830D57">
        <w:trPr>
          <w:trHeight w:val="300"/>
        </w:trPr>
        <w:tc>
          <w:tcPr>
            <w:tcW w:w="9735" w:type="dxa"/>
            <w:gridSpan w:val="2"/>
            <w:tcBorders>
              <w:top w:val="nil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A112F0E" w14:textId="77777777" w:rsidR="003F2446" w:rsidRPr="00830D57" w:rsidRDefault="003F2446" w:rsidP="00830D5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0D57">
              <w:rPr>
                <w:rFonts w:ascii="Arial" w:eastAsia="Times New Roman" w:hAnsi="Arial" w:cs="Arial"/>
                <w:bCs/>
              </w:rPr>
              <w:t>Ischemic Stroke</w:t>
            </w:r>
          </w:p>
        </w:tc>
      </w:tr>
      <w:tr w:rsidR="00830D57" w:rsidRPr="00830D57" w14:paraId="4FACB77A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dashed" w:sz="4" w:space="0" w:color="215867"/>
              <w:right w:val="single" w:sz="4" w:space="0" w:color="215867"/>
            </w:tcBorders>
            <w:shd w:val="clear" w:color="auto" w:fill="auto"/>
            <w:noWrap/>
            <w:vAlign w:val="bottom"/>
          </w:tcPr>
          <w:p w14:paraId="5E4E1731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G08</w:t>
            </w:r>
          </w:p>
        </w:tc>
        <w:tc>
          <w:tcPr>
            <w:tcW w:w="8695" w:type="dxa"/>
            <w:tcBorders>
              <w:top w:val="nil"/>
              <w:left w:val="nil"/>
              <w:bottom w:val="dashed" w:sz="4" w:space="0" w:color="215867"/>
              <w:right w:val="single" w:sz="4" w:space="0" w:color="215867"/>
            </w:tcBorders>
            <w:shd w:val="clear" w:color="auto" w:fill="auto"/>
            <w:noWrap/>
            <w:vAlign w:val="bottom"/>
          </w:tcPr>
          <w:p w14:paraId="74DCA4D7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Intracranial and Intraspinal Phlebitis and Thrombophlebitis</w:t>
            </w:r>
          </w:p>
        </w:tc>
      </w:tr>
      <w:tr w:rsidR="00830D57" w:rsidRPr="00830D57" w14:paraId="56AF42AA" w14:textId="77777777" w:rsidTr="00BB0F8E">
        <w:trPr>
          <w:trHeight w:val="300"/>
        </w:trPr>
        <w:tc>
          <w:tcPr>
            <w:tcW w:w="1040" w:type="dxa"/>
            <w:tcBorders>
              <w:top w:val="dashed" w:sz="4" w:space="0" w:color="215867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3007A866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H341</w:t>
            </w:r>
          </w:p>
        </w:tc>
        <w:tc>
          <w:tcPr>
            <w:tcW w:w="8695" w:type="dxa"/>
            <w:tcBorders>
              <w:top w:val="dashed" w:sz="4" w:space="0" w:color="215867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30D42C2B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Central Retinal Artery Occlusion</w:t>
            </w:r>
          </w:p>
        </w:tc>
      </w:tr>
      <w:tr w:rsidR="00830D57" w:rsidRPr="00830D57" w14:paraId="129BC3EE" w14:textId="77777777" w:rsidTr="00BB0F8E">
        <w:trPr>
          <w:trHeight w:val="300"/>
        </w:trPr>
        <w:tc>
          <w:tcPr>
            <w:tcW w:w="1040" w:type="dxa"/>
            <w:tcBorders>
              <w:top w:val="dashed" w:sz="4" w:space="0" w:color="215867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1C9D53D2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I630</w:t>
            </w:r>
          </w:p>
        </w:tc>
        <w:tc>
          <w:tcPr>
            <w:tcW w:w="8695" w:type="dxa"/>
            <w:tcBorders>
              <w:top w:val="dashed" w:sz="4" w:space="0" w:color="215867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5AA54D85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 xml:space="preserve">Cerebral Infarction Due </w:t>
            </w:r>
            <w:proofErr w:type="gramStart"/>
            <w:r w:rsidRPr="00830D57">
              <w:rPr>
                <w:rFonts w:ascii="Arial" w:eastAsia="Times New Roman" w:hAnsi="Arial" w:cs="Arial"/>
              </w:rPr>
              <w:t>To</w:t>
            </w:r>
            <w:proofErr w:type="gramEnd"/>
            <w:r w:rsidRPr="00830D57">
              <w:rPr>
                <w:rFonts w:ascii="Arial" w:eastAsia="Times New Roman" w:hAnsi="Arial" w:cs="Arial"/>
              </w:rPr>
              <w:t xml:space="preserve"> Thrombosis Of Precerebral Arteries</w:t>
            </w:r>
          </w:p>
        </w:tc>
      </w:tr>
      <w:tr w:rsidR="00830D57" w:rsidRPr="00830D57" w14:paraId="701ED908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7CB8486A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I631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44BF0B3C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 xml:space="preserve">Cerebral Infarction Due </w:t>
            </w:r>
            <w:proofErr w:type="gramStart"/>
            <w:r w:rsidRPr="00830D57">
              <w:rPr>
                <w:rFonts w:ascii="Arial" w:eastAsia="Times New Roman" w:hAnsi="Arial" w:cs="Arial"/>
              </w:rPr>
              <w:t>To</w:t>
            </w:r>
            <w:proofErr w:type="gramEnd"/>
            <w:r w:rsidRPr="00830D57">
              <w:rPr>
                <w:rFonts w:ascii="Arial" w:eastAsia="Times New Roman" w:hAnsi="Arial" w:cs="Arial"/>
              </w:rPr>
              <w:t xml:space="preserve"> Embolism Of Precerebral Arteries</w:t>
            </w:r>
          </w:p>
        </w:tc>
      </w:tr>
      <w:tr w:rsidR="00830D57" w:rsidRPr="00830D57" w14:paraId="145F8B04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6A78F8BF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I632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3DEBA681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 xml:space="preserve">Cerebral Infarction Due </w:t>
            </w:r>
            <w:proofErr w:type="gramStart"/>
            <w:r w:rsidRPr="00830D57">
              <w:rPr>
                <w:rFonts w:ascii="Arial" w:eastAsia="Times New Roman" w:hAnsi="Arial" w:cs="Arial"/>
              </w:rPr>
              <w:t>To</w:t>
            </w:r>
            <w:proofErr w:type="gramEnd"/>
            <w:r w:rsidRPr="00830D57">
              <w:rPr>
                <w:rFonts w:ascii="Arial" w:eastAsia="Times New Roman" w:hAnsi="Arial" w:cs="Arial"/>
              </w:rPr>
              <w:t xml:space="preserve"> Unspecified Occlusion Or Stenosis Of Precerebral Arteries</w:t>
            </w:r>
          </w:p>
        </w:tc>
      </w:tr>
      <w:tr w:rsidR="00830D57" w:rsidRPr="00830D57" w14:paraId="03C321D9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3064DE5D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I633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28B35B52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 xml:space="preserve">Cerebral Infarction Due </w:t>
            </w:r>
            <w:proofErr w:type="gramStart"/>
            <w:r w:rsidRPr="00830D57">
              <w:rPr>
                <w:rFonts w:ascii="Arial" w:eastAsia="Times New Roman" w:hAnsi="Arial" w:cs="Arial"/>
              </w:rPr>
              <w:t>To</w:t>
            </w:r>
            <w:proofErr w:type="gramEnd"/>
            <w:r w:rsidRPr="00830D57">
              <w:rPr>
                <w:rFonts w:ascii="Arial" w:eastAsia="Times New Roman" w:hAnsi="Arial" w:cs="Arial"/>
              </w:rPr>
              <w:t xml:space="preserve"> Thrombosis Of Cerebral Arteries</w:t>
            </w:r>
          </w:p>
        </w:tc>
      </w:tr>
      <w:tr w:rsidR="00830D57" w:rsidRPr="00830D57" w14:paraId="4C77D366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6FF63920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I634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53FA82C6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 xml:space="preserve">Cerebral Infarction Due </w:t>
            </w:r>
            <w:proofErr w:type="gramStart"/>
            <w:r w:rsidRPr="00830D57">
              <w:rPr>
                <w:rFonts w:ascii="Arial" w:eastAsia="Times New Roman" w:hAnsi="Arial" w:cs="Arial"/>
              </w:rPr>
              <w:t>To</w:t>
            </w:r>
            <w:proofErr w:type="gramEnd"/>
            <w:r w:rsidRPr="00830D57">
              <w:rPr>
                <w:rFonts w:ascii="Arial" w:eastAsia="Times New Roman" w:hAnsi="Arial" w:cs="Arial"/>
              </w:rPr>
              <w:t xml:space="preserve"> Embolism Of Cerebral Arteries</w:t>
            </w:r>
          </w:p>
        </w:tc>
      </w:tr>
      <w:tr w:rsidR="00830D57" w:rsidRPr="00830D57" w14:paraId="0DCEF793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2BF5D85B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I635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1179EEE8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 xml:space="preserve">Cerebral Infarction Due </w:t>
            </w:r>
            <w:proofErr w:type="gramStart"/>
            <w:r w:rsidRPr="00830D57">
              <w:rPr>
                <w:rFonts w:ascii="Arial" w:eastAsia="Times New Roman" w:hAnsi="Arial" w:cs="Arial"/>
              </w:rPr>
              <w:t>To</w:t>
            </w:r>
            <w:proofErr w:type="gramEnd"/>
            <w:r w:rsidRPr="00830D57">
              <w:rPr>
                <w:rFonts w:ascii="Arial" w:eastAsia="Times New Roman" w:hAnsi="Arial" w:cs="Arial"/>
              </w:rPr>
              <w:t xml:space="preserve"> Unspecified Occlusion Or Stenosis Of Cerebral Arteries</w:t>
            </w:r>
          </w:p>
        </w:tc>
      </w:tr>
      <w:tr w:rsidR="00830D57" w:rsidRPr="00830D57" w14:paraId="03EA7AF5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</w:tcPr>
          <w:p w14:paraId="57FC8C35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I636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</w:tcPr>
          <w:p w14:paraId="0E9BA3E0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 xml:space="preserve">Cerebral Infarction Due to Cerebral Venous Thrombosis, </w:t>
            </w:r>
            <w:proofErr w:type="spellStart"/>
            <w:r w:rsidRPr="00830D57">
              <w:rPr>
                <w:rFonts w:ascii="Arial" w:eastAsia="Times New Roman" w:hAnsi="Arial" w:cs="Arial"/>
              </w:rPr>
              <w:t>Nonpyogenic</w:t>
            </w:r>
            <w:proofErr w:type="spellEnd"/>
          </w:p>
        </w:tc>
      </w:tr>
      <w:tr w:rsidR="00830D57" w:rsidRPr="00830D57" w14:paraId="3F9E346D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557BAD6B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I638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04B8C65B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Other Cerebral Infarction</w:t>
            </w:r>
          </w:p>
        </w:tc>
      </w:tr>
      <w:tr w:rsidR="00830D57" w:rsidRPr="00830D57" w14:paraId="5DA33EAE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dashed" w:sz="4" w:space="0" w:color="215867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334E093F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I639</w:t>
            </w:r>
          </w:p>
        </w:tc>
        <w:tc>
          <w:tcPr>
            <w:tcW w:w="8695" w:type="dxa"/>
            <w:tcBorders>
              <w:top w:val="nil"/>
              <w:left w:val="nil"/>
              <w:bottom w:val="dashed" w:sz="4" w:space="0" w:color="215867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53C592F2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Cerebral Infarction, Unspecified</w:t>
            </w:r>
          </w:p>
        </w:tc>
      </w:tr>
      <w:tr w:rsidR="00830D57" w:rsidRPr="00830D57" w14:paraId="62B6A86A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dashed" w:sz="4" w:space="0" w:color="215867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5AA88136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I64***</w:t>
            </w:r>
          </w:p>
        </w:tc>
        <w:tc>
          <w:tcPr>
            <w:tcW w:w="8695" w:type="dxa"/>
            <w:tcBorders>
              <w:top w:val="nil"/>
              <w:left w:val="nil"/>
              <w:bottom w:val="dashed" w:sz="4" w:space="0" w:color="215867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0D71D2F5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  <w:i/>
              </w:rPr>
            </w:pPr>
            <w:r w:rsidRPr="00830D57">
              <w:rPr>
                <w:rFonts w:ascii="Arial" w:eastAsia="Times New Roman" w:hAnsi="Arial" w:cs="Arial"/>
              </w:rPr>
              <w:t xml:space="preserve">Stroke, Not Specified </w:t>
            </w:r>
            <w:proofErr w:type="gramStart"/>
            <w:r w:rsidRPr="00830D57">
              <w:rPr>
                <w:rFonts w:ascii="Arial" w:eastAsia="Times New Roman" w:hAnsi="Arial" w:cs="Arial"/>
              </w:rPr>
              <w:t>As</w:t>
            </w:r>
            <w:proofErr w:type="gramEnd"/>
            <w:r w:rsidRPr="00830D57">
              <w:rPr>
                <w:rFonts w:ascii="Arial" w:eastAsia="Times New Roman" w:hAnsi="Arial" w:cs="Arial"/>
              </w:rPr>
              <w:t xml:space="preserve"> Haemorrhage Or Infarction </w:t>
            </w:r>
            <w:r w:rsidRPr="00830D57">
              <w:rPr>
                <w:rFonts w:ascii="Arial" w:eastAsia="Times New Roman" w:hAnsi="Arial" w:cs="Arial"/>
                <w:i/>
              </w:rPr>
              <w:t>(see note below)</w:t>
            </w:r>
          </w:p>
        </w:tc>
      </w:tr>
      <w:tr w:rsidR="00830D57" w:rsidRPr="00830D57" w14:paraId="7321695B" w14:textId="77777777" w:rsidTr="00BB0F8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215867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1467D92E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830D57">
              <w:rPr>
                <w:rFonts w:ascii="Arial" w:eastAsia="Times New Roman" w:hAnsi="Arial" w:cs="Arial"/>
              </w:rPr>
              <w:t>I676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single" w:sz="4" w:space="0" w:color="215867"/>
            </w:tcBorders>
            <w:shd w:val="clear" w:color="auto" w:fill="auto"/>
            <w:noWrap/>
            <w:vAlign w:val="bottom"/>
            <w:hideMark/>
          </w:tcPr>
          <w:p w14:paraId="6F03780C" w14:textId="77777777" w:rsidR="003F2446" w:rsidRPr="00830D57" w:rsidRDefault="003F2446" w:rsidP="00830D57">
            <w:pPr>
              <w:spacing w:after="0" w:line="360" w:lineRule="auto"/>
              <w:rPr>
                <w:rFonts w:ascii="Arial" w:eastAsia="Times New Roman" w:hAnsi="Arial" w:cs="Arial"/>
              </w:rPr>
            </w:pPr>
            <w:proofErr w:type="spellStart"/>
            <w:r w:rsidRPr="00830D57">
              <w:rPr>
                <w:rFonts w:ascii="Arial" w:eastAsia="Times New Roman" w:hAnsi="Arial" w:cs="Arial"/>
              </w:rPr>
              <w:t>Nonpyogenic</w:t>
            </w:r>
            <w:proofErr w:type="spellEnd"/>
            <w:r w:rsidRPr="00830D57">
              <w:rPr>
                <w:rFonts w:ascii="Arial" w:eastAsia="Times New Roman" w:hAnsi="Arial" w:cs="Arial"/>
              </w:rPr>
              <w:t xml:space="preserve"> Thrombosis </w:t>
            </w:r>
            <w:proofErr w:type="gramStart"/>
            <w:r w:rsidRPr="00830D57">
              <w:rPr>
                <w:rFonts w:ascii="Arial" w:eastAsia="Times New Roman" w:hAnsi="Arial" w:cs="Arial"/>
              </w:rPr>
              <w:t>Of</w:t>
            </w:r>
            <w:proofErr w:type="gramEnd"/>
            <w:r w:rsidRPr="00830D57">
              <w:rPr>
                <w:rFonts w:ascii="Arial" w:eastAsia="Times New Roman" w:hAnsi="Arial" w:cs="Arial"/>
              </w:rPr>
              <w:t xml:space="preserve"> Intracranial Venous System</w:t>
            </w:r>
          </w:p>
        </w:tc>
      </w:tr>
    </w:tbl>
    <w:p w14:paraId="6705198B" w14:textId="77777777" w:rsidR="003F2446" w:rsidRDefault="003F2446" w:rsidP="00830D5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9B1D073" w14:textId="77777777" w:rsidR="003F2446" w:rsidRPr="00830D57" w:rsidRDefault="003F2446" w:rsidP="00830D57">
      <w:pPr>
        <w:spacing w:after="0" w:line="240" w:lineRule="auto"/>
        <w:rPr>
          <w:rFonts w:ascii="Arial" w:hAnsi="Arial" w:cs="Arial"/>
        </w:rPr>
      </w:pPr>
      <w:r w:rsidRPr="00830D57">
        <w:rPr>
          <w:rFonts w:ascii="Arial" w:hAnsi="Arial" w:cs="Arial"/>
          <w:u w:val="single"/>
        </w:rPr>
        <w:t>*** NOTE</w:t>
      </w:r>
      <w:r w:rsidRPr="00830D57">
        <w:rPr>
          <w:rFonts w:ascii="Arial" w:hAnsi="Arial" w:cs="Arial"/>
        </w:rPr>
        <w:t>:  The decision to place I64 under the Ischemic group is based on the following rationale:</w:t>
      </w:r>
    </w:p>
    <w:p w14:paraId="45969548" w14:textId="52DC8759" w:rsidR="003F2446" w:rsidRPr="00830D57" w:rsidRDefault="003F2446" w:rsidP="00830D57">
      <w:pPr>
        <w:spacing w:after="0" w:line="240" w:lineRule="auto"/>
        <w:rPr>
          <w:rFonts w:ascii="Arial" w:hAnsi="Arial" w:cs="Arial"/>
          <w:i/>
        </w:rPr>
      </w:pPr>
      <w:r w:rsidRPr="00830D57">
        <w:rPr>
          <w:rFonts w:ascii="Arial" w:hAnsi="Arial" w:cs="Arial"/>
          <w:i/>
        </w:rPr>
        <w:t>Coding guidelines direct</w:t>
      </w:r>
      <w:r w:rsidR="00830D57">
        <w:rPr>
          <w:rFonts w:ascii="Arial" w:hAnsi="Arial" w:cs="Arial"/>
          <w:i/>
        </w:rPr>
        <w:t xml:space="preserve"> health information management systems</w:t>
      </w:r>
      <w:r w:rsidRPr="00830D57">
        <w:rPr>
          <w:rFonts w:ascii="Arial" w:hAnsi="Arial" w:cs="Arial"/>
          <w:i/>
        </w:rPr>
        <w:t xml:space="preserve"> to assume “ischemic” if hemorrhagic stroke has been ruled out (there is no supporting documentation of a hemorrhagic stroke). Hemorrhagic strokes are </w:t>
      </w:r>
      <w:proofErr w:type="gramStart"/>
      <w:r w:rsidRPr="00830D57">
        <w:rPr>
          <w:rFonts w:ascii="Arial" w:hAnsi="Arial" w:cs="Arial"/>
          <w:i/>
        </w:rPr>
        <w:t>fairly well</w:t>
      </w:r>
      <w:proofErr w:type="gramEnd"/>
      <w:r w:rsidRPr="00830D57">
        <w:rPr>
          <w:rFonts w:ascii="Arial" w:hAnsi="Arial" w:cs="Arial"/>
          <w:i/>
        </w:rPr>
        <w:t xml:space="preserve"> documented. </w:t>
      </w:r>
    </w:p>
    <w:p w14:paraId="7DBF9B7B" w14:textId="7D12523F" w:rsidR="003F2446" w:rsidRPr="00830D57" w:rsidRDefault="003F2446" w:rsidP="00830D57">
      <w:pPr>
        <w:spacing w:line="240" w:lineRule="auto"/>
        <w:rPr>
          <w:rFonts w:ascii="Arial" w:hAnsi="Arial" w:cs="Arial"/>
          <w:i/>
        </w:rPr>
      </w:pPr>
      <w:r w:rsidRPr="00830D57">
        <w:rPr>
          <w:rFonts w:ascii="Arial" w:hAnsi="Arial" w:cs="Arial"/>
          <w:i/>
        </w:rPr>
        <w:t xml:space="preserve">From </w:t>
      </w:r>
      <w:r w:rsidR="00830D57">
        <w:rPr>
          <w:rFonts w:ascii="Arial" w:hAnsi="Arial" w:cs="Arial"/>
          <w:i/>
        </w:rPr>
        <w:t>the Canadian Institutes of Health Information (</w:t>
      </w:r>
      <w:r w:rsidRPr="00830D57">
        <w:rPr>
          <w:rFonts w:ascii="Arial" w:hAnsi="Arial" w:cs="Arial"/>
          <w:i/>
        </w:rPr>
        <w:t>CIHI</w:t>
      </w:r>
      <w:r w:rsidR="00830D57">
        <w:rPr>
          <w:rFonts w:ascii="Arial" w:hAnsi="Arial" w:cs="Arial"/>
          <w:i/>
        </w:rPr>
        <w:t>)</w:t>
      </w:r>
      <w:r w:rsidRPr="00830D57">
        <w:rPr>
          <w:rFonts w:ascii="Arial" w:hAnsi="Arial" w:cs="Arial"/>
          <w:i/>
        </w:rPr>
        <w:t xml:space="preserve"> </w:t>
      </w:r>
      <w:proofErr w:type="spellStart"/>
      <w:r w:rsidRPr="00830D57">
        <w:rPr>
          <w:rFonts w:ascii="Arial" w:hAnsi="Arial" w:cs="Arial"/>
          <w:i/>
        </w:rPr>
        <w:t>eQuery</w:t>
      </w:r>
      <w:proofErr w:type="spellEnd"/>
      <w:r w:rsidRPr="00830D57">
        <w:rPr>
          <w:rFonts w:ascii="Arial" w:hAnsi="Arial" w:cs="Arial"/>
          <w:i/>
        </w:rPr>
        <w:t xml:space="preserve"> 44220: </w:t>
      </w:r>
      <w:r w:rsidRPr="00830D57">
        <w:rPr>
          <w:rFonts w:ascii="Arial" w:hAnsi="Arial" w:cs="Arial"/>
          <w:i/>
          <w:shd w:val="clear" w:color="auto" w:fill="FFFFFF"/>
        </w:rPr>
        <w:t xml:space="preserve">One valid circumstance [for coding I64] is when diagnostic imaging has not yet been performed and another is when any transfer information does not indicate the type of stroke. For </w:t>
      </w:r>
      <w:proofErr w:type="gramStart"/>
      <w:r w:rsidRPr="00830D57">
        <w:rPr>
          <w:rFonts w:ascii="Arial" w:hAnsi="Arial" w:cs="Arial"/>
          <w:i/>
          <w:shd w:val="clear" w:color="auto" w:fill="FFFFFF"/>
        </w:rPr>
        <w:t>the majority of</w:t>
      </w:r>
      <w:proofErr w:type="gramEnd"/>
      <w:r w:rsidRPr="00830D57">
        <w:rPr>
          <w:rFonts w:ascii="Arial" w:hAnsi="Arial" w:cs="Arial"/>
          <w:i/>
          <w:shd w:val="clear" w:color="auto" w:fill="FFFFFF"/>
        </w:rPr>
        <w:t xml:space="preserve"> cases, the coder can locate the information required to assign a code for hemorrhagic stroke or ischemic stroke from the documentation.</w:t>
      </w:r>
      <w:r w:rsidR="00830D57">
        <w:rPr>
          <w:rFonts w:ascii="Arial" w:hAnsi="Arial" w:cs="Arial"/>
          <w:i/>
          <w:shd w:val="clear" w:color="auto" w:fill="FFFFFF"/>
        </w:rPr>
        <w:t xml:space="preserve"> </w:t>
      </w:r>
      <w:r w:rsidRPr="00830D57">
        <w:rPr>
          <w:rFonts w:ascii="Arial" w:hAnsi="Arial" w:cs="Arial"/>
          <w:i/>
        </w:rPr>
        <w:t xml:space="preserve">Despite specific resources (CIHI eLearning </w:t>
      </w:r>
      <w:r w:rsidRPr="00830D57">
        <w:rPr>
          <w:rFonts w:ascii="Arial" w:hAnsi="Arial" w:cs="Arial"/>
          <w:i/>
          <w:iCs/>
        </w:rPr>
        <w:t>Different Codes for Different Strokes</w:t>
      </w:r>
      <w:r w:rsidRPr="00830D57">
        <w:rPr>
          <w:rFonts w:ascii="Arial" w:hAnsi="Arial" w:cs="Arial"/>
          <w:i/>
        </w:rPr>
        <w:t xml:space="preserve">, </w:t>
      </w:r>
      <w:proofErr w:type="spellStart"/>
      <w:r w:rsidRPr="00830D57">
        <w:rPr>
          <w:rFonts w:ascii="Arial" w:hAnsi="Arial" w:cs="Arial"/>
          <w:i/>
        </w:rPr>
        <w:t>eQueries</w:t>
      </w:r>
      <w:proofErr w:type="spellEnd"/>
      <w:r w:rsidRPr="00830D57">
        <w:rPr>
          <w:rFonts w:ascii="Arial" w:hAnsi="Arial" w:cs="Arial"/>
          <w:i/>
        </w:rPr>
        <w:t>), I64 is still frequently assigned. In such cases, the stroke was most likely ischemic.</w:t>
      </w:r>
    </w:p>
    <w:p w14:paraId="33A48002" w14:textId="6EFB8816" w:rsidR="003F2446" w:rsidRDefault="00830D57" w:rsidP="00830D57">
      <w:pPr>
        <w:spacing w:after="0" w:line="360" w:lineRule="auto"/>
        <w:rPr>
          <w:rFonts w:ascii="Arial" w:hAnsi="Arial" w:cs="Arial"/>
        </w:rPr>
      </w:pPr>
      <w:r w:rsidRPr="00830D57">
        <w:rPr>
          <w:rFonts w:ascii="Arial" w:hAnsi="Arial" w:cs="Arial"/>
        </w:rPr>
        <w:lastRenderedPageBreak/>
        <w:t xml:space="preserve">The following additional selection criteria were used: (a) </w:t>
      </w:r>
      <w:r w:rsidR="003F2446" w:rsidRPr="00830D57">
        <w:rPr>
          <w:rFonts w:ascii="Arial" w:hAnsi="Arial" w:cs="Arial"/>
        </w:rPr>
        <w:t>All first and recurrent stroke events</w:t>
      </w:r>
      <w:r w:rsidRPr="00830D57">
        <w:rPr>
          <w:rFonts w:ascii="Arial" w:hAnsi="Arial" w:cs="Arial"/>
        </w:rPr>
        <w:t xml:space="preserve">, (b) </w:t>
      </w:r>
      <w:r w:rsidR="003F2446" w:rsidRPr="00830D57">
        <w:rPr>
          <w:rFonts w:ascii="Arial" w:hAnsi="Arial" w:cs="Arial"/>
        </w:rPr>
        <w:t>Age at admission 20 years and older</w:t>
      </w:r>
      <w:r w:rsidRPr="00830D57">
        <w:rPr>
          <w:rFonts w:ascii="Arial" w:hAnsi="Arial" w:cs="Arial"/>
        </w:rPr>
        <w:t xml:space="preserve">, (c) </w:t>
      </w:r>
      <w:r w:rsidR="003F2446" w:rsidRPr="00830D57">
        <w:rPr>
          <w:rFonts w:ascii="Arial" w:hAnsi="Arial" w:cs="Arial"/>
        </w:rPr>
        <w:t>Admission to an acute care facility</w:t>
      </w:r>
      <w:r w:rsidRPr="00830D57">
        <w:rPr>
          <w:rFonts w:ascii="Arial" w:hAnsi="Arial" w:cs="Arial"/>
        </w:rPr>
        <w:t xml:space="preserve">, (d) </w:t>
      </w:r>
      <w:r w:rsidR="003F2446" w:rsidRPr="00830D57">
        <w:rPr>
          <w:rFonts w:ascii="Arial" w:hAnsi="Arial" w:cs="Arial"/>
        </w:rPr>
        <w:t>Valid health care number (ULI)</w:t>
      </w:r>
      <w:r w:rsidRPr="00830D57">
        <w:rPr>
          <w:rFonts w:ascii="Arial" w:hAnsi="Arial" w:cs="Arial"/>
        </w:rPr>
        <w:t xml:space="preserve">, (e) </w:t>
      </w:r>
      <w:r w:rsidR="003F2446" w:rsidRPr="00830D57">
        <w:rPr>
          <w:rFonts w:ascii="Arial" w:hAnsi="Arial" w:cs="Arial"/>
        </w:rPr>
        <w:t>Sex recorded as male or female</w:t>
      </w:r>
      <w:r w:rsidRPr="00830D57">
        <w:rPr>
          <w:rFonts w:ascii="Arial" w:hAnsi="Arial" w:cs="Arial"/>
        </w:rPr>
        <w:t>, and (f) a</w:t>
      </w:r>
      <w:r w:rsidR="003F2446" w:rsidRPr="00830D57">
        <w:rPr>
          <w:rFonts w:ascii="Arial" w:hAnsi="Arial" w:cs="Arial"/>
        </w:rPr>
        <w:t>ll discharge dispositions</w:t>
      </w:r>
      <w:r>
        <w:rPr>
          <w:rFonts w:ascii="Arial" w:hAnsi="Arial" w:cs="Arial"/>
        </w:rPr>
        <w:t>.</w:t>
      </w:r>
    </w:p>
    <w:p w14:paraId="42A0A908" w14:textId="77777777" w:rsidR="00830D57" w:rsidRPr="00830D57" w:rsidRDefault="00830D57" w:rsidP="00830D57">
      <w:pPr>
        <w:spacing w:after="0" w:line="240" w:lineRule="auto"/>
        <w:rPr>
          <w:rFonts w:ascii="Arial" w:hAnsi="Arial" w:cs="Arial"/>
        </w:rPr>
      </w:pPr>
    </w:p>
    <w:p w14:paraId="7AA85E36" w14:textId="4C4BAAC0" w:rsidR="00830D57" w:rsidRDefault="00830D57" w:rsidP="00830D57">
      <w:pPr>
        <w:spacing w:after="0" w:line="360" w:lineRule="auto"/>
        <w:rPr>
          <w:rFonts w:ascii="Arial" w:hAnsi="Arial" w:cs="Arial"/>
        </w:rPr>
      </w:pPr>
      <w:r w:rsidRPr="00830D57">
        <w:rPr>
          <w:rFonts w:ascii="Arial" w:hAnsi="Arial" w:cs="Arial"/>
        </w:rPr>
        <w:t>A patient was considered to have a minor stroke if they had suffered an ischemic stroke and were discharged home directly from the emergency department</w:t>
      </w:r>
      <w:r>
        <w:rPr>
          <w:rFonts w:ascii="Arial" w:hAnsi="Arial" w:cs="Arial"/>
        </w:rPr>
        <w:t>.</w:t>
      </w:r>
    </w:p>
    <w:p w14:paraId="7638874F" w14:textId="77777777" w:rsidR="00830D57" w:rsidRPr="00830D57" w:rsidRDefault="00830D57" w:rsidP="00830D57">
      <w:pPr>
        <w:spacing w:after="0" w:line="240" w:lineRule="auto"/>
        <w:rPr>
          <w:rFonts w:ascii="Arial" w:hAnsi="Arial" w:cs="Arial"/>
        </w:rPr>
      </w:pPr>
    </w:p>
    <w:p w14:paraId="4156BFFB" w14:textId="5E4B2FD7" w:rsidR="002B03BA" w:rsidRDefault="002B03BA" w:rsidP="00F03C7F">
      <w:pPr>
        <w:spacing w:after="0" w:line="360" w:lineRule="auto"/>
        <w:rPr>
          <w:rFonts w:ascii="Arial" w:eastAsia="ScalaLancetPro" w:hAnsi="Arial" w:cs="Arial"/>
        </w:rPr>
      </w:pPr>
      <w:r w:rsidRPr="00830D57">
        <w:rPr>
          <w:rFonts w:ascii="Arial" w:hAnsi="Arial" w:cs="Arial"/>
        </w:rPr>
        <w:t>Authors AG, JMS, and MDH had full access to the database population used to create the study population.</w:t>
      </w:r>
      <w:r w:rsidR="003F2446" w:rsidRPr="00830D57">
        <w:rPr>
          <w:rFonts w:ascii="Arial" w:hAnsi="Arial" w:cs="Arial"/>
        </w:rPr>
        <w:t xml:space="preserve"> </w:t>
      </w:r>
      <w:r w:rsidRPr="00830D57">
        <w:rPr>
          <w:rFonts w:ascii="Arial" w:eastAsia="ScalaLancetPro" w:hAnsi="Arial" w:cs="Arial"/>
        </w:rPr>
        <w:t>The corresponding author had full access to all data in the study and had final responsibility for the decision to submit for publication</w:t>
      </w:r>
      <w:r w:rsidR="003F2446" w:rsidRPr="00830D57">
        <w:rPr>
          <w:rFonts w:ascii="Arial" w:eastAsia="ScalaLancetPro" w:hAnsi="Arial" w:cs="Arial"/>
        </w:rPr>
        <w:t>.</w:t>
      </w:r>
    </w:p>
    <w:p w14:paraId="057742D8" w14:textId="77777777" w:rsidR="00F03C7F" w:rsidRPr="00830D57" w:rsidRDefault="00F03C7F" w:rsidP="00F03C7F">
      <w:pPr>
        <w:spacing w:after="0" w:line="240" w:lineRule="auto"/>
        <w:rPr>
          <w:rFonts w:ascii="Arial" w:eastAsia="ScalaLancetPro" w:hAnsi="Arial" w:cs="Arial"/>
        </w:rPr>
      </w:pPr>
    </w:p>
    <w:p w14:paraId="7E3343FF" w14:textId="77777777" w:rsidR="003F2446" w:rsidRPr="002B03BA" w:rsidRDefault="003F2446" w:rsidP="00F03C7F">
      <w:pPr>
        <w:spacing w:after="0"/>
        <w:rPr>
          <w:rFonts w:ascii="Arial" w:hAnsi="Arial" w:cs="Arial"/>
        </w:rPr>
      </w:pPr>
    </w:p>
    <w:p w14:paraId="034D209F" w14:textId="1162FBCC" w:rsidR="002B03BA" w:rsidRPr="002B03BA" w:rsidRDefault="002B03BA" w:rsidP="002B03BA">
      <w:pPr>
        <w:rPr>
          <w:rFonts w:ascii="Arial" w:hAnsi="Arial" w:cs="Arial"/>
          <w:b/>
          <w:bCs/>
        </w:rPr>
      </w:pPr>
      <w:r w:rsidRPr="002B03BA">
        <w:rPr>
          <w:rFonts w:ascii="Arial" w:hAnsi="Arial" w:cs="Arial"/>
          <w:b/>
          <w:bCs/>
        </w:rPr>
        <w:t>Sample Size Calculation</w:t>
      </w:r>
    </w:p>
    <w:p w14:paraId="67BA5229" w14:textId="123F1E3F" w:rsidR="002B03BA" w:rsidRPr="003F2446" w:rsidRDefault="002B03BA" w:rsidP="002B03BA">
      <w:pPr>
        <w:spacing w:after="0" w:line="360" w:lineRule="auto"/>
        <w:rPr>
          <w:rFonts w:ascii="Arial" w:hAnsi="Arial" w:cs="Arial"/>
        </w:rPr>
      </w:pPr>
      <w:r w:rsidRPr="002B03BA">
        <w:rPr>
          <w:rFonts w:ascii="Arial" w:hAnsi="Arial" w:cs="Arial"/>
        </w:rPr>
        <w:t>Sample size calculations were performed using G*Power 3.1.9.7. Between April-2015 and March-2018, 576 patients received EVT for acute stroke (about 16 patients/month) of whom 326(56.6%) received alteplase (9.3/month), with the median onset-to-treatment time being 140 minutes (IQR</w:t>
      </w:r>
      <w:r w:rsidRPr="002B03BA">
        <w:rPr>
          <w:rFonts w:ascii="Arial" w:hAnsi="Arial" w:cs="Arial"/>
          <w:color w:val="FFFFFF" w:themeColor="background1"/>
        </w:rPr>
        <w:t>.</w:t>
      </w:r>
      <w:r w:rsidRPr="002B03BA">
        <w:rPr>
          <w:rFonts w:ascii="Arial" w:hAnsi="Arial" w:cs="Arial"/>
        </w:rPr>
        <w:t>90-250).</w:t>
      </w:r>
      <w:r w:rsidRPr="002B03BA">
        <w:rPr>
          <w:rFonts w:ascii="Arial" w:hAnsi="Arial" w:cs="Arial"/>
        </w:rPr>
        <w:fldChar w:fldCharType="begin">
          <w:fldData xml:space="preserve">PEVuZE5vdGU+PENpdGU+PEF1dGhvcj5aZXJuYTwvQXV0aG9yPjxZZWFyPjIwMjA8L1llYXI+PFJl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</w:fldData>
        </w:fldChar>
      </w:r>
      <w:r w:rsidRPr="002B03BA">
        <w:rPr>
          <w:rFonts w:ascii="Arial" w:hAnsi="Arial" w:cs="Arial"/>
        </w:rPr>
        <w:instrText xml:space="preserve"> ADDIN EN.CITE </w:instrText>
      </w:r>
      <w:r w:rsidRPr="002B03BA">
        <w:rPr>
          <w:rFonts w:ascii="Arial" w:hAnsi="Arial" w:cs="Arial"/>
        </w:rPr>
        <w:fldChar w:fldCharType="begin">
          <w:fldData xml:space="preserve">PEVuZE5vdGU+PENpdGU+PEF1dGhvcj5aZXJuYTwvQXV0aG9yPjxZZWFyPjIwMjA8L1llYXI+PFJl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</w:fldData>
        </w:fldChar>
      </w:r>
      <w:r w:rsidRPr="002B03BA">
        <w:rPr>
          <w:rFonts w:ascii="Arial" w:hAnsi="Arial" w:cs="Arial"/>
        </w:rPr>
        <w:instrText xml:space="preserve"> ADDIN EN.CITE.DATA </w:instrText>
      </w:r>
      <w:r w:rsidRPr="002B03BA">
        <w:rPr>
          <w:rFonts w:ascii="Arial" w:hAnsi="Arial" w:cs="Arial"/>
        </w:rPr>
      </w:r>
      <w:r w:rsidRPr="002B03BA">
        <w:rPr>
          <w:rFonts w:ascii="Arial" w:hAnsi="Arial" w:cs="Arial"/>
        </w:rPr>
        <w:fldChar w:fldCharType="end"/>
      </w:r>
      <w:r w:rsidRPr="002B03BA">
        <w:rPr>
          <w:rFonts w:ascii="Arial" w:hAnsi="Arial" w:cs="Arial"/>
        </w:rPr>
      </w:r>
      <w:r w:rsidRPr="002B03BA">
        <w:rPr>
          <w:rFonts w:ascii="Arial" w:hAnsi="Arial" w:cs="Arial"/>
        </w:rPr>
        <w:fldChar w:fldCharType="separate"/>
      </w:r>
      <w:r w:rsidRPr="002B03BA">
        <w:rPr>
          <w:rFonts w:ascii="Arial" w:hAnsi="Arial" w:cs="Arial"/>
          <w:noProof/>
          <w:vertAlign w:val="superscript"/>
        </w:rPr>
        <w:t>16</w:t>
      </w:r>
      <w:r w:rsidRPr="002B03BA">
        <w:rPr>
          <w:rFonts w:ascii="Arial" w:hAnsi="Arial" w:cs="Arial"/>
        </w:rPr>
        <w:fldChar w:fldCharType="end"/>
      </w:r>
      <w:r w:rsidRPr="002B03BA">
        <w:rPr>
          <w:rFonts w:ascii="Arial" w:hAnsi="Arial" w:cs="Arial"/>
        </w:rPr>
        <w:t xml:space="preserve"> Using these numbers, if we estimate a 25% drop in the acute treatment volume during the COVID-19 pandemic, we would need 38 acute stroke patients in the Pandemic period to achieve 80% power using a Poisson regression analysis. Similarly, estimating a 25% greater delay in onset-to-treatment time (140 to 175 minutes, standard deviation 80 minutes) and assuming the size of the Pandemic sample is only 10% of the pre-pandemic sample, we would need at least 375 EVT patients in the Pre-Pandemic period (already accomplished) and 37 in the Pandemic period to achieve 80% power. We therefore planned to gather data until we had accrued at least 40 treated patients in the QuICR registry in the Pandemic period. Upon extracting data until 30-August-2020, we had already accrued 408 </w:t>
      </w:r>
      <w:r w:rsidRPr="003F2446">
        <w:rPr>
          <w:rFonts w:ascii="Arial" w:hAnsi="Arial" w:cs="Arial"/>
        </w:rPr>
        <w:t>patients in QuICR during the pandemic, so we proceeded with our analyses.</w:t>
      </w:r>
    </w:p>
    <w:p w14:paraId="1A78154F" w14:textId="0BD62795" w:rsidR="003F2446" w:rsidRPr="003F2446" w:rsidRDefault="003F2446" w:rsidP="002B03BA">
      <w:pPr>
        <w:spacing w:after="0" w:line="360" w:lineRule="auto"/>
        <w:rPr>
          <w:rFonts w:ascii="Arial" w:hAnsi="Arial" w:cs="Arial"/>
        </w:rPr>
      </w:pPr>
    </w:p>
    <w:p w14:paraId="31B9353A" w14:textId="1A3AA1AC" w:rsidR="003F2446" w:rsidRPr="003F2446" w:rsidRDefault="003F2446" w:rsidP="002B03BA">
      <w:pPr>
        <w:spacing w:after="0" w:line="360" w:lineRule="auto"/>
        <w:rPr>
          <w:rFonts w:ascii="Arial" w:hAnsi="Arial" w:cs="Arial"/>
          <w:b/>
          <w:bCs/>
        </w:rPr>
      </w:pPr>
      <w:r w:rsidRPr="003F2446">
        <w:rPr>
          <w:rFonts w:ascii="Arial" w:hAnsi="Arial" w:cs="Arial"/>
          <w:b/>
          <w:bCs/>
        </w:rPr>
        <w:t>Data Availability Statement</w:t>
      </w:r>
    </w:p>
    <w:p w14:paraId="1D6285F9" w14:textId="49918C4E" w:rsidR="002B03BA" w:rsidRPr="003F2446" w:rsidRDefault="003F2446" w:rsidP="003F2446">
      <w:pPr>
        <w:spacing w:before="73" w:line="360" w:lineRule="auto"/>
      </w:pPr>
      <w:r w:rsidRPr="003F2446">
        <w:rPr>
          <w:rFonts w:ascii="Arial" w:hAnsi="Arial" w:cs="Arial"/>
        </w:rPr>
        <w:t xml:space="preserve">All data used for this study have been stored in a deidentified database, and the programming code is stored as a STATA do-file. </w:t>
      </w:r>
      <w:bookmarkStart w:id="0" w:name="_Hlk519401603"/>
      <w:bookmarkStart w:id="1" w:name="_Hlk518139774"/>
      <w:r w:rsidRPr="003F2446">
        <w:rPr>
          <w:rFonts w:ascii="Arial" w:hAnsi="Arial" w:cs="Arial"/>
          <w:color w:val="000000"/>
          <w:shd w:val="clear" w:color="auto" w:fill="FFFFFF"/>
        </w:rPr>
        <w:t>Requests for access to the data or code used in this paper will be considered by the corresponding author</w:t>
      </w:r>
      <w:bookmarkEnd w:id="0"/>
      <w:bookmarkEnd w:id="1"/>
      <w:r w:rsidRPr="003F2446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</w:rPr>
        <w:t xml:space="preserve"> </w:t>
      </w:r>
    </w:p>
    <w:sectPr w:rsidR="002B03BA" w:rsidRPr="003F244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B5F4" w14:textId="77777777" w:rsidR="00DC7280" w:rsidRDefault="00DC7280" w:rsidP="00830D57">
      <w:pPr>
        <w:spacing w:after="0" w:line="240" w:lineRule="auto"/>
      </w:pPr>
      <w:r>
        <w:separator/>
      </w:r>
    </w:p>
  </w:endnote>
  <w:endnote w:type="continuationSeparator" w:id="0">
    <w:p w14:paraId="4D8FE496" w14:textId="77777777" w:rsidR="00DC7280" w:rsidRDefault="00DC7280" w:rsidP="0083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LancetPro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EDAA" w14:textId="77777777" w:rsidR="00DC7280" w:rsidRDefault="00DC7280" w:rsidP="00830D57">
      <w:pPr>
        <w:spacing w:after="0" w:line="240" w:lineRule="auto"/>
      </w:pPr>
      <w:r>
        <w:separator/>
      </w:r>
    </w:p>
  </w:footnote>
  <w:footnote w:type="continuationSeparator" w:id="0">
    <w:p w14:paraId="3C9AE3A5" w14:textId="77777777" w:rsidR="00DC7280" w:rsidRDefault="00DC7280" w:rsidP="0083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851593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20D5F5BB" w14:textId="0E69F23E" w:rsidR="00830D57" w:rsidRPr="00830D57" w:rsidRDefault="00830D57">
        <w:pPr>
          <w:pStyle w:val="Header"/>
          <w:jc w:val="right"/>
          <w:rPr>
            <w:rFonts w:ascii="Arial" w:hAnsi="Arial" w:cs="Arial"/>
          </w:rPr>
        </w:pPr>
        <w:r w:rsidRPr="00830D57">
          <w:rPr>
            <w:rFonts w:ascii="Arial" w:hAnsi="Arial" w:cs="Arial"/>
          </w:rPr>
          <w:fldChar w:fldCharType="begin"/>
        </w:r>
        <w:r w:rsidRPr="00830D57">
          <w:rPr>
            <w:rFonts w:ascii="Arial" w:hAnsi="Arial" w:cs="Arial"/>
          </w:rPr>
          <w:instrText xml:space="preserve"> PAGE   \* MERGEFORMAT </w:instrText>
        </w:r>
        <w:r w:rsidRPr="00830D57">
          <w:rPr>
            <w:rFonts w:ascii="Arial" w:hAnsi="Arial" w:cs="Arial"/>
          </w:rPr>
          <w:fldChar w:fldCharType="separate"/>
        </w:r>
        <w:r w:rsidRPr="00830D57">
          <w:rPr>
            <w:rFonts w:ascii="Arial" w:hAnsi="Arial" w:cs="Arial"/>
            <w:noProof/>
          </w:rPr>
          <w:t>2</w:t>
        </w:r>
        <w:r w:rsidRPr="00830D57">
          <w:rPr>
            <w:rFonts w:ascii="Arial" w:hAnsi="Arial" w:cs="Arial"/>
            <w:noProof/>
          </w:rPr>
          <w:fldChar w:fldCharType="end"/>
        </w:r>
      </w:p>
    </w:sdtContent>
  </w:sdt>
  <w:p w14:paraId="5F24D22B" w14:textId="77777777" w:rsidR="00830D57" w:rsidRDefault="00830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F0B"/>
    <w:multiLevelType w:val="hybridMultilevel"/>
    <w:tmpl w:val="7B00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49B1"/>
    <w:multiLevelType w:val="hybridMultilevel"/>
    <w:tmpl w:val="407E8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2FCD"/>
    <w:multiLevelType w:val="hybridMultilevel"/>
    <w:tmpl w:val="01706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4DC0"/>
    <w:multiLevelType w:val="hybridMultilevel"/>
    <w:tmpl w:val="5F42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01BD"/>
    <w:multiLevelType w:val="hybridMultilevel"/>
    <w:tmpl w:val="6B565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69"/>
    <w:rsid w:val="002B03BA"/>
    <w:rsid w:val="00393504"/>
    <w:rsid w:val="003F2446"/>
    <w:rsid w:val="00475469"/>
    <w:rsid w:val="006747BC"/>
    <w:rsid w:val="00830D57"/>
    <w:rsid w:val="00A93336"/>
    <w:rsid w:val="00DC7280"/>
    <w:rsid w:val="00F03C7F"/>
    <w:rsid w:val="00F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28CC"/>
  <w15:chartTrackingRefBased/>
  <w15:docId w15:val="{D59670EA-115C-4C90-9099-45CA1BA1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4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446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D57"/>
  </w:style>
  <w:style w:type="paragraph" w:styleId="Footer">
    <w:name w:val="footer"/>
    <w:basedOn w:val="Normal"/>
    <w:link w:val="FooterChar"/>
    <w:uiPriority w:val="99"/>
    <w:unhideWhenUsed/>
    <w:rsid w:val="0083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Ganesh</dc:creator>
  <cp:keywords/>
  <dc:description/>
  <cp:lastModifiedBy>Aravind Ganesh</cp:lastModifiedBy>
  <cp:revision>2</cp:revision>
  <dcterms:created xsi:type="dcterms:W3CDTF">2021-10-04T17:12:00Z</dcterms:created>
  <dcterms:modified xsi:type="dcterms:W3CDTF">2021-10-04T17:12:00Z</dcterms:modified>
</cp:coreProperties>
</file>