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52D8" w14:textId="77777777" w:rsidR="0055567F" w:rsidRDefault="00643109" w:rsidP="00CA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3109">
        <w:rPr>
          <w:rFonts w:ascii="Times New Roman" w:hAnsi="Times New Roman" w:cs="Times New Roman"/>
          <w:sz w:val="24"/>
          <w:szCs w:val="24"/>
          <w:u w:val="single"/>
        </w:rPr>
        <w:t>Online Supplementary Materials</w:t>
      </w:r>
    </w:p>
    <w:p w14:paraId="7A371DF4" w14:textId="77777777" w:rsidR="00643109" w:rsidRDefault="00643109" w:rsidP="00CA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8512A7" w14:textId="2FB8C556" w:rsidR="00643109" w:rsidRDefault="001B31AC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Search</w:t>
      </w:r>
      <w:r w:rsidR="00643109" w:rsidRPr="00643109">
        <w:rPr>
          <w:rFonts w:ascii="Times New Roman" w:hAnsi="Times New Roman" w:cs="Times New Roman"/>
          <w:sz w:val="24"/>
          <w:szCs w:val="24"/>
          <w:u w:val="single"/>
        </w:rPr>
        <w:t xml:space="preserve"> terms used</w:t>
      </w:r>
    </w:p>
    <w:p w14:paraId="1F2951A2" w14:textId="4EF73162" w:rsidR="00643109" w:rsidRDefault="009334A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PubMed</w:t>
      </w:r>
      <w:r w:rsidR="001B31AC">
        <w:rPr>
          <w:rFonts w:ascii="Times New Roman" w:hAnsi="Times New Roman" w:cs="Times New Roman"/>
          <w:sz w:val="24"/>
          <w:szCs w:val="24"/>
        </w:rPr>
        <w:t>, SCOPUS, Psych Info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334AE">
        <w:rPr>
          <w:rFonts w:ascii="Times New Roman" w:hAnsi="Times New Roman" w:cs="Times New Roman"/>
          <w:sz w:val="24"/>
          <w:szCs w:val="24"/>
        </w:rPr>
        <w:t>(Energy density OR portion size OR food reformulation) AND (energy intake OR calories OR food intake OR appetite OR</w:t>
      </w:r>
      <w:r>
        <w:rPr>
          <w:rFonts w:ascii="Times New Roman" w:hAnsi="Times New Roman" w:cs="Times New Roman"/>
          <w:sz w:val="24"/>
          <w:szCs w:val="24"/>
        </w:rPr>
        <w:t xml:space="preserve"> eating). Filter: Humans</w:t>
      </w:r>
      <w:r w:rsidR="001B31AC">
        <w:rPr>
          <w:rFonts w:ascii="Times New Roman" w:hAnsi="Times New Roman" w:cs="Times New Roman"/>
          <w:sz w:val="24"/>
          <w:szCs w:val="24"/>
        </w:rPr>
        <w:t xml:space="preserve"> (applied in PubMed and Psych Info)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D79D7" w14:textId="77777777" w:rsidR="009B2140" w:rsidRDefault="009B2140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7D33E" w14:textId="77777777" w:rsidR="009B2140" w:rsidRDefault="009E09D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09D7">
        <w:rPr>
          <w:rFonts w:ascii="Times New Roman" w:hAnsi="Times New Roman" w:cs="Times New Roman"/>
          <w:sz w:val="24"/>
          <w:szCs w:val="24"/>
          <w:u w:val="single"/>
        </w:rPr>
        <w:t>Deviations from planned analyses</w:t>
      </w:r>
    </w:p>
    <w:p w14:paraId="675FDCD2" w14:textId="0CF4AC13" w:rsidR="00B90491" w:rsidRDefault="009E09D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originally </w:t>
      </w:r>
      <w:r w:rsidR="00B90491">
        <w:rPr>
          <w:rFonts w:ascii="Times New Roman" w:hAnsi="Times New Roman" w:cs="Times New Roman"/>
          <w:sz w:val="24"/>
          <w:szCs w:val="24"/>
        </w:rPr>
        <w:t>planned</w:t>
      </w:r>
      <w:r>
        <w:rPr>
          <w:rFonts w:ascii="Times New Roman" w:hAnsi="Times New Roman" w:cs="Times New Roman"/>
          <w:sz w:val="24"/>
          <w:szCs w:val="24"/>
        </w:rPr>
        <w:t xml:space="preserve"> to systematically review and meta-analyse studies that had manipulated portion size </w:t>
      </w:r>
      <w:r w:rsidR="00B90491">
        <w:rPr>
          <w:rFonts w:ascii="Times New Roman" w:hAnsi="Times New Roman" w:cs="Times New Roman"/>
          <w:sz w:val="24"/>
          <w:szCs w:val="24"/>
        </w:rPr>
        <w:t xml:space="preserve">of foods </w:t>
      </w:r>
      <w:r>
        <w:rPr>
          <w:rFonts w:ascii="Times New Roman" w:hAnsi="Times New Roman" w:cs="Times New Roman"/>
          <w:sz w:val="24"/>
          <w:szCs w:val="24"/>
        </w:rPr>
        <w:t xml:space="preserve">and studies that had manipulated </w:t>
      </w:r>
      <w:r w:rsidR="00B90491">
        <w:rPr>
          <w:rFonts w:ascii="Times New Roman" w:hAnsi="Times New Roman" w:cs="Times New Roman"/>
          <w:sz w:val="24"/>
          <w:szCs w:val="24"/>
        </w:rPr>
        <w:t>energy density of foods in the same project. However, after conducting searches and identifying</w:t>
      </w:r>
      <w:r w:rsidRPr="009E09D7">
        <w:rPr>
          <w:rFonts w:ascii="Times New Roman" w:hAnsi="Times New Roman" w:cs="Times New Roman"/>
          <w:sz w:val="24"/>
          <w:szCs w:val="24"/>
        </w:rPr>
        <w:t xml:space="preserve"> eligible articles we determined that the scope of the review is too large </w:t>
      </w:r>
      <w:r w:rsidR="00B90491">
        <w:rPr>
          <w:rFonts w:ascii="Times New Roman" w:hAnsi="Times New Roman" w:cs="Times New Roman"/>
          <w:sz w:val="24"/>
          <w:szCs w:val="24"/>
        </w:rPr>
        <w:t>to be completed in line with the</w:t>
      </w:r>
      <w:r w:rsidRPr="009E09D7">
        <w:rPr>
          <w:rFonts w:ascii="Times New Roman" w:hAnsi="Times New Roman" w:cs="Times New Roman"/>
          <w:sz w:val="24"/>
          <w:szCs w:val="24"/>
        </w:rPr>
        <w:t xml:space="preserve"> original </w:t>
      </w:r>
      <w:r w:rsidR="00B90491">
        <w:rPr>
          <w:rFonts w:ascii="Times New Roman" w:hAnsi="Times New Roman" w:cs="Times New Roman"/>
          <w:sz w:val="24"/>
          <w:szCs w:val="24"/>
        </w:rPr>
        <w:t xml:space="preserve">project </w:t>
      </w:r>
      <w:r w:rsidRPr="009E09D7">
        <w:rPr>
          <w:rFonts w:ascii="Times New Roman" w:hAnsi="Times New Roman" w:cs="Times New Roman"/>
          <w:sz w:val="24"/>
          <w:szCs w:val="24"/>
        </w:rPr>
        <w:t>timeline</w:t>
      </w:r>
      <w:r w:rsidR="00B90491">
        <w:rPr>
          <w:rFonts w:ascii="Times New Roman" w:hAnsi="Times New Roman" w:cs="Times New Roman"/>
          <w:sz w:val="24"/>
          <w:szCs w:val="24"/>
        </w:rPr>
        <w:t xml:space="preserve">, as a result of </w:t>
      </w:r>
      <w:r w:rsidRPr="009E09D7">
        <w:rPr>
          <w:rFonts w:ascii="Times New Roman" w:hAnsi="Times New Roman" w:cs="Times New Roman"/>
          <w:sz w:val="24"/>
          <w:szCs w:val="24"/>
        </w:rPr>
        <w:t>staffing during the COVID pandemic and a larger number of eligible</w:t>
      </w:r>
      <w:r w:rsidR="00B90491">
        <w:rPr>
          <w:rFonts w:ascii="Times New Roman" w:hAnsi="Times New Roman" w:cs="Times New Roman"/>
          <w:sz w:val="24"/>
          <w:szCs w:val="24"/>
        </w:rPr>
        <w:t xml:space="preserve"> energy density</w:t>
      </w:r>
      <w:r w:rsidRPr="009E09D7">
        <w:rPr>
          <w:rFonts w:ascii="Times New Roman" w:hAnsi="Times New Roman" w:cs="Times New Roman"/>
          <w:sz w:val="24"/>
          <w:szCs w:val="24"/>
        </w:rPr>
        <w:t xml:space="preserve"> studies than anticipated. For these reasons</w:t>
      </w:r>
      <w:r w:rsidR="00B90491">
        <w:rPr>
          <w:rFonts w:ascii="Times New Roman" w:hAnsi="Times New Roman" w:cs="Times New Roman"/>
          <w:sz w:val="24"/>
          <w:szCs w:val="24"/>
        </w:rPr>
        <w:t xml:space="preserve">, we </w:t>
      </w:r>
      <w:r w:rsidR="00B40001">
        <w:rPr>
          <w:rFonts w:ascii="Times New Roman" w:hAnsi="Times New Roman" w:cs="Times New Roman"/>
          <w:sz w:val="24"/>
          <w:szCs w:val="24"/>
        </w:rPr>
        <w:t xml:space="preserve">separated out portion size and energy density studies into two distinct projects. </w:t>
      </w:r>
      <w:r w:rsidR="00B90491" w:rsidRPr="00B90491">
        <w:rPr>
          <w:rFonts w:ascii="Times New Roman" w:hAnsi="Times New Roman" w:cs="Times New Roman"/>
          <w:sz w:val="24"/>
          <w:szCs w:val="24"/>
        </w:rPr>
        <w:t>This decision was made during piloting of data extraction.</w:t>
      </w:r>
      <w:r w:rsidR="00B90491">
        <w:rPr>
          <w:rFonts w:ascii="Times New Roman" w:hAnsi="Times New Roman" w:cs="Times New Roman"/>
          <w:sz w:val="24"/>
          <w:szCs w:val="24"/>
        </w:rPr>
        <w:t xml:space="preserve"> The only </w:t>
      </w:r>
      <w:r w:rsidR="00B40001">
        <w:rPr>
          <w:rFonts w:ascii="Times New Roman" w:hAnsi="Times New Roman" w:cs="Times New Roman"/>
          <w:sz w:val="24"/>
          <w:szCs w:val="24"/>
        </w:rPr>
        <w:t>major c</w:t>
      </w:r>
      <w:r w:rsidR="00B90491">
        <w:rPr>
          <w:rFonts w:ascii="Times New Roman" w:hAnsi="Times New Roman" w:cs="Times New Roman"/>
          <w:sz w:val="24"/>
          <w:szCs w:val="24"/>
        </w:rPr>
        <w:t xml:space="preserve">hange to the pre-registered protocol </w:t>
      </w:r>
      <w:r w:rsidR="00B40001">
        <w:rPr>
          <w:rFonts w:ascii="Times New Roman" w:hAnsi="Times New Roman" w:cs="Times New Roman"/>
          <w:sz w:val="24"/>
          <w:szCs w:val="24"/>
        </w:rPr>
        <w:t>wa</w:t>
      </w:r>
      <w:r w:rsidR="00B90491">
        <w:rPr>
          <w:rFonts w:ascii="Times New Roman" w:hAnsi="Times New Roman" w:cs="Times New Roman"/>
          <w:sz w:val="24"/>
          <w:szCs w:val="24"/>
        </w:rPr>
        <w:t>s the exclusion of studies that manipulated</w:t>
      </w:r>
      <w:r w:rsidR="00B40001">
        <w:rPr>
          <w:rFonts w:ascii="Times New Roman" w:hAnsi="Times New Roman" w:cs="Times New Roman"/>
          <w:sz w:val="24"/>
          <w:szCs w:val="24"/>
        </w:rPr>
        <w:t xml:space="preserve"> portion size of food</w:t>
      </w:r>
      <w:r w:rsidR="00B90491">
        <w:rPr>
          <w:rFonts w:ascii="Times New Roman" w:hAnsi="Times New Roman" w:cs="Times New Roman"/>
          <w:sz w:val="24"/>
          <w:szCs w:val="24"/>
        </w:rPr>
        <w:t xml:space="preserve"> (and not </w:t>
      </w:r>
      <w:r w:rsidR="00B40001">
        <w:rPr>
          <w:rFonts w:ascii="Times New Roman" w:hAnsi="Times New Roman" w:cs="Times New Roman"/>
          <w:sz w:val="24"/>
          <w:szCs w:val="24"/>
        </w:rPr>
        <w:t>energy density</w:t>
      </w:r>
      <w:r w:rsidR="00B90491">
        <w:rPr>
          <w:rFonts w:ascii="Times New Roman" w:hAnsi="Times New Roman" w:cs="Times New Roman"/>
          <w:sz w:val="24"/>
          <w:szCs w:val="24"/>
        </w:rPr>
        <w:t xml:space="preserve">) and therefore </w:t>
      </w:r>
      <w:r w:rsidR="00B40001">
        <w:rPr>
          <w:rFonts w:ascii="Times New Roman" w:hAnsi="Times New Roman" w:cs="Times New Roman"/>
          <w:sz w:val="24"/>
          <w:szCs w:val="24"/>
        </w:rPr>
        <w:t>a planned analysis examining the effect of ‘</w:t>
      </w:r>
      <w:r w:rsidR="00B90491">
        <w:rPr>
          <w:rFonts w:ascii="Times New Roman" w:hAnsi="Times New Roman" w:cs="Times New Roman"/>
          <w:sz w:val="24"/>
          <w:szCs w:val="24"/>
        </w:rPr>
        <w:t>study type</w:t>
      </w:r>
      <w:r w:rsidR="00B40001">
        <w:rPr>
          <w:rFonts w:ascii="Times New Roman" w:hAnsi="Times New Roman" w:cs="Times New Roman"/>
          <w:sz w:val="24"/>
          <w:szCs w:val="24"/>
        </w:rPr>
        <w:t>’</w:t>
      </w:r>
      <w:r w:rsidR="00B90491">
        <w:rPr>
          <w:rFonts w:ascii="Times New Roman" w:hAnsi="Times New Roman" w:cs="Times New Roman"/>
          <w:sz w:val="24"/>
          <w:szCs w:val="24"/>
        </w:rPr>
        <w:t xml:space="preserve"> (i.e. portion size vs. energy density) was not </w:t>
      </w:r>
      <w:r w:rsidR="00B40001">
        <w:rPr>
          <w:rFonts w:ascii="Times New Roman" w:hAnsi="Times New Roman" w:cs="Times New Roman"/>
          <w:sz w:val="24"/>
          <w:szCs w:val="24"/>
        </w:rPr>
        <w:t>conducted. We also made minor deviations from the planned protocol (e.g. separate analyses of studies that manipulated energy density of all foods</w:t>
      </w:r>
      <w:r w:rsidR="00B90491">
        <w:rPr>
          <w:rFonts w:ascii="Times New Roman" w:hAnsi="Times New Roman" w:cs="Times New Roman"/>
          <w:sz w:val="24"/>
          <w:szCs w:val="24"/>
        </w:rPr>
        <w:t xml:space="preserve"> </w:t>
      </w:r>
      <w:r w:rsidR="00B40001">
        <w:rPr>
          <w:rFonts w:ascii="Times New Roman" w:hAnsi="Times New Roman" w:cs="Times New Roman"/>
          <w:sz w:val="24"/>
          <w:szCs w:val="24"/>
        </w:rPr>
        <w:t>during the day vs. no) and they are described in the main manuscript.</w:t>
      </w:r>
    </w:p>
    <w:p w14:paraId="63A74252" w14:textId="77777777" w:rsidR="00B90491" w:rsidRDefault="00B90491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8426C" w14:textId="77777777" w:rsidR="00AD04DF" w:rsidRPr="00AD04DF" w:rsidRDefault="00800A31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Planned i</w:t>
      </w:r>
      <w:r w:rsidR="00AD04DF" w:rsidRPr="00AD04DF">
        <w:rPr>
          <w:rFonts w:ascii="Times New Roman" w:hAnsi="Times New Roman" w:cs="Times New Roman"/>
          <w:sz w:val="24"/>
          <w:szCs w:val="24"/>
          <w:u w:val="single"/>
        </w:rPr>
        <w:t>nfluential case and publication bias analyses</w:t>
      </w:r>
    </w:p>
    <w:p w14:paraId="2C08DBAA" w14:textId="3A668013" w:rsidR="00AD04DF" w:rsidRDefault="00AD04DF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B29">
        <w:rPr>
          <w:rFonts w:ascii="Times New Roman" w:hAnsi="Times New Roman" w:cs="Times New Roman"/>
          <w:sz w:val="24"/>
          <w:szCs w:val="24"/>
        </w:rPr>
        <w:t>We characterise</w:t>
      </w:r>
      <w:r>
        <w:rPr>
          <w:rFonts w:ascii="Times New Roman" w:hAnsi="Times New Roman" w:cs="Times New Roman"/>
          <w:sz w:val="24"/>
          <w:szCs w:val="24"/>
        </w:rPr>
        <w:t>d outliers as any effect sizes for</w:t>
      </w:r>
      <w:r w:rsidRPr="00E45B29">
        <w:rPr>
          <w:rFonts w:ascii="Times New Roman" w:hAnsi="Times New Roman" w:cs="Times New Roman"/>
          <w:sz w:val="24"/>
          <w:szCs w:val="24"/>
        </w:rPr>
        <w:t xml:space="preserve"> which the upper bound </w:t>
      </w:r>
      <w:r>
        <w:rPr>
          <w:rFonts w:ascii="Times New Roman" w:hAnsi="Times New Roman" w:cs="Times New Roman"/>
          <w:sz w:val="24"/>
          <w:szCs w:val="24"/>
        </w:rPr>
        <w:t>of the 95% confidence interval wa</w:t>
      </w:r>
      <w:r w:rsidRPr="00E45B29">
        <w:rPr>
          <w:rFonts w:ascii="Times New Roman" w:hAnsi="Times New Roman" w:cs="Times New Roman"/>
          <w:sz w:val="24"/>
          <w:szCs w:val="24"/>
        </w:rPr>
        <w:t xml:space="preserve">s lower than the lower bound of the pooled effect confidence interval (i.e., extremely small effects) or for which the lower bound of the 95% confidence interval </w:t>
      </w:r>
      <w:r>
        <w:rPr>
          <w:rFonts w:ascii="Times New Roman" w:hAnsi="Times New Roman" w:cs="Times New Roman"/>
          <w:sz w:val="24"/>
          <w:szCs w:val="24"/>
        </w:rPr>
        <w:t>wa</w:t>
      </w:r>
      <w:r w:rsidRPr="00E45B29">
        <w:rPr>
          <w:rFonts w:ascii="Times New Roman" w:hAnsi="Times New Roman" w:cs="Times New Roman"/>
          <w:sz w:val="24"/>
          <w:szCs w:val="24"/>
        </w:rPr>
        <w:t>s higher than the upper bound of the pooled effect confidence interval (i.e., extremely lar</w:t>
      </w:r>
      <w:r>
        <w:rPr>
          <w:rFonts w:ascii="Times New Roman" w:hAnsi="Times New Roman" w:cs="Times New Roman"/>
          <w:sz w:val="24"/>
          <w:szCs w:val="24"/>
        </w:rPr>
        <w:t>ge effects). If any outliers were identified</w:t>
      </w:r>
      <w:r w:rsidR="00C04E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we planned to </w:t>
      </w:r>
      <w:r w:rsidRPr="00E45B29">
        <w:rPr>
          <w:rFonts w:ascii="Times New Roman" w:hAnsi="Times New Roman" w:cs="Times New Roman"/>
          <w:sz w:val="24"/>
          <w:szCs w:val="24"/>
        </w:rPr>
        <w:t>report the results of meta-analyses with the outliers removed. To address influential cases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5B29">
        <w:rPr>
          <w:rFonts w:ascii="Times New Roman" w:hAnsi="Times New Roman" w:cs="Times New Roman"/>
          <w:sz w:val="24"/>
          <w:szCs w:val="24"/>
        </w:rPr>
        <w:t xml:space="preserve"> we compute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45B29">
        <w:rPr>
          <w:rFonts w:ascii="Times New Roman" w:hAnsi="Times New Roman" w:cs="Times New Roman"/>
          <w:sz w:val="24"/>
          <w:szCs w:val="24"/>
        </w:rPr>
        <w:t xml:space="preserve"> DFBETAS values for each effect size. Influential cases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E45B29">
        <w:rPr>
          <w:rFonts w:ascii="Times New Roman" w:hAnsi="Times New Roman" w:cs="Times New Roman"/>
          <w:sz w:val="24"/>
          <w:szCs w:val="24"/>
        </w:rPr>
        <w:t xml:space="preserve"> identified if DFBETAS values &gt; 1 (indicative of a &gt;1  change in the standard deviation of the estimated co-efficient after removal of the study</w:t>
      </w:r>
      <w:r w:rsidR="00737916">
        <w:rPr>
          <w:rFonts w:ascii="Times New Roman" w:hAnsi="Times New Roman" w:cs="Times New Roman"/>
          <w:sz w:val="24"/>
          <w:szCs w:val="24"/>
        </w:rPr>
        <w:t>)</w:t>
      </w:r>
      <w:r w:rsidR="00CA4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&lt;EndNote&gt;&lt;Cite&gt;&lt;Author&gt;Viechtbauer&lt;/Author&gt;&lt;Year&gt;2010&lt;/Year&gt;&lt;RecNum&gt;60&lt;/RecNum&gt;&lt;DisplayText&gt;(1)&lt;/DisplayText&gt;&lt;record&gt;&lt;rec-number&gt;60&lt;/rec-number&gt;&lt;foreign-keys&gt;&lt;key app="EN" db-id="5twx9eaphs2r2nee9r8x05drvrf0texxpw2f" timestamp="1600763967"&gt;60&lt;/key&gt;&lt;/foreign-keys&gt;&lt;ref-type name="Journal Article"&gt;17&lt;/ref-type&gt;&lt;contributors&gt;&lt;authors&gt;&lt;author&gt;Viechtbauer, Wolfgang&lt;/author&gt;&lt;author&gt;Cheung, Mike W‐L&lt;/author&gt;&lt;/authors&gt;&lt;/contributors&gt;&lt;titles&gt;&lt;title&gt;Outlier and influence diagnostics for meta‐analysis&lt;/title&gt;&lt;secondary-title&gt;Research synthesis methods&lt;/secondary-title&gt;&lt;/titles&gt;&lt;periodical&gt;&lt;full-title&gt;Research synthesis methods&lt;/full-title&gt;&lt;/periodical&gt;&lt;pages&gt;112-125&lt;/pages&gt;&lt;volume&gt;1&lt;/volume&gt;&lt;number&gt;2&lt;/number&gt;&lt;dates&gt;&lt;year&gt;2010&lt;/year&gt;&lt;/dates&gt;&lt;isbn&gt;1759-2879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45B29">
        <w:rPr>
          <w:rFonts w:ascii="Times New Roman" w:hAnsi="Times New Roman" w:cs="Times New Roman"/>
          <w:sz w:val="24"/>
          <w:szCs w:val="24"/>
        </w:rPr>
        <w:t>. To increase sensitivity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5B29">
        <w:rPr>
          <w:rFonts w:ascii="Times New Roman" w:hAnsi="Times New Roman" w:cs="Times New Roman"/>
          <w:sz w:val="24"/>
          <w:szCs w:val="24"/>
        </w:rPr>
        <w:t xml:space="preserve"> we 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45B29">
        <w:rPr>
          <w:rFonts w:ascii="Times New Roman" w:hAnsi="Times New Roman" w:cs="Times New Roman"/>
          <w:sz w:val="24"/>
          <w:szCs w:val="24"/>
        </w:rPr>
        <w:t xml:space="preserve"> leave-one-out analyses by removing each study (k) from the analyses and refitting the model. If the removal of k substantially influences the model (statistical significance of the </w:t>
      </w:r>
      <w:r>
        <w:rPr>
          <w:rFonts w:ascii="Times New Roman" w:hAnsi="Times New Roman" w:cs="Times New Roman"/>
          <w:sz w:val="24"/>
          <w:szCs w:val="24"/>
        </w:rPr>
        <w:t>model</w:t>
      </w:r>
      <w:r w:rsidRPr="00E45B29">
        <w:rPr>
          <w:rFonts w:ascii="Times New Roman" w:hAnsi="Times New Roman" w:cs="Times New Roman"/>
          <w:sz w:val="24"/>
          <w:szCs w:val="24"/>
        </w:rPr>
        <w:t xml:space="preserve"> changes from p &lt; .05 </w:t>
      </w:r>
      <w:proofErr w:type="spellStart"/>
      <w:r w:rsidRPr="00E45B29">
        <w:rPr>
          <w:rFonts w:ascii="Times New Roman" w:hAnsi="Times New Roman" w:cs="Times New Roman"/>
          <w:sz w:val="24"/>
          <w:szCs w:val="24"/>
        </w:rPr>
        <w:t>to p</w:t>
      </w:r>
      <w:proofErr w:type="spellEnd"/>
      <w:r w:rsidRPr="00E45B29">
        <w:rPr>
          <w:rFonts w:ascii="Times New Roman" w:hAnsi="Times New Roman" w:cs="Times New Roman"/>
          <w:sz w:val="24"/>
          <w:szCs w:val="24"/>
        </w:rPr>
        <w:t xml:space="preserve"> &gt; .05 (or p &gt;.05 to p &lt; .05), this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E45B29">
        <w:rPr>
          <w:rFonts w:ascii="Times New Roman" w:hAnsi="Times New Roman" w:cs="Times New Roman"/>
          <w:sz w:val="24"/>
          <w:szCs w:val="24"/>
        </w:rPr>
        <w:t xml:space="preserve"> classed as an influential case.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E45B29">
        <w:rPr>
          <w:rFonts w:ascii="Times New Roman" w:hAnsi="Times New Roman" w:cs="Times New Roman"/>
          <w:sz w:val="24"/>
          <w:szCs w:val="24"/>
        </w:rPr>
        <w:t xml:space="preserve"> examine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45B29">
        <w:rPr>
          <w:rFonts w:ascii="Times New Roman" w:hAnsi="Times New Roman" w:cs="Times New Roman"/>
          <w:sz w:val="24"/>
          <w:szCs w:val="24"/>
        </w:rPr>
        <w:t xml:space="preserve"> evidence for publication bias in the </w:t>
      </w:r>
      <w:r>
        <w:rPr>
          <w:rFonts w:ascii="Times New Roman" w:hAnsi="Times New Roman" w:cs="Times New Roman"/>
          <w:sz w:val="24"/>
          <w:szCs w:val="24"/>
        </w:rPr>
        <w:t xml:space="preserve">primary </w:t>
      </w:r>
      <w:r w:rsidRPr="00E45B29">
        <w:rPr>
          <w:rFonts w:ascii="Times New Roman" w:hAnsi="Times New Roman" w:cs="Times New Roman"/>
          <w:sz w:val="24"/>
          <w:szCs w:val="24"/>
        </w:rPr>
        <w:t>analys</w:t>
      </w:r>
      <w:r>
        <w:rPr>
          <w:rFonts w:ascii="Times New Roman" w:hAnsi="Times New Roman" w:cs="Times New Roman"/>
          <w:sz w:val="24"/>
          <w:szCs w:val="24"/>
        </w:rPr>
        <w:t>e</w:t>
      </w:r>
      <w:r w:rsidR="008E227F">
        <w:rPr>
          <w:rFonts w:ascii="Times New Roman" w:hAnsi="Times New Roman" w:cs="Times New Roman"/>
          <w:sz w:val="24"/>
          <w:szCs w:val="24"/>
        </w:rPr>
        <w:t xml:space="preserve">s by examining asymmetry of </w:t>
      </w:r>
      <w:r w:rsidRPr="00E45B29">
        <w:rPr>
          <w:rFonts w:ascii="Times New Roman" w:hAnsi="Times New Roman" w:cs="Times New Roman"/>
          <w:sz w:val="24"/>
          <w:szCs w:val="24"/>
        </w:rPr>
        <w:t xml:space="preserve">effect sizes. We </w:t>
      </w:r>
      <w:r w:rsidR="008E227F">
        <w:rPr>
          <w:rFonts w:ascii="Times New Roman" w:hAnsi="Times New Roman" w:cs="Times New Roman"/>
          <w:sz w:val="24"/>
          <w:szCs w:val="24"/>
        </w:rPr>
        <w:t xml:space="preserve">plotted </w:t>
      </w:r>
      <w:r w:rsidRPr="00E45B29">
        <w:rPr>
          <w:rFonts w:ascii="Times New Roman" w:hAnsi="Times New Roman" w:cs="Times New Roman"/>
          <w:sz w:val="24"/>
          <w:szCs w:val="24"/>
        </w:rPr>
        <w:t>and visually inspect</w:t>
      </w:r>
      <w:r w:rsidR="008E227F">
        <w:rPr>
          <w:rFonts w:ascii="Times New Roman" w:hAnsi="Times New Roman" w:cs="Times New Roman"/>
          <w:sz w:val="24"/>
          <w:szCs w:val="24"/>
        </w:rPr>
        <w:t>ed funnel plots</w:t>
      </w:r>
      <w:r w:rsidRPr="00E45B29">
        <w:rPr>
          <w:rFonts w:ascii="Times New Roman" w:hAnsi="Times New Roman" w:cs="Times New Roman"/>
          <w:sz w:val="24"/>
          <w:szCs w:val="24"/>
        </w:rPr>
        <w:t>. N</w:t>
      </w:r>
      <w:r w:rsidR="008E227F">
        <w:rPr>
          <w:rFonts w:ascii="Times New Roman" w:hAnsi="Times New Roman" w:cs="Times New Roman"/>
          <w:sz w:val="24"/>
          <w:szCs w:val="24"/>
        </w:rPr>
        <w:t xml:space="preserve">ext, we </w:t>
      </w:r>
      <w:r w:rsidRPr="00E45B29">
        <w:rPr>
          <w:rFonts w:ascii="Times New Roman" w:hAnsi="Times New Roman" w:cs="Times New Roman"/>
          <w:sz w:val="24"/>
          <w:szCs w:val="24"/>
        </w:rPr>
        <w:t>conduct</w:t>
      </w:r>
      <w:r w:rsidR="008E227F">
        <w:rPr>
          <w:rFonts w:ascii="Times New Roman" w:hAnsi="Times New Roman" w:cs="Times New Roman"/>
          <w:sz w:val="24"/>
          <w:szCs w:val="24"/>
        </w:rPr>
        <w:t>ed</w:t>
      </w:r>
      <w:r w:rsidRPr="00E45B29">
        <w:rPr>
          <w:rFonts w:ascii="Times New Roman" w:hAnsi="Times New Roman" w:cs="Times New Roman"/>
          <w:sz w:val="24"/>
          <w:szCs w:val="24"/>
        </w:rPr>
        <w:t xml:space="preserve"> an Egger’s test of asymmetry and Trim and Fill procedure.</w:t>
      </w:r>
      <w:r>
        <w:rPr>
          <w:rFonts w:ascii="Times New Roman" w:hAnsi="Times New Roman" w:cs="Times New Roman"/>
          <w:sz w:val="24"/>
          <w:szCs w:val="24"/>
        </w:rPr>
        <w:t xml:space="preserve"> For Egger’s test</w:t>
      </w:r>
      <w:r w:rsidR="008E2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&lt;EndNote&gt;&lt;Cite&gt;&lt;Author&gt;Egger&lt;/Author&gt;&lt;Year&gt;1997&lt;/Year&gt;&lt;RecNum&gt;62&lt;/RecNum&gt;&lt;DisplayText&gt;(2)&lt;/DisplayText&gt;&lt;record&gt;&lt;rec-number&gt;62&lt;/rec-number&gt;&lt;foreign-keys&gt;&lt;key app="EN" db-id="5twx9eaphs2r2nee9r8x05drvrf0texxpw2f" timestamp="1600764112"&gt;62&lt;/key&gt;&lt;/foreign-keys&gt;&lt;ref-type name="Journal Article"&gt;17&lt;/ref-type&gt;&lt;contributors&gt;&lt;authors&gt;&lt;author&gt;Egger, Matthias&lt;/author&gt;&lt;author&gt;Smith, George Davey&lt;/author&gt;&lt;author&gt;Schneider, Martin&lt;/author&gt;&lt;author&gt;Minder, Christoph&lt;/author&gt;&lt;/authors&gt;&lt;/contributors&gt;&lt;titles&gt;&lt;title&gt;Bias in meta-analysis detected by a simple, graphical test&lt;/title&gt;&lt;secondary-title&gt;Bmj&lt;/secondary-title&gt;&lt;/titles&gt;&lt;periodical&gt;&lt;full-title&gt;Bmj&lt;/full-title&gt;&lt;/periodical&gt;&lt;pages&gt;629-634&lt;/pages&gt;&lt;volume&gt;315&lt;/volume&gt;&lt;number&gt;7109&lt;/number&gt;&lt;dates&gt;&lt;year&gt;1997&lt;/year&gt;&lt;/dates&gt;&lt;isbn&gt;0959-8138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i</w:t>
      </w:r>
      <w:r w:rsidRPr="00E45B29">
        <w:rPr>
          <w:rFonts w:ascii="Times New Roman" w:hAnsi="Times New Roman" w:cs="Times New Roman"/>
          <w:sz w:val="24"/>
          <w:szCs w:val="24"/>
        </w:rPr>
        <w:t>f the intercept is significantly different from 0 at p &gt;.10 this is indicative of bias. Trim and Fill</w:t>
      </w:r>
      <w:r w:rsidR="008E2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&lt;EndNote&gt;&lt;Cite&gt;&lt;Author&gt;Duval&lt;/Author&gt;&lt;Year&gt;2000&lt;/Year&gt;&lt;RecNum&gt;61&lt;/RecNum&gt;&lt;DisplayText&gt;(3)&lt;/DisplayText&gt;&lt;record&gt;&lt;rec-number&gt;61&lt;/rec-number&gt;&lt;foreign-keys&gt;&lt;key app="EN" db-id="5twx9eaphs2r2nee9r8x05drvrf0texxpw2f" timestamp="1600764085"&gt;61&lt;/key&gt;&lt;/foreign-keys&gt;&lt;ref-type name="Journal Article"&gt;17&lt;/ref-type&gt;&lt;contributors&gt;&lt;authors&gt;&lt;author&gt;Duval, Sue&lt;/author&gt;&lt;author&gt;Tweedie, Richard&lt;/author&gt;&lt;/authors&gt;&lt;/contributors&gt;&lt;titles&gt;&lt;title&gt;Trim and fill: a simple funnel‐plot–based method of testing and adjusting for publication bias in meta‐analysis&lt;/title&gt;&lt;secondary-title&gt;Biometrics&lt;/secondary-title&gt;&lt;/titles&gt;&lt;periodical&gt;&lt;full-title&gt;Biometrics&lt;/full-title&gt;&lt;/periodical&gt;&lt;pages&gt;455-463&lt;/pages&gt;&lt;volume&gt;56&lt;/volume&gt;&lt;number&gt;2&lt;/number&gt;&lt;dates&gt;&lt;year&gt;2000&lt;/year&gt;&lt;/dates&gt;&lt;isbn&gt;0006-341X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45B29">
        <w:rPr>
          <w:rFonts w:ascii="Times New Roman" w:hAnsi="Times New Roman" w:cs="Times New Roman"/>
          <w:sz w:val="24"/>
          <w:szCs w:val="24"/>
        </w:rPr>
        <w:t xml:space="preserve"> removes less precise studies which might case any asymmetry (‘trim’), re-estimates the overall effect size, and then replaces removed studies and missing counterparts (‘fill’) required for symmetry. We </w:t>
      </w:r>
      <w:r w:rsidR="00727E79">
        <w:rPr>
          <w:rFonts w:ascii="Times New Roman" w:hAnsi="Times New Roman" w:cs="Times New Roman"/>
          <w:sz w:val="24"/>
          <w:szCs w:val="24"/>
        </w:rPr>
        <w:t>planned to</w:t>
      </w:r>
      <w:r w:rsidRPr="00E45B29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spellStart"/>
      <w:r w:rsidRPr="00E45B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5B29">
        <w:rPr>
          <w:rFonts w:ascii="Times New Roman" w:hAnsi="Times New Roman" w:cs="Times New Roman"/>
          <w:sz w:val="24"/>
          <w:szCs w:val="24"/>
        </w:rPr>
        <w:t>) the number of missing (‘filled’) studies, and ii) the estimate of the effect size following their inclusion.</w:t>
      </w:r>
    </w:p>
    <w:p w14:paraId="6FAA478E" w14:textId="7288187B" w:rsidR="002D765C" w:rsidRDefault="002D765C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0174C" w14:textId="45EC48FB" w:rsidR="002D765C" w:rsidRDefault="002D765C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765C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A309A">
        <w:rPr>
          <w:rFonts w:ascii="Times New Roman" w:hAnsi="Times New Roman" w:cs="Times New Roman"/>
          <w:sz w:val="24"/>
          <w:szCs w:val="24"/>
          <w:u w:val="single"/>
        </w:rPr>
        <w:t>dditional A</w:t>
      </w:r>
      <w:r w:rsidRPr="002D765C">
        <w:rPr>
          <w:rFonts w:ascii="Times New Roman" w:hAnsi="Times New Roman" w:cs="Times New Roman"/>
          <w:sz w:val="24"/>
          <w:szCs w:val="24"/>
          <w:u w:val="single"/>
        </w:rPr>
        <w:t>nalyses</w:t>
      </w:r>
    </w:p>
    <w:p w14:paraId="60204DD5" w14:textId="7CAC08E3" w:rsidR="00CA309A" w:rsidRPr="009D212D" w:rsidRDefault="002D765C" w:rsidP="00CA30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65C">
        <w:rPr>
          <w:rFonts w:ascii="Times New Roman" w:hAnsi="Times New Roman" w:cs="Times New Roman"/>
          <w:i/>
          <w:sz w:val="24"/>
          <w:szCs w:val="24"/>
        </w:rPr>
        <w:t>Primary multi-level model imputation of different within-subjects correlation coefficients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A3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09A" w:rsidRPr="00CA309A">
        <w:rPr>
          <w:rFonts w:ascii="Times New Roman" w:hAnsi="Times New Roman" w:cs="Times New Roman"/>
          <w:sz w:val="24"/>
          <w:szCs w:val="24"/>
        </w:rPr>
        <w:t>I</w:t>
      </w:r>
      <w:r w:rsidR="00CA309A" w:rsidRPr="009D212D">
        <w:rPr>
          <w:rFonts w:ascii="Times New Roman" w:eastAsia="Calibri" w:hAnsi="Times New Roman" w:cs="Times New Roman"/>
          <w:sz w:val="24"/>
          <w:szCs w:val="24"/>
        </w:rPr>
        <w:t>mputation of correlations of r = 0.6 and r = 0.4</w:t>
      </w:r>
      <w:r w:rsidR="00CA309A">
        <w:rPr>
          <w:rFonts w:ascii="Times New Roman" w:eastAsia="Calibri" w:hAnsi="Times New Roman" w:cs="Times New Roman"/>
          <w:sz w:val="24"/>
          <w:szCs w:val="24"/>
        </w:rPr>
        <w:t xml:space="preserve"> (as opposed to 0.8) for the within-subjects correlation for daily energy intake </w:t>
      </w:r>
      <w:r w:rsidR="00CA309A" w:rsidRPr="009D212D">
        <w:rPr>
          <w:rFonts w:ascii="Times New Roman" w:eastAsia="Calibri" w:hAnsi="Times New Roman" w:cs="Times New Roman"/>
          <w:sz w:val="24"/>
          <w:szCs w:val="24"/>
        </w:rPr>
        <w:t xml:space="preserve">reduced the </w:t>
      </w:r>
      <w:r w:rsidR="00CA309A">
        <w:rPr>
          <w:rFonts w:ascii="Times New Roman" w:eastAsia="Calibri" w:hAnsi="Times New Roman" w:cs="Times New Roman"/>
          <w:sz w:val="24"/>
          <w:szCs w:val="24"/>
        </w:rPr>
        <w:t xml:space="preserve">statistical magnitude </w:t>
      </w:r>
      <w:r w:rsidR="00CA309A" w:rsidRPr="009D212D">
        <w:rPr>
          <w:rFonts w:ascii="Times New Roman" w:eastAsia="Calibri" w:hAnsi="Times New Roman" w:cs="Times New Roman"/>
          <w:sz w:val="24"/>
          <w:szCs w:val="24"/>
        </w:rPr>
        <w:t xml:space="preserve">of the effect but not the statistical significance [SMD = -0.744 [95% CI: -0.547 to -0.942] and SMD = -0.621 [95% CI: -0.454 to -0.787], respectively. </w:t>
      </w:r>
    </w:p>
    <w:p w14:paraId="359411CD" w14:textId="61C33710" w:rsidR="002D765C" w:rsidRDefault="002D765C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12C4E" w14:textId="25B40059" w:rsidR="007B65E8" w:rsidRPr="006630DA" w:rsidRDefault="007B65E8" w:rsidP="006630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30DA">
        <w:rPr>
          <w:rFonts w:ascii="Times New Roman" w:hAnsi="Times New Roman" w:cs="Times New Roman"/>
          <w:i/>
          <w:sz w:val="24"/>
          <w:szCs w:val="24"/>
          <w:u w:val="single"/>
        </w:rPr>
        <w:t>Sub-group analyses from primary model (outliers excluded)</w:t>
      </w:r>
    </w:p>
    <w:p w14:paraId="76C4E17A" w14:textId="03E4703E" w:rsidR="007B65E8" w:rsidRPr="006630DA" w:rsidRDefault="007B65E8" w:rsidP="0066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0DA">
        <w:rPr>
          <w:rFonts w:ascii="Times New Roman" w:hAnsi="Times New Roman" w:cs="Times New Roman"/>
          <w:i/>
          <w:sz w:val="24"/>
          <w:szCs w:val="24"/>
        </w:rPr>
        <w:t>Age group</w:t>
      </w:r>
      <w:r w:rsidRPr="006630DA">
        <w:rPr>
          <w:rFonts w:ascii="Times New Roman" w:hAnsi="Times New Roman" w:cs="Times New Roman"/>
          <w:sz w:val="24"/>
          <w:szCs w:val="24"/>
        </w:rPr>
        <w:t xml:space="preserve">: Moderation analysis for adults (57 effect sizes) vs children (5 effect sizes) was not statistically significant (X2(1) = 0.40, p = .526). For adults the SMD = -0.892 [95% CI: -1.039 to -0.746], and for children the SMD = -0.713 [95% CI: -0.521 to -0.905].  </w:t>
      </w:r>
    </w:p>
    <w:p w14:paraId="192448E4" w14:textId="7AF42961" w:rsidR="007B65E8" w:rsidRPr="006630DA" w:rsidRDefault="007B65E8" w:rsidP="00663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0DA">
        <w:rPr>
          <w:rFonts w:ascii="Times New Roman" w:hAnsi="Times New Roman" w:cs="Times New Roman"/>
          <w:i/>
          <w:sz w:val="24"/>
          <w:szCs w:val="24"/>
        </w:rPr>
        <w:t>Sex</w:t>
      </w:r>
      <w:r w:rsidRPr="006630DA">
        <w:rPr>
          <w:rFonts w:ascii="Times New Roman" w:hAnsi="Times New Roman" w:cs="Times New Roman"/>
          <w:sz w:val="24"/>
          <w:szCs w:val="24"/>
        </w:rPr>
        <w:t>: Moderation analyses for males (23 effect sizes) vs females (23 effect sizes) vs mixed samples (16 effect sizes) was not statistically significant (X2(2) = 0.27, p = .875). For males the SMD = -0.979 [95% CI: -0.595 to -1.362], for females the SMD = -0.792 [95% CI: -0.613 to -0.971], and for mixed the SMD = -0.907 [95% CI: -0.713 to -1.001].</w:t>
      </w:r>
    </w:p>
    <w:p w14:paraId="6ADFC599" w14:textId="5BBD37AF" w:rsidR="00AD04DF" w:rsidRPr="006630DA" w:rsidRDefault="00AD04DF" w:rsidP="006630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50E2186" w14:textId="057E2024" w:rsidR="00737916" w:rsidRPr="006630DA" w:rsidRDefault="007B7747" w:rsidP="009B58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30DA">
        <w:rPr>
          <w:rFonts w:ascii="Times New Roman" w:hAnsi="Times New Roman" w:cs="Times New Roman"/>
          <w:i/>
          <w:sz w:val="24"/>
          <w:szCs w:val="24"/>
          <w:u w:val="single"/>
        </w:rPr>
        <w:t>Risk of bias indicators from primary model (outliers excluded)</w:t>
      </w:r>
    </w:p>
    <w:p w14:paraId="69AC628A" w14:textId="12F406C1" w:rsidR="009603B7" w:rsidRPr="006630DA" w:rsidRDefault="009603B7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0DA">
        <w:rPr>
          <w:rFonts w:ascii="Times New Roman" w:hAnsi="Times New Roman" w:cs="Times New Roman"/>
          <w:i/>
          <w:iCs/>
          <w:sz w:val="24"/>
          <w:szCs w:val="24"/>
        </w:rPr>
        <w:t>Random allocation used</w:t>
      </w:r>
      <w:r w:rsidR="006630DA" w:rsidRPr="006630D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630DA">
        <w:rPr>
          <w:rFonts w:ascii="Times New Roman" w:hAnsi="Times New Roman" w:cs="Times New Roman"/>
          <w:sz w:val="24"/>
          <w:szCs w:val="24"/>
        </w:rPr>
        <w:t xml:space="preserve">Moderation analysis of random allocation (20 effect sizes) vs non-random allocation (42 effect sizes) was statistically significant (X2(1) = 4.03, p = .045). For </w:t>
      </w:r>
      <w:r w:rsidR="006630DA">
        <w:rPr>
          <w:rFonts w:ascii="Times New Roman" w:hAnsi="Times New Roman" w:cs="Times New Roman"/>
          <w:sz w:val="24"/>
          <w:szCs w:val="24"/>
        </w:rPr>
        <w:t xml:space="preserve">effects using </w:t>
      </w:r>
      <w:r w:rsidRPr="006630DA">
        <w:rPr>
          <w:rFonts w:ascii="Times New Roman" w:hAnsi="Times New Roman" w:cs="Times New Roman"/>
          <w:sz w:val="24"/>
          <w:szCs w:val="24"/>
        </w:rPr>
        <w:t xml:space="preserve">random allocation the SMD = -0.676 [95% CI: -0.549 to -0.805], for non-random allocation the SMD = -0.983 [95% CI: -0.805 to -1.162]. </w:t>
      </w:r>
    </w:p>
    <w:p w14:paraId="42E1761E" w14:textId="7D81B5F4" w:rsidR="009603B7" w:rsidRPr="006630DA" w:rsidRDefault="009603B7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0DA">
        <w:rPr>
          <w:rFonts w:ascii="Times New Roman" w:hAnsi="Times New Roman" w:cs="Times New Roman"/>
          <w:i/>
          <w:iCs/>
          <w:sz w:val="24"/>
          <w:szCs w:val="24"/>
        </w:rPr>
        <w:t>Energy intake measure</w:t>
      </w:r>
      <w:r w:rsidR="006630DA" w:rsidRPr="006630D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630DA">
        <w:rPr>
          <w:rFonts w:ascii="Times New Roman" w:hAnsi="Times New Roman" w:cs="Times New Roman"/>
          <w:sz w:val="24"/>
          <w:szCs w:val="24"/>
        </w:rPr>
        <w:t>Moderation analysis of objective</w:t>
      </w:r>
      <w:r w:rsidR="006630DA">
        <w:rPr>
          <w:rFonts w:ascii="Times New Roman" w:hAnsi="Times New Roman" w:cs="Times New Roman"/>
          <w:sz w:val="24"/>
          <w:szCs w:val="24"/>
        </w:rPr>
        <w:t xml:space="preserve"> researcher measured</w:t>
      </w:r>
      <w:r w:rsidRPr="006630DA">
        <w:rPr>
          <w:rFonts w:ascii="Times New Roman" w:hAnsi="Times New Roman" w:cs="Times New Roman"/>
          <w:sz w:val="24"/>
          <w:szCs w:val="24"/>
        </w:rPr>
        <w:t xml:space="preserve"> (37 effect sizes) vs self-report </w:t>
      </w:r>
      <w:r w:rsidR="006630DA">
        <w:rPr>
          <w:rFonts w:ascii="Times New Roman" w:hAnsi="Times New Roman" w:cs="Times New Roman"/>
          <w:sz w:val="24"/>
          <w:szCs w:val="24"/>
        </w:rPr>
        <w:t xml:space="preserve">based measures of </w:t>
      </w:r>
      <w:r w:rsidRPr="006630DA">
        <w:rPr>
          <w:rFonts w:ascii="Times New Roman" w:hAnsi="Times New Roman" w:cs="Times New Roman"/>
          <w:sz w:val="24"/>
          <w:szCs w:val="24"/>
        </w:rPr>
        <w:t>energy intake (25 effect sizes)</w:t>
      </w:r>
      <w:r w:rsidR="002C3DAF">
        <w:rPr>
          <w:rFonts w:ascii="Times New Roman" w:hAnsi="Times New Roman" w:cs="Times New Roman"/>
          <w:sz w:val="24"/>
          <w:szCs w:val="24"/>
        </w:rPr>
        <w:t xml:space="preserve"> </w:t>
      </w:r>
      <w:r w:rsidRPr="006630DA">
        <w:rPr>
          <w:rFonts w:ascii="Times New Roman" w:hAnsi="Times New Roman" w:cs="Times New Roman"/>
          <w:sz w:val="24"/>
          <w:szCs w:val="24"/>
        </w:rPr>
        <w:t>was not significant (X2(1) = 1.40, p = .237). For objective</w:t>
      </w:r>
      <w:r w:rsidR="006630DA">
        <w:rPr>
          <w:rFonts w:ascii="Times New Roman" w:hAnsi="Times New Roman" w:cs="Times New Roman"/>
          <w:sz w:val="24"/>
          <w:szCs w:val="24"/>
        </w:rPr>
        <w:t xml:space="preserve"> researcher</w:t>
      </w:r>
      <w:r w:rsidRPr="006630DA">
        <w:rPr>
          <w:rFonts w:ascii="Times New Roman" w:hAnsi="Times New Roman" w:cs="Times New Roman"/>
          <w:sz w:val="24"/>
          <w:szCs w:val="24"/>
        </w:rPr>
        <w:t xml:space="preserve"> measurement the SMD = -0.956 [95% CI: -0.763 to -1.150], for self-report measurement the SMD = -0.792 [95% CI: -0.603 to -0.981].</w:t>
      </w:r>
    </w:p>
    <w:p w14:paraId="179AE41B" w14:textId="3323EFC5" w:rsidR="009603B7" w:rsidRPr="006630DA" w:rsidRDefault="009603B7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0DA">
        <w:rPr>
          <w:rFonts w:ascii="Times New Roman" w:hAnsi="Times New Roman" w:cs="Times New Roman"/>
          <w:i/>
          <w:iCs/>
          <w:sz w:val="24"/>
          <w:szCs w:val="24"/>
        </w:rPr>
        <w:t>Demand characteristics</w:t>
      </w:r>
      <w:r w:rsidR="006630DA" w:rsidRPr="006630D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630DA">
        <w:rPr>
          <w:rFonts w:ascii="Times New Roman" w:hAnsi="Times New Roman" w:cs="Times New Roman"/>
          <w:sz w:val="24"/>
          <w:szCs w:val="24"/>
        </w:rPr>
        <w:t>Moderation analysis of effects in which demand characteristics were addressed (42 effect sizes) vs not addressed (20 effect sizes) was not significant (X2(1) &lt; 0.01, p &lt; .931). For demand characteristics addressed the SMD = -0.869 [95% CI: -0.705 to -1.033], if demand characteristics were not addressed the effect size was SMD = -0.879 [95% CI: -0.656 to -1.102].</w:t>
      </w:r>
    </w:p>
    <w:p w14:paraId="1D7D4B8B" w14:textId="6C361E28" w:rsidR="009603B7" w:rsidRPr="006630DA" w:rsidRDefault="009603B7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0DA">
        <w:rPr>
          <w:rFonts w:ascii="Times New Roman" w:hAnsi="Times New Roman" w:cs="Times New Roman"/>
          <w:i/>
          <w:iCs/>
          <w:sz w:val="24"/>
          <w:szCs w:val="24"/>
        </w:rPr>
        <w:t>Conflict</w:t>
      </w:r>
      <w:r w:rsidR="006630DA" w:rsidRPr="006630D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630DA">
        <w:rPr>
          <w:rFonts w:ascii="Times New Roman" w:hAnsi="Times New Roman" w:cs="Times New Roman"/>
          <w:i/>
          <w:iCs/>
          <w:sz w:val="24"/>
          <w:szCs w:val="24"/>
        </w:rPr>
        <w:t xml:space="preserve"> of interest</w:t>
      </w:r>
      <w:r w:rsidR="006630DA" w:rsidRPr="006630D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630DA" w:rsidRPr="006630DA">
        <w:rPr>
          <w:rFonts w:ascii="Times New Roman" w:hAnsi="Times New Roman" w:cs="Times New Roman"/>
          <w:iCs/>
          <w:sz w:val="24"/>
          <w:szCs w:val="24"/>
        </w:rPr>
        <w:t>M</w:t>
      </w:r>
      <w:r w:rsidRPr="006630DA">
        <w:rPr>
          <w:rFonts w:ascii="Times New Roman" w:hAnsi="Times New Roman" w:cs="Times New Roman"/>
          <w:sz w:val="24"/>
          <w:szCs w:val="24"/>
        </w:rPr>
        <w:t>oderation analyses of effects in which conflict</w:t>
      </w:r>
      <w:r w:rsidR="006630DA">
        <w:rPr>
          <w:rFonts w:ascii="Times New Roman" w:hAnsi="Times New Roman" w:cs="Times New Roman"/>
          <w:sz w:val="24"/>
          <w:szCs w:val="24"/>
        </w:rPr>
        <w:t>s</w:t>
      </w:r>
      <w:r w:rsidRPr="006630DA">
        <w:rPr>
          <w:rFonts w:ascii="Times New Roman" w:hAnsi="Times New Roman" w:cs="Times New Roman"/>
          <w:sz w:val="24"/>
          <w:szCs w:val="24"/>
        </w:rPr>
        <w:t xml:space="preserve"> of interest (21 effect sizes) w</w:t>
      </w:r>
      <w:r w:rsidR="006630DA">
        <w:rPr>
          <w:rFonts w:ascii="Times New Roman" w:hAnsi="Times New Roman" w:cs="Times New Roman"/>
          <w:sz w:val="24"/>
          <w:szCs w:val="24"/>
        </w:rPr>
        <w:t>ere</w:t>
      </w:r>
      <w:r w:rsidRPr="006630DA">
        <w:rPr>
          <w:rFonts w:ascii="Times New Roman" w:hAnsi="Times New Roman" w:cs="Times New Roman"/>
          <w:sz w:val="24"/>
          <w:szCs w:val="24"/>
        </w:rPr>
        <w:t xml:space="preserve"> report</w:t>
      </w:r>
      <w:r w:rsidR="006630DA">
        <w:rPr>
          <w:rFonts w:ascii="Times New Roman" w:hAnsi="Times New Roman" w:cs="Times New Roman"/>
          <w:sz w:val="24"/>
          <w:szCs w:val="24"/>
        </w:rPr>
        <w:t>ed on and absent</w:t>
      </w:r>
      <w:r w:rsidRPr="006630DA">
        <w:rPr>
          <w:rFonts w:ascii="Times New Roman" w:hAnsi="Times New Roman" w:cs="Times New Roman"/>
          <w:sz w:val="24"/>
          <w:szCs w:val="24"/>
        </w:rPr>
        <w:t xml:space="preserve"> vs not reported</w:t>
      </w:r>
      <w:r w:rsidR="006630DA">
        <w:rPr>
          <w:rFonts w:ascii="Times New Roman" w:hAnsi="Times New Roman" w:cs="Times New Roman"/>
          <w:sz w:val="24"/>
          <w:szCs w:val="24"/>
        </w:rPr>
        <w:t xml:space="preserve"> or relevant interests declared</w:t>
      </w:r>
      <w:r w:rsidRPr="006630DA">
        <w:rPr>
          <w:rFonts w:ascii="Times New Roman" w:hAnsi="Times New Roman" w:cs="Times New Roman"/>
          <w:sz w:val="24"/>
          <w:szCs w:val="24"/>
        </w:rPr>
        <w:t xml:space="preserve"> (41 effect sizes) was not significant (X2(1) = 1.60, p = .205). If conflict of interests were reported </w:t>
      </w:r>
      <w:r w:rsidR="006630DA">
        <w:rPr>
          <w:rFonts w:ascii="Times New Roman" w:hAnsi="Times New Roman" w:cs="Times New Roman"/>
          <w:sz w:val="24"/>
          <w:szCs w:val="24"/>
        </w:rPr>
        <w:t>on and absent the</w:t>
      </w:r>
      <w:r w:rsidRPr="006630DA">
        <w:rPr>
          <w:rFonts w:ascii="Times New Roman" w:hAnsi="Times New Roman" w:cs="Times New Roman"/>
          <w:sz w:val="24"/>
          <w:szCs w:val="24"/>
        </w:rPr>
        <w:t xml:space="preserve"> SMD = -0.779 [95% CI: -0.619 to -0.939], if conflicts of interests were not reported</w:t>
      </w:r>
      <w:r w:rsidR="006630DA">
        <w:rPr>
          <w:rFonts w:ascii="Times New Roman" w:hAnsi="Times New Roman" w:cs="Times New Roman"/>
          <w:sz w:val="24"/>
          <w:szCs w:val="24"/>
        </w:rPr>
        <w:t xml:space="preserve"> (or a relevant interest declared)</w:t>
      </w:r>
      <w:r w:rsidRPr="006630DA">
        <w:rPr>
          <w:rFonts w:ascii="Times New Roman" w:hAnsi="Times New Roman" w:cs="Times New Roman"/>
          <w:sz w:val="24"/>
          <w:szCs w:val="24"/>
        </w:rPr>
        <w:t xml:space="preserve"> the SMD = -0.959 [95% CI: -0.758 to -1.160].</w:t>
      </w:r>
    </w:p>
    <w:p w14:paraId="75114054" w14:textId="6B77077A" w:rsidR="00737916" w:rsidRPr="006630DA" w:rsidRDefault="00737916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66CDC1" w14:textId="18C8A419" w:rsidR="00D00E90" w:rsidRDefault="00D00E90" w:rsidP="009B58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630DA">
        <w:rPr>
          <w:rFonts w:ascii="Times New Roman" w:eastAsia="Calibri" w:hAnsi="Times New Roman" w:cs="Times New Roman"/>
          <w:i/>
          <w:sz w:val="24"/>
          <w:szCs w:val="24"/>
          <w:u w:val="single"/>
        </w:rPr>
        <w:t>Analyses limited to studies manipulating energy density of all foods/meals</w:t>
      </w:r>
    </w:p>
    <w:p w14:paraId="4480164E" w14:textId="09B28C4A" w:rsidR="00D00E90" w:rsidRDefault="00D00E90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5F">
        <w:rPr>
          <w:rFonts w:ascii="Times New Roman" w:hAnsi="Times New Roman" w:cs="Times New Roman"/>
          <w:i/>
          <w:iCs/>
          <w:sz w:val="24"/>
          <w:szCs w:val="24"/>
        </w:rPr>
        <w:t>Kcal</w:t>
      </w:r>
      <w:r w:rsidR="00252AF4">
        <w:rPr>
          <w:rFonts w:ascii="Times New Roman" w:hAnsi="Times New Roman" w:cs="Times New Roman"/>
          <w:i/>
          <w:iCs/>
          <w:sz w:val="24"/>
          <w:szCs w:val="24"/>
        </w:rPr>
        <w:t>/g</w:t>
      </w:r>
      <w:r w:rsidRPr="009B585F">
        <w:rPr>
          <w:rFonts w:ascii="Times New Roman" w:hAnsi="Times New Roman" w:cs="Times New Roman"/>
          <w:i/>
          <w:iCs/>
          <w:sz w:val="24"/>
          <w:szCs w:val="24"/>
        </w:rPr>
        <w:t xml:space="preserve"> for higher ED meals</w:t>
      </w:r>
      <w:r w:rsidR="009B585F">
        <w:rPr>
          <w:rFonts w:ascii="Times New Roman" w:hAnsi="Times New Roman" w:cs="Times New Roman"/>
          <w:i/>
          <w:iCs/>
          <w:sz w:val="24"/>
          <w:szCs w:val="24"/>
        </w:rPr>
        <w:t xml:space="preserve"> (meta-regression): </w:t>
      </w:r>
      <w:r w:rsidRPr="009B585F">
        <w:rPr>
          <w:rFonts w:ascii="Times New Roman" w:hAnsi="Times New Roman" w:cs="Times New Roman"/>
          <w:sz w:val="24"/>
          <w:szCs w:val="24"/>
        </w:rPr>
        <w:t>No significant association</w:t>
      </w:r>
      <w:r w:rsidR="009B585F">
        <w:rPr>
          <w:rFonts w:ascii="Times New Roman" w:hAnsi="Times New Roman" w:cs="Times New Roman"/>
          <w:sz w:val="24"/>
          <w:szCs w:val="24"/>
        </w:rPr>
        <w:t xml:space="preserve"> with effect of energy density on daily energy intake</w:t>
      </w:r>
      <w:r w:rsidRPr="009B585F">
        <w:rPr>
          <w:rFonts w:ascii="Times New Roman" w:hAnsi="Times New Roman" w:cs="Times New Roman"/>
          <w:sz w:val="24"/>
          <w:szCs w:val="24"/>
        </w:rPr>
        <w:t xml:space="preserve"> (p = .984). Without outliers (p = .257)</w:t>
      </w:r>
      <w:r w:rsidR="009B585F">
        <w:rPr>
          <w:rFonts w:ascii="Times New Roman" w:hAnsi="Times New Roman" w:cs="Times New Roman"/>
          <w:sz w:val="24"/>
          <w:szCs w:val="24"/>
        </w:rPr>
        <w:t xml:space="preserve"> results remined the same.</w:t>
      </w:r>
    </w:p>
    <w:p w14:paraId="4C8FBA93" w14:textId="28511FC4" w:rsidR="00D00E90" w:rsidRPr="009B585F" w:rsidRDefault="00D00E90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5F">
        <w:rPr>
          <w:rFonts w:ascii="Times New Roman" w:hAnsi="Times New Roman" w:cs="Times New Roman"/>
          <w:i/>
          <w:sz w:val="24"/>
          <w:szCs w:val="24"/>
        </w:rPr>
        <w:t xml:space="preserve">1.75 </w:t>
      </w:r>
      <w:r w:rsidR="00D40172">
        <w:rPr>
          <w:rFonts w:ascii="Times New Roman" w:hAnsi="Times New Roman" w:cs="Times New Roman"/>
          <w:i/>
          <w:sz w:val="24"/>
          <w:szCs w:val="24"/>
        </w:rPr>
        <w:t>k</w:t>
      </w:r>
      <w:r w:rsidRPr="009B585F">
        <w:rPr>
          <w:rFonts w:ascii="Times New Roman" w:hAnsi="Times New Roman" w:cs="Times New Roman"/>
          <w:i/>
          <w:sz w:val="24"/>
          <w:szCs w:val="24"/>
        </w:rPr>
        <w:t>cal/g</w:t>
      </w:r>
      <w:r w:rsidR="009B585F" w:rsidRPr="009B585F">
        <w:rPr>
          <w:rFonts w:ascii="Times New Roman" w:hAnsi="Times New Roman" w:cs="Times New Roman"/>
          <w:i/>
          <w:sz w:val="24"/>
          <w:szCs w:val="24"/>
        </w:rPr>
        <w:t xml:space="preserve"> sub-group analysis</w:t>
      </w:r>
      <w:r w:rsidR="009B585F">
        <w:rPr>
          <w:rFonts w:ascii="Times New Roman" w:hAnsi="Times New Roman" w:cs="Times New Roman"/>
          <w:sz w:val="24"/>
          <w:szCs w:val="24"/>
        </w:rPr>
        <w:t xml:space="preserve">: </w:t>
      </w:r>
      <w:r w:rsidRPr="009B585F">
        <w:rPr>
          <w:rFonts w:ascii="Times New Roman" w:hAnsi="Times New Roman" w:cs="Times New Roman"/>
          <w:sz w:val="24"/>
          <w:szCs w:val="24"/>
        </w:rPr>
        <w:t>Moderat</w:t>
      </w:r>
      <w:r w:rsidR="009B585F">
        <w:rPr>
          <w:rFonts w:ascii="Times New Roman" w:hAnsi="Times New Roman" w:cs="Times New Roman"/>
          <w:sz w:val="24"/>
          <w:szCs w:val="24"/>
        </w:rPr>
        <w:t>ion</w:t>
      </w:r>
      <w:r w:rsidRPr="009B585F">
        <w:rPr>
          <w:rFonts w:ascii="Times New Roman" w:hAnsi="Times New Roman" w:cs="Times New Roman"/>
          <w:sz w:val="24"/>
          <w:szCs w:val="24"/>
        </w:rPr>
        <w:t xml:space="preserve"> was not significant (p = .993). Without outliers (p = .454)</w:t>
      </w:r>
      <w:r w:rsidR="009B585F">
        <w:rPr>
          <w:rFonts w:ascii="Times New Roman" w:hAnsi="Times New Roman" w:cs="Times New Roman"/>
          <w:sz w:val="24"/>
          <w:szCs w:val="24"/>
        </w:rPr>
        <w:t xml:space="preserve"> results remained the same. </w:t>
      </w:r>
    </w:p>
    <w:p w14:paraId="4BEDB9A4" w14:textId="08FB9813" w:rsidR="00D00E90" w:rsidRPr="009B585F" w:rsidRDefault="00D00E90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85F">
        <w:rPr>
          <w:rFonts w:ascii="Times New Roman" w:hAnsi="Times New Roman" w:cs="Times New Roman"/>
          <w:i/>
          <w:sz w:val="24"/>
          <w:szCs w:val="24"/>
        </w:rPr>
        <w:t>Number of days energy intake measured</w:t>
      </w:r>
      <w:r w:rsidR="009B585F">
        <w:rPr>
          <w:rFonts w:ascii="Times New Roman" w:hAnsi="Times New Roman" w:cs="Times New Roman"/>
          <w:i/>
          <w:sz w:val="24"/>
          <w:szCs w:val="24"/>
        </w:rPr>
        <w:t xml:space="preserve"> (meta-regression):</w:t>
      </w:r>
      <w:r w:rsidRPr="009B585F">
        <w:rPr>
          <w:rFonts w:ascii="Times New Roman" w:hAnsi="Times New Roman" w:cs="Times New Roman"/>
          <w:sz w:val="24"/>
          <w:szCs w:val="24"/>
        </w:rPr>
        <w:tab/>
        <w:t>No significant association</w:t>
      </w:r>
      <w:r w:rsidR="009B585F">
        <w:rPr>
          <w:rFonts w:ascii="Times New Roman" w:hAnsi="Times New Roman" w:cs="Times New Roman"/>
          <w:sz w:val="24"/>
          <w:szCs w:val="24"/>
        </w:rPr>
        <w:t xml:space="preserve"> with effect of energy density on daily energy intake </w:t>
      </w:r>
      <w:r w:rsidRPr="009B585F">
        <w:rPr>
          <w:rFonts w:ascii="Times New Roman" w:hAnsi="Times New Roman" w:cs="Times New Roman"/>
          <w:sz w:val="24"/>
          <w:szCs w:val="24"/>
        </w:rPr>
        <w:t>(p = .779)</w:t>
      </w:r>
      <w:r w:rsidR="009B585F">
        <w:rPr>
          <w:rFonts w:ascii="Times New Roman" w:hAnsi="Times New Roman" w:cs="Times New Roman"/>
          <w:sz w:val="24"/>
          <w:szCs w:val="24"/>
        </w:rPr>
        <w:t xml:space="preserve"> and resulted remained the same w</w:t>
      </w:r>
      <w:r w:rsidRPr="009B585F">
        <w:rPr>
          <w:rFonts w:ascii="Times New Roman" w:hAnsi="Times New Roman" w:cs="Times New Roman"/>
          <w:sz w:val="24"/>
          <w:szCs w:val="24"/>
        </w:rPr>
        <w:t>ithout outliers (p = .733).</w:t>
      </w:r>
    </w:p>
    <w:p w14:paraId="79F7AFD3" w14:textId="77777777" w:rsidR="00D00E90" w:rsidRDefault="00D00E90" w:rsidP="009B585F">
      <w:pPr>
        <w:spacing w:after="0" w:line="240" w:lineRule="auto"/>
        <w:rPr>
          <w:rFonts w:ascii="Times New Roman" w:hAnsi="Times New Roman" w:cs="Times New Roman"/>
        </w:rPr>
      </w:pPr>
    </w:p>
    <w:p w14:paraId="04B307DE" w14:textId="74EC5C28" w:rsidR="00D00E90" w:rsidRPr="009B585F" w:rsidRDefault="00D00E90" w:rsidP="009B58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B585F">
        <w:rPr>
          <w:rFonts w:ascii="Times New Roman" w:eastAsia="Calibri" w:hAnsi="Times New Roman" w:cs="Times New Roman"/>
          <w:i/>
          <w:sz w:val="24"/>
          <w:szCs w:val="24"/>
          <w:u w:val="single"/>
        </w:rPr>
        <w:t>Analyses limited to studies not manipulating energy density of all foods/meals</w:t>
      </w:r>
    </w:p>
    <w:p w14:paraId="7DB0BF77" w14:textId="53C15DE2" w:rsidR="00D00E90" w:rsidRPr="00D00E90" w:rsidRDefault="00D00E90" w:rsidP="009B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172">
        <w:rPr>
          <w:rFonts w:ascii="Times New Roman" w:hAnsi="Times New Roman" w:cs="Times New Roman"/>
          <w:i/>
          <w:sz w:val="24"/>
          <w:szCs w:val="24"/>
        </w:rPr>
        <w:t>Number of days energy intake measured</w:t>
      </w:r>
      <w:r w:rsidR="00D40172" w:rsidRPr="00D40172">
        <w:rPr>
          <w:rFonts w:ascii="Times New Roman" w:hAnsi="Times New Roman" w:cs="Times New Roman"/>
          <w:i/>
          <w:sz w:val="24"/>
          <w:szCs w:val="24"/>
        </w:rPr>
        <w:t xml:space="preserve"> (meta-regression)</w:t>
      </w:r>
      <w:r w:rsidR="00D40172">
        <w:rPr>
          <w:rFonts w:ascii="Times New Roman" w:hAnsi="Times New Roman" w:cs="Times New Roman"/>
          <w:sz w:val="24"/>
          <w:szCs w:val="24"/>
        </w:rPr>
        <w:t xml:space="preserve">: </w:t>
      </w:r>
      <w:r w:rsidRPr="00D00E90">
        <w:rPr>
          <w:rFonts w:ascii="Times New Roman" w:hAnsi="Times New Roman" w:cs="Times New Roman"/>
          <w:sz w:val="24"/>
          <w:szCs w:val="24"/>
        </w:rPr>
        <w:t>No significant association with outliers included (p = .776), or excluded (p = .568).</w:t>
      </w:r>
    </w:p>
    <w:p w14:paraId="3765126F" w14:textId="4244FC36" w:rsidR="00D40172" w:rsidRPr="00D40172" w:rsidRDefault="00D40172" w:rsidP="00D4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F4">
        <w:rPr>
          <w:rFonts w:ascii="Times New Roman" w:hAnsi="Times New Roman" w:cs="Times New Roman"/>
          <w:i/>
          <w:sz w:val="24"/>
          <w:szCs w:val="24"/>
        </w:rPr>
        <w:t>1.75 Kcal/g sub-group analysis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0172">
        <w:rPr>
          <w:rFonts w:ascii="Times New Roman" w:hAnsi="Times New Roman" w:cs="Times New Roman"/>
          <w:sz w:val="24"/>
          <w:szCs w:val="24"/>
        </w:rPr>
        <w:t>Moderat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D40172">
        <w:rPr>
          <w:rFonts w:ascii="Times New Roman" w:hAnsi="Times New Roman" w:cs="Times New Roman"/>
          <w:sz w:val="24"/>
          <w:szCs w:val="24"/>
        </w:rPr>
        <w:t xml:space="preserve"> was not significant with outliers included (p = .557), or excluded (p = .267)</w:t>
      </w:r>
      <w:r w:rsidR="00252AF4">
        <w:rPr>
          <w:rFonts w:ascii="Times New Roman" w:hAnsi="Times New Roman" w:cs="Times New Roman"/>
          <w:sz w:val="24"/>
          <w:szCs w:val="24"/>
        </w:rPr>
        <w:t>.</w:t>
      </w:r>
    </w:p>
    <w:p w14:paraId="4C147069" w14:textId="11BF8105" w:rsidR="009603B7" w:rsidRPr="00D00E90" w:rsidRDefault="00D40172" w:rsidP="00D40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F4">
        <w:rPr>
          <w:rFonts w:ascii="Times New Roman" w:hAnsi="Times New Roman" w:cs="Times New Roman"/>
          <w:i/>
          <w:sz w:val="24"/>
          <w:szCs w:val="24"/>
        </w:rPr>
        <w:t>Kcal/g for higher ED meals</w:t>
      </w:r>
      <w:r w:rsidR="00252AF4" w:rsidRPr="00252AF4">
        <w:rPr>
          <w:rFonts w:ascii="Times New Roman" w:hAnsi="Times New Roman" w:cs="Times New Roman"/>
          <w:i/>
          <w:sz w:val="24"/>
          <w:szCs w:val="24"/>
        </w:rPr>
        <w:t xml:space="preserve"> (meta-regression):</w:t>
      </w:r>
      <w:r w:rsidR="00252AF4">
        <w:rPr>
          <w:rFonts w:ascii="Times New Roman" w:hAnsi="Times New Roman" w:cs="Times New Roman"/>
          <w:sz w:val="24"/>
          <w:szCs w:val="24"/>
        </w:rPr>
        <w:t xml:space="preserve"> </w:t>
      </w:r>
      <w:r w:rsidRPr="00D40172">
        <w:rPr>
          <w:rFonts w:ascii="Times New Roman" w:hAnsi="Times New Roman" w:cs="Times New Roman"/>
          <w:sz w:val="24"/>
          <w:szCs w:val="24"/>
        </w:rPr>
        <w:t xml:space="preserve">There was a significant association between Kcal/g for the higher meal and the reduction in kcals between conditions (b = -128.02 [95% CI: -22.53 to -233.50], Z = 2.38, p = .017). </w:t>
      </w:r>
      <w:r w:rsidR="00252AF4">
        <w:rPr>
          <w:rFonts w:ascii="Times New Roman" w:hAnsi="Times New Roman" w:cs="Times New Roman"/>
          <w:sz w:val="24"/>
          <w:szCs w:val="24"/>
        </w:rPr>
        <w:t>However, w</w:t>
      </w:r>
      <w:r w:rsidRPr="00D40172">
        <w:rPr>
          <w:rFonts w:ascii="Times New Roman" w:hAnsi="Times New Roman" w:cs="Times New Roman"/>
          <w:sz w:val="24"/>
          <w:szCs w:val="24"/>
        </w:rPr>
        <w:t>hen outliers were removed, the association was</w:t>
      </w:r>
      <w:r w:rsidR="00252AF4">
        <w:rPr>
          <w:rFonts w:ascii="Times New Roman" w:hAnsi="Times New Roman" w:cs="Times New Roman"/>
          <w:sz w:val="24"/>
          <w:szCs w:val="24"/>
        </w:rPr>
        <w:t xml:space="preserve"> substantially smaller and</w:t>
      </w:r>
      <w:r w:rsidRPr="00D40172">
        <w:rPr>
          <w:rFonts w:ascii="Times New Roman" w:hAnsi="Times New Roman" w:cs="Times New Roman"/>
          <w:sz w:val="24"/>
          <w:szCs w:val="24"/>
        </w:rPr>
        <w:t xml:space="preserve"> no longer significant (b – 54.03 [95% CI: -109.42 to 1.37], Z = 1.91, p = .056).</w:t>
      </w:r>
    </w:p>
    <w:p w14:paraId="17712F12" w14:textId="2BD979E3" w:rsidR="009603B7" w:rsidRDefault="009603B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D6E7EA" w14:textId="05DB52C5" w:rsidR="00CD7C60" w:rsidRPr="00CD7C60" w:rsidRDefault="00CD7C60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C60">
        <w:rPr>
          <w:rFonts w:ascii="Times New Roman" w:hAnsi="Times New Roman" w:cs="Times New Roman"/>
          <w:i/>
          <w:sz w:val="24"/>
          <w:szCs w:val="24"/>
        </w:rPr>
        <w:t>Difference in total kcals served and daily energy intake</w:t>
      </w:r>
      <w:r w:rsidRPr="00CD7C60">
        <w:rPr>
          <w:rFonts w:ascii="Times New Roman" w:hAnsi="Times New Roman" w:cs="Times New Roman"/>
          <w:sz w:val="24"/>
          <w:szCs w:val="24"/>
        </w:rPr>
        <w:t>. Among studies that did not manipulate energy density of all foods/meals, there was a significant association between differences in kcals served between energy density conditions and difference in daily energy intake (b = -0.774 [95% CI: -0.644 to -0.905], Z = 11.64, p &lt; .001)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7C60">
        <w:rPr>
          <w:rFonts w:ascii="Times New Roman" w:hAnsi="Times New Roman" w:cs="Times New Roman"/>
          <w:sz w:val="24"/>
          <w:szCs w:val="24"/>
        </w:rPr>
        <w:t>If outliers were excluded the association was still significant (b = -.257 [95% CI: -0.095 to -0.418], Z = 3.11, p = .002).</w:t>
      </w:r>
    </w:p>
    <w:p w14:paraId="148BB57B" w14:textId="445F42AA" w:rsidR="00CD7C60" w:rsidRDefault="00CD7C60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6E572" w14:textId="719EB484" w:rsidR="002211B7" w:rsidRPr="00AC2EA3" w:rsidRDefault="00AC2EA3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Effect of compulsory vs. no compulsory eating. </w:t>
      </w:r>
      <w:r w:rsidR="00176F6C">
        <w:rPr>
          <w:rFonts w:ascii="Times New Roman" w:hAnsi="Times New Roman" w:cs="Times New Roman"/>
          <w:sz w:val="24"/>
          <w:szCs w:val="24"/>
        </w:rPr>
        <w:t>No significant moderation effect of compulsory vs no compulsory eating (X</w:t>
      </w:r>
      <w:r w:rsidR="00176F6C" w:rsidRPr="00176F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6F6C">
        <w:rPr>
          <w:rFonts w:ascii="Times New Roman" w:hAnsi="Times New Roman" w:cs="Times New Roman"/>
          <w:sz w:val="24"/>
          <w:szCs w:val="24"/>
        </w:rPr>
        <w:t>(1) = 0.182, p = .670)</w:t>
      </w:r>
      <w:r w:rsidR="004C154E">
        <w:rPr>
          <w:rFonts w:ascii="Times New Roman" w:hAnsi="Times New Roman" w:cs="Times New Roman"/>
          <w:sz w:val="24"/>
          <w:szCs w:val="24"/>
        </w:rPr>
        <w:t>.</w:t>
      </w:r>
      <w:r w:rsidR="00176F6C">
        <w:rPr>
          <w:rFonts w:ascii="Times New Roman" w:hAnsi="Times New Roman" w:cs="Times New Roman"/>
          <w:sz w:val="24"/>
          <w:szCs w:val="24"/>
        </w:rPr>
        <w:t xml:space="preserve"> If outliers were excluded the association remained non-significant (X</w:t>
      </w:r>
      <w:r w:rsidR="00176F6C" w:rsidRPr="00176F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6F6C">
        <w:rPr>
          <w:rFonts w:ascii="Times New Roman" w:hAnsi="Times New Roman" w:cs="Times New Roman"/>
          <w:sz w:val="24"/>
          <w:szCs w:val="24"/>
        </w:rPr>
        <w:t>(1) = 0.004, p = .948)</w:t>
      </w:r>
    </w:p>
    <w:p w14:paraId="0AA6A45E" w14:textId="77777777" w:rsidR="002211B7" w:rsidRDefault="002211B7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D93D2" w14:textId="3E84CBB2" w:rsidR="002211B7" w:rsidRDefault="002211B7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7874030" w14:textId="6AB620B7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11FDEB" w14:textId="154720BA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BF38D0" w14:textId="16F37B13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C556E1" w14:textId="4EA2BA72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D796E8" w14:textId="10C526EA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72904F" w14:textId="24171479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791D7B" w14:textId="556CC203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85BCE1F" w14:textId="04FF5DB9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BB293E" w14:textId="4E2A21B7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5C3C6D" w14:textId="0A86FE5D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D8E450" w14:textId="56BBC98C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2FDCB1" w14:textId="30327487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AD2D32" w14:textId="00AB9BF4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28A8960" w14:textId="27C50863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DF7B1B" w14:textId="34829D0A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CF677F" w14:textId="5CC224F6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10E98E" w14:textId="66DCAD8C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AFAC035" w14:textId="40AC7DC2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4614069" w14:textId="11F0DA2F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FEEEEFA" w14:textId="6C52C59C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73D4E1" w14:textId="7CBA8218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1DC211" w14:textId="02AAB6A9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2E1283" w14:textId="04891060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945E2C2" w14:textId="2918E294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AB900C9" w14:textId="666001A0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2B3277" w14:textId="703BC2D0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D9F9F" w14:textId="02D16C8F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73E5C9A" w14:textId="6E7351B1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911EAA9" w14:textId="1F643CDF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3800AEE" w14:textId="42303716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EBE0CAD" w14:textId="6BF91FD6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F475086" w14:textId="7DE90136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E08154" w14:textId="35CE7884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F22350" w14:textId="00419938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F9FB50F" w14:textId="5CF1F7BC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B9D61E" w14:textId="7958092C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64D9BD" w14:textId="77777777" w:rsidR="004C154E" w:rsidRDefault="004C15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123F36F" w14:textId="77777777" w:rsidR="002211B7" w:rsidRDefault="002211B7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8D5E4F" w14:textId="5C9CA99E" w:rsidR="009D574E" w:rsidRDefault="009D57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74E">
        <w:rPr>
          <w:rFonts w:ascii="Times New Roman" w:hAnsi="Times New Roman" w:cs="Times New Roman"/>
          <w:sz w:val="24"/>
          <w:szCs w:val="24"/>
          <w:u w:val="single"/>
        </w:rPr>
        <w:lastRenderedPageBreak/>
        <w:t>Funnel Plots</w:t>
      </w:r>
    </w:p>
    <w:p w14:paraId="5C406D3B" w14:textId="77777777" w:rsidR="009D574E" w:rsidRDefault="009D574E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14E1C5" w14:textId="7E9C3E90" w:rsidR="009D574E" w:rsidRPr="009D574E" w:rsidRDefault="009D574E" w:rsidP="00CD7C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574E">
        <w:rPr>
          <w:rFonts w:ascii="Times New Roman" w:hAnsi="Times New Roman" w:cs="Times New Roman"/>
          <w:i/>
          <w:sz w:val="24"/>
          <w:szCs w:val="24"/>
        </w:rPr>
        <w:t xml:space="preserve">Figure S1. Funnel plot of all </w:t>
      </w:r>
      <w:r>
        <w:rPr>
          <w:rFonts w:ascii="Times New Roman" w:hAnsi="Times New Roman" w:cs="Times New Roman"/>
          <w:i/>
          <w:sz w:val="24"/>
          <w:szCs w:val="24"/>
        </w:rPr>
        <w:t xml:space="preserve">effects from </w:t>
      </w:r>
      <w:r w:rsidRPr="009D574E">
        <w:rPr>
          <w:rFonts w:ascii="Times New Roman" w:hAnsi="Times New Roman" w:cs="Times New Roman"/>
          <w:i/>
          <w:sz w:val="24"/>
          <w:szCs w:val="24"/>
        </w:rPr>
        <w:t>primary model</w:t>
      </w:r>
      <w:r w:rsidR="00767D11">
        <w:rPr>
          <w:rFonts w:ascii="Times New Roman" w:hAnsi="Times New Roman" w:cs="Times New Roman"/>
          <w:i/>
          <w:sz w:val="24"/>
          <w:szCs w:val="24"/>
        </w:rPr>
        <w:t>. X axis is standardised mean difference.</w:t>
      </w:r>
    </w:p>
    <w:p w14:paraId="28FA6C07" w14:textId="4B190562" w:rsidR="009D574E" w:rsidRPr="009D574E" w:rsidRDefault="00767D11" w:rsidP="00CD7C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74E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1B4E20B8" wp14:editId="19F0702C">
            <wp:simplePos x="0" y="0"/>
            <wp:positionH relativeFrom="margin">
              <wp:align>right</wp:align>
            </wp:positionH>
            <wp:positionV relativeFrom="paragraph">
              <wp:posOffset>263779</wp:posOffset>
            </wp:positionV>
            <wp:extent cx="5731510" cy="6672781"/>
            <wp:effectExtent l="0" t="0" r="2540" b="0"/>
            <wp:wrapTight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7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E8076" w14:textId="77777777" w:rsidR="004C154E" w:rsidRDefault="004C154E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910D01E" w14:textId="77777777" w:rsidR="004C154E" w:rsidRDefault="004C154E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6FF5DBC" w14:textId="77777777" w:rsidR="004C154E" w:rsidRDefault="004C154E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928C1D6" w14:textId="77777777" w:rsidR="004C154E" w:rsidRDefault="004C154E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A1861B8" w14:textId="77777777" w:rsidR="004C154E" w:rsidRDefault="004C154E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B88DD1" w14:textId="3BA0FD0B" w:rsidR="009603B7" w:rsidRPr="009D574E" w:rsidRDefault="009D574E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574E">
        <w:rPr>
          <w:rFonts w:ascii="Times New Roman" w:hAnsi="Times New Roman" w:cs="Times New Roman"/>
          <w:i/>
          <w:sz w:val="24"/>
          <w:szCs w:val="24"/>
        </w:rPr>
        <w:lastRenderedPageBreak/>
        <w:t>Figure S2. Funnel plot of effects included in model examining studies that manipulated energy density of all foods/meals.</w:t>
      </w:r>
      <w:r w:rsidR="00767D11">
        <w:rPr>
          <w:rFonts w:ascii="Times New Roman" w:hAnsi="Times New Roman" w:cs="Times New Roman"/>
          <w:i/>
          <w:sz w:val="24"/>
          <w:szCs w:val="24"/>
        </w:rPr>
        <w:t xml:space="preserve"> X axis is difference in daily kcals consumed.</w:t>
      </w:r>
    </w:p>
    <w:p w14:paraId="3AC2776D" w14:textId="765D0E8C" w:rsidR="009603B7" w:rsidRDefault="009603B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2DE884" w14:textId="65573A5B" w:rsidR="009603B7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74E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34E00A4E" wp14:editId="12CEC8D5">
            <wp:simplePos x="0" y="0"/>
            <wp:positionH relativeFrom="margin">
              <wp:align>right</wp:align>
            </wp:positionH>
            <wp:positionV relativeFrom="paragraph">
              <wp:posOffset>197866</wp:posOffset>
            </wp:positionV>
            <wp:extent cx="5731510" cy="6618605"/>
            <wp:effectExtent l="0" t="0" r="2540" b="0"/>
            <wp:wrapTight wrapText="bothSides">
              <wp:wrapPolygon edited="0">
                <wp:start x="0" y="0"/>
                <wp:lineTo x="0" y="21511"/>
                <wp:lineTo x="21538" y="2151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18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D5CBA" w14:textId="13EF7B3B" w:rsidR="009603B7" w:rsidRDefault="009603B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F782D7D" w14:textId="1075DEAB" w:rsidR="009603B7" w:rsidRDefault="009603B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4EBF9D3" w14:textId="3BDBD3DE" w:rsidR="009603B7" w:rsidRDefault="009603B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5BB8AC" w14:textId="08C89433" w:rsidR="009603B7" w:rsidRDefault="009603B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EA29CB" w14:textId="77777777" w:rsidR="009603B7" w:rsidRDefault="009603B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A5F810" w14:textId="14EE80EE" w:rsidR="00737916" w:rsidRDefault="00737916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CD4E223" w14:textId="78982C4C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BF5FC86" w14:textId="2C3F1E76" w:rsidR="009D574E" w:rsidRPr="009D574E" w:rsidRDefault="009D574E" w:rsidP="009D57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574E">
        <w:rPr>
          <w:rFonts w:ascii="Times New Roman" w:hAnsi="Times New Roman" w:cs="Times New Roman"/>
          <w:i/>
          <w:sz w:val="24"/>
          <w:szCs w:val="24"/>
        </w:rPr>
        <w:lastRenderedPageBreak/>
        <w:t>Figure S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9D574E">
        <w:rPr>
          <w:rFonts w:ascii="Times New Roman" w:hAnsi="Times New Roman" w:cs="Times New Roman"/>
          <w:i/>
          <w:sz w:val="24"/>
          <w:szCs w:val="24"/>
        </w:rPr>
        <w:t xml:space="preserve">. Funnel plot of effects included in model examining studies that manipulated energy density of </w:t>
      </w:r>
      <w:r>
        <w:rPr>
          <w:rFonts w:ascii="Times New Roman" w:hAnsi="Times New Roman" w:cs="Times New Roman"/>
          <w:i/>
          <w:sz w:val="24"/>
          <w:szCs w:val="24"/>
        </w:rPr>
        <w:t xml:space="preserve">some but not </w:t>
      </w:r>
      <w:r w:rsidRPr="009D574E">
        <w:rPr>
          <w:rFonts w:ascii="Times New Roman" w:hAnsi="Times New Roman" w:cs="Times New Roman"/>
          <w:i/>
          <w:sz w:val="24"/>
          <w:szCs w:val="24"/>
        </w:rPr>
        <w:t>all foods/meals.</w:t>
      </w:r>
      <w:r w:rsidR="00767D11" w:rsidRPr="00767D11">
        <w:t xml:space="preserve"> </w:t>
      </w:r>
      <w:r w:rsidR="00767D11" w:rsidRPr="00767D11">
        <w:rPr>
          <w:rFonts w:ascii="Times New Roman" w:hAnsi="Times New Roman" w:cs="Times New Roman"/>
          <w:i/>
          <w:sz w:val="24"/>
          <w:szCs w:val="24"/>
        </w:rPr>
        <w:t>X axis is difference in daily kcals consumed.</w:t>
      </w:r>
    </w:p>
    <w:p w14:paraId="03B4956E" w14:textId="41D54BDE" w:rsidR="00737916" w:rsidRDefault="00737916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ECC5240" w14:textId="127D14C0" w:rsidR="00737916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74E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6391B847" wp14:editId="5875D43F">
            <wp:simplePos x="0" y="0"/>
            <wp:positionH relativeFrom="column">
              <wp:posOffset>0</wp:posOffset>
            </wp:positionH>
            <wp:positionV relativeFrom="paragraph">
              <wp:posOffset>-6096</wp:posOffset>
            </wp:positionV>
            <wp:extent cx="5731510" cy="6694805"/>
            <wp:effectExtent l="0" t="0" r="2540" b="0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9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C8CAB" w14:textId="419D5DC1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228297" w14:textId="3FF8ADA7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22AAE7E" w14:textId="1A0BC935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132C454" w14:textId="23A2AEB2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314B6E2" w14:textId="3CB8DC3C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E5C55D" w14:textId="7BD132E9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9B0257" w14:textId="6FF5DDCC" w:rsidR="009D574E" w:rsidRPr="00AA18D1" w:rsidRDefault="00AA18D1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Body weight </w:t>
      </w:r>
      <w:r w:rsidR="004750D7">
        <w:rPr>
          <w:rFonts w:ascii="Times New Roman" w:hAnsi="Times New Roman" w:cs="Times New Roman"/>
          <w:sz w:val="24"/>
          <w:szCs w:val="24"/>
          <w:u w:val="single"/>
        </w:rPr>
        <w:t xml:space="preserve">sensitivity </w:t>
      </w:r>
      <w:r>
        <w:rPr>
          <w:rFonts w:ascii="Times New Roman" w:hAnsi="Times New Roman" w:cs="Times New Roman"/>
          <w:sz w:val="24"/>
          <w:szCs w:val="24"/>
          <w:u w:val="single"/>
        </w:rPr>
        <w:t>meta-analyses</w:t>
      </w:r>
    </w:p>
    <w:p w14:paraId="0DB187CE" w14:textId="4E3016B3" w:rsidR="004750D7" w:rsidRDefault="004750D7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sensitivity analyses we varied the imputed SDs of mean weight change in the lower and higher energy density condition from the 150% value used in our main analyses to 100% (Figure S4) and 200% (Figure S5). Results were consistent with the main analyses, a small non-significant difference was observed, whereby lower energy density conditions were associated with greater negative weight change compared to the higher energy density conditions.</w:t>
      </w:r>
    </w:p>
    <w:p w14:paraId="1BD0DBC5" w14:textId="77777777" w:rsidR="004750D7" w:rsidRDefault="004750D7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942801" w14:textId="77777777" w:rsidR="004750D7" w:rsidRDefault="004750D7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CF10EB" w14:textId="77777777" w:rsidR="004750D7" w:rsidRDefault="004750D7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369F33" w14:textId="5BFF1202" w:rsidR="004750D7" w:rsidRPr="004750D7" w:rsidRDefault="004750D7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50D7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091D88A6" wp14:editId="7D54AA78">
            <wp:simplePos x="0" y="0"/>
            <wp:positionH relativeFrom="margin">
              <wp:posOffset>-141583</wp:posOffset>
            </wp:positionH>
            <wp:positionV relativeFrom="paragraph">
              <wp:posOffset>184698</wp:posOffset>
            </wp:positionV>
            <wp:extent cx="4871545" cy="2648963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545" cy="2648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0D7">
        <w:rPr>
          <w:rFonts w:ascii="Times New Roman" w:hAnsi="Times New Roman" w:cs="Times New Roman"/>
          <w:i/>
          <w:sz w:val="24"/>
          <w:szCs w:val="24"/>
        </w:rPr>
        <w:t>Figure S4</w:t>
      </w:r>
      <w:r>
        <w:rPr>
          <w:rFonts w:ascii="Times New Roman" w:hAnsi="Times New Roman" w:cs="Times New Roman"/>
          <w:i/>
          <w:sz w:val="24"/>
          <w:szCs w:val="24"/>
        </w:rPr>
        <w:t>. Body weight meta-analysis, SDs imputed as 100% of mean weight change</w:t>
      </w:r>
    </w:p>
    <w:p w14:paraId="11C3D6B8" w14:textId="5902F199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69FFB4A" w14:textId="6432A81B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F940D6" w14:textId="65391134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955F252" w14:textId="513E2C59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9383623" w14:textId="5C81B474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F4BAE0" w14:textId="25B2236E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05F6C6" w14:textId="05D8CC2C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91D56F9" w14:textId="259E87FE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D3E693" w14:textId="5541844C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7D2ADB" w14:textId="55E1E5D4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63AE0CA" w14:textId="2BCE7901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B04EA1D" w14:textId="769630B3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D73EE1" w14:textId="2E9447AF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8EC77D" w14:textId="4587C1C1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420DD90" w14:textId="7BE0859F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F731A52" w14:textId="2DC5BBD8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C41148" w14:textId="1DD7B965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A16B1AC" w14:textId="6362B3DC" w:rsidR="004750D7" w:rsidRPr="004750D7" w:rsidRDefault="004750D7" w:rsidP="00CA30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50D7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32A3537" wp14:editId="1528DEFB">
            <wp:simplePos x="0" y="0"/>
            <wp:positionH relativeFrom="margin">
              <wp:posOffset>-63062</wp:posOffset>
            </wp:positionH>
            <wp:positionV relativeFrom="paragraph">
              <wp:posOffset>185617</wp:posOffset>
            </wp:positionV>
            <wp:extent cx="4934607" cy="268598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195" cy="269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0D7">
        <w:rPr>
          <w:rFonts w:ascii="Times New Roman" w:hAnsi="Times New Roman" w:cs="Times New Roman"/>
          <w:i/>
          <w:sz w:val="24"/>
          <w:szCs w:val="24"/>
        </w:rPr>
        <w:t>Figure S5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750D7">
        <w:rPr>
          <w:rFonts w:ascii="Times New Roman" w:hAnsi="Times New Roman" w:cs="Times New Roman"/>
          <w:i/>
          <w:sz w:val="24"/>
          <w:szCs w:val="24"/>
        </w:rPr>
        <w:t>Body weight meta-analysis, SD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4750D7">
        <w:rPr>
          <w:rFonts w:ascii="Times New Roman" w:hAnsi="Times New Roman" w:cs="Times New Roman"/>
          <w:i/>
          <w:sz w:val="24"/>
          <w:szCs w:val="24"/>
        </w:rPr>
        <w:t xml:space="preserve"> imputed as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4750D7">
        <w:rPr>
          <w:rFonts w:ascii="Times New Roman" w:hAnsi="Times New Roman" w:cs="Times New Roman"/>
          <w:i/>
          <w:sz w:val="24"/>
          <w:szCs w:val="24"/>
        </w:rPr>
        <w:t>0% of mean weight change</w:t>
      </w:r>
    </w:p>
    <w:p w14:paraId="1D4A22C7" w14:textId="4024FF64" w:rsidR="004750D7" w:rsidRDefault="004750D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66663A9" w14:textId="010A3D6A" w:rsidR="004750D7" w:rsidRDefault="004750D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0E2B805" w14:textId="14BA4740" w:rsidR="004750D7" w:rsidRDefault="004750D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4C2067" w14:textId="0883D8D0" w:rsidR="004750D7" w:rsidRDefault="004750D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2166FF" w14:textId="2D7930C2" w:rsidR="004750D7" w:rsidRDefault="004750D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D506070" w14:textId="77777777" w:rsidR="004750D7" w:rsidRDefault="004750D7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9AEB48" w14:textId="6B41204A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80AFE4" w14:textId="2FE8A528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B14B585" w14:textId="34845575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CF2E70" w14:textId="77777777" w:rsidR="009D574E" w:rsidRDefault="009D574E" w:rsidP="00CA3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50316C" w14:textId="77777777" w:rsidR="00737916" w:rsidRDefault="00737916" w:rsidP="00AD04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8B0328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5C3FA33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CE22796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8D1911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848E022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A4BB6F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7A24FE8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D24647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8F5130" w14:textId="77777777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DBFBFB2" w14:textId="6DF8B98A" w:rsidR="004750D7" w:rsidRDefault="004750D7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623CF02" w14:textId="2A2E72A3" w:rsidR="00AD04DF" w:rsidRPr="008E227F" w:rsidRDefault="008E227F" w:rsidP="008E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227F">
        <w:rPr>
          <w:rFonts w:ascii="Times New Roman" w:hAnsi="Times New Roman" w:cs="Times New Roman"/>
          <w:sz w:val="24"/>
          <w:szCs w:val="24"/>
          <w:u w:val="single"/>
        </w:rPr>
        <w:lastRenderedPageBreak/>
        <w:t>References</w:t>
      </w:r>
    </w:p>
    <w:p w14:paraId="67DC4F9D" w14:textId="77777777" w:rsidR="009D277C" w:rsidRDefault="009D277C" w:rsidP="00AD04DF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C988A8" w14:textId="478F8489" w:rsidR="00AD04DF" w:rsidRPr="009D277C" w:rsidRDefault="00AD04DF" w:rsidP="00AD04DF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77C">
        <w:rPr>
          <w:rFonts w:ascii="Times New Roman" w:hAnsi="Times New Roman" w:cs="Times New Roman"/>
          <w:sz w:val="24"/>
          <w:szCs w:val="24"/>
        </w:rPr>
        <w:fldChar w:fldCharType="begin"/>
      </w:r>
      <w:r w:rsidRPr="009D277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9D277C">
        <w:rPr>
          <w:rFonts w:ascii="Times New Roman" w:hAnsi="Times New Roman" w:cs="Times New Roman"/>
          <w:sz w:val="24"/>
          <w:szCs w:val="24"/>
        </w:rPr>
        <w:fldChar w:fldCharType="separate"/>
      </w:r>
      <w:r w:rsidRPr="009D277C">
        <w:rPr>
          <w:rFonts w:ascii="Times New Roman" w:hAnsi="Times New Roman" w:cs="Times New Roman"/>
          <w:sz w:val="24"/>
          <w:szCs w:val="24"/>
        </w:rPr>
        <w:t>1.</w:t>
      </w:r>
      <w:r w:rsidRPr="009D277C">
        <w:rPr>
          <w:rFonts w:ascii="Times New Roman" w:hAnsi="Times New Roman" w:cs="Times New Roman"/>
          <w:sz w:val="24"/>
          <w:szCs w:val="24"/>
        </w:rPr>
        <w:tab/>
        <w:t>Viechtbauer W, Cheung MWL. Outlier and influence diagnostics for meta‐analysis. Research synthesis methods 2010;1(2):112-25.</w:t>
      </w:r>
    </w:p>
    <w:p w14:paraId="0C8C801B" w14:textId="77777777" w:rsidR="00AD04DF" w:rsidRPr="009D277C" w:rsidRDefault="00AD04DF" w:rsidP="00AD04DF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77C">
        <w:rPr>
          <w:rFonts w:ascii="Times New Roman" w:hAnsi="Times New Roman" w:cs="Times New Roman"/>
          <w:sz w:val="24"/>
          <w:szCs w:val="24"/>
        </w:rPr>
        <w:t>2.</w:t>
      </w:r>
      <w:r w:rsidRPr="009D277C">
        <w:rPr>
          <w:rFonts w:ascii="Times New Roman" w:hAnsi="Times New Roman" w:cs="Times New Roman"/>
          <w:sz w:val="24"/>
          <w:szCs w:val="24"/>
        </w:rPr>
        <w:tab/>
        <w:t>Egger M, Smith GD, Schneider M, Minder C. Bias in meta-analysis detected by a simple, graphical test. Bmj 1997;315(7109):629-34.</w:t>
      </w:r>
    </w:p>
    <w:p w14:paraId="051B54F1" w14:textId="77777777" w:rsidR="00AD04DF" w:rsidRPr="009D277C" w:rsidRDefault="00AD04DF" w:rsidP="00AD04DF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D277C">
        <w:rPr>
          <w:rFonts w:ascii="Times New Roman" w:hAnsi="Times New Roman" w:cs="Times New Roman"/>
          <w:sz w:val="24"/>
          <w:szCs w:val="24"/>
        </w:rPr>
        <w:t>3.</w:t>
      </w:r>
      <w:r w:rsidRPr="009D277C">
        <w:rPr>
          <w:rFonts w:ascii="Times New Roman" w:hAnsi="Times New Roman" w:cs="Times New Roman"/>
          <w:sz w:val="24"/>
          <w:szCs w:val="24"/>
        </w:rPr>
        <w:tab/>
        <w:t>Duval S, Tweedie R. Trim and fill: a simple funnel‐plot–based method of testing and adjusting for publication bias in meta‐analysis. Biometrics 2000;56(2):455-63.</w:t>
      </w:r>
    </w:p>
    <w:p w14:paraId="6C3E7BF3" w14:textId="47C38D84" w:rsidR="00FF1AD3" w:rsidRDefault="00AD04DF" w:rsidP="0093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77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26010E" w14:textId="77777777" w:rsidR="00FF1AD3" w:rsidRDefault="00FF1AD3" w:rsidP="0093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33F98" w14:textId="77777777" w:rsidR="00FF1AD3" w:rsidRDefault="00FF1AD3" w:rsidP="0093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64F6" w14:textId="77777777" w:rsidR="00FF1AD3" w:rsidRDefault="00FF1AD3" w:rsidP="0093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D1ACB" w14:textId="77777777" w:rsidR="00FF1AD3" w:rsidRDefault="00FF1AD3" w:rsidP="0093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9A707" w14:textId="77777777" w:rsidR="00FF1AD3" w:rsidRDefault="00FF1AD3" w:rsidP="0093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983C0" w14:textId="77777777" w:rsidR="00FF1AD3" w:rsidRDefault="00FF1AD3" w:rsidP="0093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0ADC6" w14:textId="77777777" w:rsidR="00FF1AD3" w:rsidRDefault="00FF1AD3" w:rsidP="0093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1A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8FDEE8" w14:textId="6D1FF831" w:rsidR="00D96B7D" w:rsidRPr="00D96B7D" w:rsidRDefault="00D96B7D" w:rsidP="00D9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</w:t>
      </w:r>
      <w:r w:rsidRPr="00D96B7D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6B7D">
        <w:rPr>
          <w:rFonts w:ascii="Times New Roman" w:hAnsi="Times New Roman" w:cs="Times New Roman"/>
          <w:sz w:val="24"/>
          <w:szCs w:val="24"/>
        </w:rPr>
        <w:t>. Risk of bias information for included studies</w:t>
      </w:r>
    </w:p>
    <w:tbl>
      <w:tblPr>
        <w:tblStyle w:val="TableGrid"/>
        <w:tblW w:w="15309" w:type="dxa"/>
        <w:tblInd w:w="-674" w:type="dxa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276"/>
        <w:gridCol w:w="1843"/>
        <w:gridCol w:w="1949"/>
        <w:gridCol w:w="1460"/>
        <w:gridCol w:w="1131"/>
        <w:gridCol w:w="1133"/>
        <w:gridCol w:w="1272"/>
      </w:tblGrid>
      <w:tr w:rsidR="00D96B7D" w:rsidRPr="00D96B7D" w14:paraId="69EFA954" w14:textId="77777777" w:rsidTr="00D96B7D">
        <w:tc>
          <w:tcPr>
            <w:tcW w:w="1985" w:type="dxa"/>
          </w:tcPr>
          <w:p w14:paraId="7E676695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1559" w:type="dxa"/>
          </w:tcPr>
          <w:p w14:paraId="5FD76F71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>Self-reported energy intake used</w:t>
            </w:r>
          </w:p>
        </w:tc>
        <w:tc>
          <w:tcPr>
            <w:tcW w:w="1701" w:type="dxa"/>
          </w:tcPr>
          <w:p w14:paraId="66DB3211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>Key exclusion criteria omitted or unclear</w:t>
            </w:r>
          </w:p>
        </w:tc>
        <w:tc>
          <w:tcPr>
            <w:tcW w:w="1276" w:type="dxa"/>
          </w:tcPr>
          <w:p w14:paraId="021CA539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>Lack of key method information</w:t>
            </w:r>
          </w:p>
        </w:tc>
        <w:tc>
          <w:tcPr>
            <w:tcW w:w="1843" w:type="dxa"/>
          </w:tcPr>
          <w:p w14:paraId="1FFB3687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>No/unclear random allocation to conditions</w:t>
            </w:r>
          </w:p>
        </w:tc>
        <w:tc>
          <w:tcPr>
            <w:tcW w:w="1949" w:type="dxa"/>
          </w:tcPr>
          <w:p w14:paraId="0367A314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>Required to consume meal(s) in full</w:t>
            </w:r>
          </w:p>
        </w:tc>
        <w:tc>
          <w:tcPr>
            <w:tcW w:w="1460" w:type="dxa"/>
          </w:tcPr>
          <w:p w14:paraId="39E7EC11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Demand characteristics not addressed </w:t>
            </w:r>
          </w:p>
        </w:tc>
        <w:tc>
          <w:tcPr>
            <w:tcW w:w="1131" w:type="dxa"/>
          </w:tcPr>
          <w:p w14:paraId="11580BB0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>Small sample size</w:t>
            </w:r>
          </w:p>
        </w:tc>
        <w:tc>
          <w:tcPr>
            <w:tcW w:w="1133" w:type="dxa"/>
          </w:tcPr>
          <w:p w14:paraId="79C52BA9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Study was not pre-registered </w:t>
            </w:r>
          </w:p>
        </w:tc>
        <w:tc>
          <w:tcPr>
            <w:tcW w:w="1272" w:type="dxa"/>
          </w:tcPr>
          <w:p w14:paraId="1C28F299" w14:textId="77777777" w:rsidR="00D96B7D" w:rsidRPr="00D96B7D" w:rsidRDefault="00D96B7D" w:rsidP="00D96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CIs missing or reported </w:t>
            </w:r>
          </w:p>
        </w:tc>
      </w:tr>
      <w:tr w:rsidR="00D96B7D" w:rsidRPr="00D96B7D" w14:paraId="5C734510" w14:textId="77777777" w:rsidTr="00D96B7D">
        <w:tc>
          <w:tcPr>
            <w:tcW w:w="1985" w:type="dxa"/>
          </w:tcPr>
          <w:p w14:paraId="2A3FDBE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Bell, 1998</w:t>
            </w:r>
          </w:p>
        </w:tc>
        <w:tc>
          <w:tcPr>
            <w:tcW w:w="1559" w:type="dxa"/>
          </w:tcPr>
          <w:p w14:paraId="6EE2EA7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124A3CD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450BC00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6ED24C1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14BE0B1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59BD1BA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46DA670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43B03CF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5B1F57A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300E2AAB" w14:textId="77777777" w:rsidTr="00D96B7D">
        <w:tc>
          <w:tcPr>
            <w:tcW w:w="1985" w:type="dxa"/>
          </w:tcPr>
          <w:p w14:paraId="4D2D600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Bell, 2001</w:t>
            </w:r>
          </w:p>
        </w:tc>
        <w:tc>
          <w:tcPr>
            <w:tcW w:w="1559" w:type="dxa"/>
          </w:tcPr>
          <w:p w14:paraId="60C92DD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20EFF69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30D3806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3CF2CEA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49EFD76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1128783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5898CD5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790A6A0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1F919BA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386A831B" w14:textId="77777777" w:rsidTr="00D96B7D">
        <w:tc>
          <w:tcPr>
            <w:tcW w:w="1985" w:type="dxa"/>
          </w:tcPr>
          <w:p w14:paraId="2A87AE6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Blatt, 2011</w:t>
            </w:r>
          </w:p>
        </w:tc>
        <w:tc>
          <w:tcPr>
            <w:tcW w:w="1559" w:type="dxa"/>
          </w:tcPr>
          <w:p w14:paraId="323A557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02ECE0D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547962B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4FCC76B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71F468A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4860DF9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476F3C0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115E1ED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2" w:type="dxa"/>
          </w:tcPr>
          <w:p w14:paraId="62D249E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5B7D6B67" w14:textId="77777777" w:rsidTr="00D96B7D">
        <w:tc>
          <w:tcPr>
            <w:tcW w:w="1985" w:type="dxa"/>
          </w:tcPr>
          <w:p w14:paraId="6934684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Blatt, 2012</w:t>
            </w:r>
          </w:p>
        </w:tc>
        <w:tc>
          <w:tcPr>
            <w:tcW w:w="1559" w:type="dxa"/>
          </w:tcPr>
          <w:p w14:paraId="1A90E12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431A76F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695223B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0F3007D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40AA2C2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5B6BEA7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560DE5F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6E3B0FD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2" w:type="dxa"/>
          </w:tcPr>
          <w:p w14:paraId="6ADA806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43A1370F" w14:textId="77777777" w:rsidTr="00D96B7D">
        <w:tc>
          <w:tcPr>
            <w:tcW w:w="1985" w:type="dxa"/>
          </w:tcPr>
          <w:p w14:paraId="758E22D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Buckland, 2018</w:t>
            </w:r>
          </w:p>
        </w:tc>
        <w:tc>
          <w:tcPr>
            <w:tcW w:w="1559" w:type="dxa"/>
          </w:tcPr>
          <w:p w14:paraId="68DC46F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659B1AB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0A5CC60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2425FBC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6039813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19203A5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1" w:type="dxa"/>
          </w:tcPr>
          <w:p w14:paraId="0469BC2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6764A4C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1B13048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4272638F" w14:textId="77777777" w:rsidTr="00D96B7D">
        <w:tc>
          <w:tcPr>
            <w:tcW w:w="1985" w:type="dxa"/>
          </w:tcPr>
          <w:p w14:paraId="1ACA250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Caputo, 1992</w:t>
            </w:r>
          </w:p>
        </w:tc>
        <w:tc>
          <w:tcPr>
            <w:tcW w:w="1559" w:type="dxa"/>
          </w:tcPr>
          <w:p w14:paraId="57FA2FB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34055A9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</w:tcPr>
          <w:p w14:paraId="4C714E4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843" w:type="dxa"/>
          </w:tcPr>
          <w:p w14:paraId="31D4406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36B75DA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339085E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4A6E4F5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04E623E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0BFB4AD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7569F0D2" w14:textId="77777777" w:rsidTr="00D96B7D">
        <w:tc>
          <w:tcPr>
            <w:tcW w:w="1985" w:type="dxa"/>
          </w:tcPr>
          <w:p w14:paraId="396235C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Devitt, 2004</w:t>
            </w:r>
          </w:p>
        </w:tc>
        <w:tc>
          <w:tcPr>
            <w:tcW w:w="1559" w:type="dxa"/>
          </w:tcPr>
          <w:p w14:paraId="07B6AC9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0607589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62DEAD3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13A7E35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2AC9113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7EA7376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70069B3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487CF9B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7D85145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273970D3" w14:textId="77777777" w:rsidTr="00D96B7D">
        <w:tc>
          <w:tcPr>
            <w:tcW w:w="1985" w:type="dxa"/>
          </w:tcPr>
          <w:p w14:paraId="7C48908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Duncan, 1983</w:t>
            </w:r>
          </w:p>
        </w:tc>
        <w:tc>
          <w:tcPr>
            <w:tcW w:w="1559" w:type="dxa"/>
          </w:tcPr>
          <w:p w14:paraId="06DCE4E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634660B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1DF9FEF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1AB6139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5619FF2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3E5EC56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54C7BD6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0DBA397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3C3A64C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0F17BB2E" w14:textId="77777777" w:rsidTr="00D96B7D">
        <w:tc>
          <w:tcPr>
            <w:tcW w:w="1985" w:type="dxa"/>
          </w:tcPr>
          <w:p w14:paraId="61AA278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Foltin</w:t>
            </w:r>
            <w:proofErr w:type="spellEnd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, 1990</w:t>
            </w:r>
          </w:p>
        </w:tc>
        <w:tc>
          <w:tcPr>
            <w:tcW w:w="1559" w:type="dxa"/>
          </w:tcPr>
          <w:p w14:paraId="57BADD2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36C1FD3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4B1C636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1B1F1FC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141293D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27BF9A8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7C9899B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3" w:type="dxa"/>
          </w:tcPr>
          <w:p w14:paraId="054EE04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3DFF882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145FFD44" w14:textId="77777777" w:rsidTr="00D96B7D">
        <w:tc>
          <w:tcPr>
            <w:tcW w:w="1985" w:type="dxa"/>
          </w:tcPr>
          <w:p w14:paraId="1C749A3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Gray, 2002</w:t>
            </w:r>
          </w:p>
        </w:tc>
        <w:tc>
          <w:tcPr>
            <w:tcW w:w="1559" w:type="dxa"/>
          </w:tcPr>
          <w:p w14:paraId="404D2D4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6BCE31C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6058F30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4F70ACC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30A07E6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181EB6F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6D5D473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2E81F90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4B3A3DC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032C6825" w14:textId="77777777" w:rsidTr="00D96B7D">
        <w:tc>
          <w:tcPr>
            <w:tcW w:w="1985" w:type="dxa"/>
          </w:tcPr>
          <w:p w14:paraId="4183DF9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Kral, 2002</w:t>
            </w:r>
          </w:p>
        </w:tc>
        <w:tc>
          <w:tcPr>
            <w:tcW w:w="1559" w:type="dxa"/>
          </w:tcPr>
          <w:p w14:paraId="7B264F9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07C75D1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064B3F7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0FCE27E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72DD657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328A67F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 xml:space="preserve">Mixed </w:t>
            </w:r>
          </w:p>
        </w:tc>
        <w:tc>
          <w:tcPr>
            <w:tcW w:w="1131" w:type="dxa"/>
          </w:tcPr>
          <w:p w14:paraId="02C236A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6FB6B38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4F12113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07591A19" w14:textId="77777777" w:rsidTr="00D96B7D">
        <w:tc>
          <w:tcPr>
            <w:tcW w:w="1985" w:type="dxa"/>
          </w:tcPr>
          <w:p w14:paraId="59A4072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Kral, 2004</w:t>
            </w:r>
          </w:p>
        </w:tc>
        <w:tc>
          <w:tcPr>
            <w:tcW w:w="1559" w:type="dxa"/>
          </w:tcPr>
          <w:p w14:paraId="04B2D6A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5BE1CF0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00D15F1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7B3A041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7BBBE78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72AE377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209332E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4A141A2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003B8B3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5B16A296" w14:textId="77777777" w:rsidTr="00D96B7D">
        <w:tc>
          <w:tcPr>
            <w:tcW w:w="1985" w:type="dxa"/>
          </w:tcPr>
          <w:p w14:paraId="004AE56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Kral, 2020</w:t>
            </w:r>
          </w:p>
        </w:tc>
        <w:tc>
          <w:tcPr>
            <w:tcW w:w="1559" w:type="dxa"/>
          </w:tcPr>
          <w:p w14:paraId="544EC09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6C3EAC2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3B5E88C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34B291B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418CD54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52DEB65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1" w:type="dxa"/>
          </w:tcPr>
          <w:p w14:paraId="4505441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76126AE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3B9B97A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1E8174CE" w14:textId="77777777" w:rsidTr="00D96B7D">
        <w:tc>
          <w:tcPr>
            <w:tcW w:w="1985" w:type="dxa"/>
          </w:tcPr>
          <w:p w14:paraId="0E682D1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Leahy, 2008</w:t>
            </w:r>
          </w:p>
        </w:tc>
        <w:tc>
          <w:tcPr>
            <w:tcW w:w="1559" w:type="dxa"/>
          </w:tcPr>
          <w:p w14:paraId="4D9566C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7793A67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766637C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843" w:type="dxa"/>
          </w:tcPr>
          <w:p w14:paraId="4A7807E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79D3B43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49B625A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1" w:type="dxa"/>
          </w:tcPr>
          <w:p w14:paraId="6BD073E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36FC44A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06E1C64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7F0676EC" w14:textId="77777777" w:rsidTr="00D96B7D">
        <w:tc>
          <w:tcPr>
            <w:tcW w:w="1985" w:type="dxa"/>
          </w:tcPr>
          <w:p w14:paraId="676ACDD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Mazlan, 2006</w:t>
            </w:r>
          </w:p>
        </w:tc>
        <w:tc>
          <w:tcPr>
            <w:tcW w:w="1559" w:type="dxa"/>
          </w:tcPr>
          <w:p w14:paraId="0767842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2944A35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493BAAD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11157FE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00D78DB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6863868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4D2DEBD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75BCD4B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6839733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7283703C" w14:textId="77777777" w:rsidTr="00D96B7D">
        <w:tc>
          <w:tcPr>
            <w:tcW w:w="1985" w:type="dxa"/>
          </w:tcPr>
          <w:p w14:paraId="360D296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McCrickerd, 2017</w:t>
            </w:r>
          </w:p>
        </w:tc>
        <w:tc>
          <w:tcPr>
            <w:tcW w:w="1559" w:type="dxa"/>
          </w:tcPr>
          <w:p w14:paraId="31FB37C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0D98A15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3371853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2510017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7216244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567B7C8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5A65503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7BC3FE0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28F5A33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5A68D934" w14:textId="77777777" w:rsidTr="00D96B7D">
        <w:tc>
          <w:tcPr>
            <w:tcW w:w="1985" w:type="dxa"/>
          </w:tcPr>
          <w:p w14:paraId="3775A64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Miller, 1998</w:t>
            </w:r>
          </w:p>
        </w:tc>
        <w:tc>
          <w:tcPr>
            <w:tcW w:w="1559" w:type="dxa"/>
          </w:tcPr>
          <w:p w14:paraId="3778F4F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365B902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71B55CB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55B2B5B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43F11FA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1457B65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131" w:type="dxa"/>
          </w:tcPr>
          <w:p w14:paraId="03FAE05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4A7CBD3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2E7505B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520267F8" w14:textId="77777777" w:rsidTr="00D96B7D">
        <w:tc>
          <w:tcPr>
            <w:tcW w:w="1985" w:type="dxa"/>
          </w:tcPr>
          <w:p w14:paraId="036181A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Pritchard, 2014</w:t>
            </w:r>
          </w:p>
        </w:tc>
        <w:tc>
          <w:tcPr>
            <w:tcW w:w="1559" w:type="dxa"/>
          </w:tcPr>
          <w:p w14:paraId="4EB87EE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16E9081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04E8E9C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765C1A7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4670AF3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6BFE6BE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1A7D789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5A8841C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384F371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607E08BC" w14:textId="77777777" w:rsidTr="00D96B7D">
        <w:tc>
          <w:tcPr>
            <w:tcW w:w="1985" w:type="dxa"/>
          </w:tcPr>
          <w:p w14:paraId="415B686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Rolls, 2006</w:t>
            </w:r>
          </w:p>
        </w:tc>
        <w:tc>
          <w:tcPr>
            <w:tcW w:w="1559" w:type="dxa"/>
          </w:tcPr>
          <w:p w14:paraId="6AC183B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1CE81D0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0FAEDCA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4252D7B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7F2A6F6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1A00C02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29D843D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68AFD81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3D00BDC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2DD52CC2" w14:textId="77777777" w:rsidTr="00D96B7D">
        <w:tc>
          <w:tcPr>
            <w:tcW w:w="1985" w:type="dxa"/>
          </w:tcPr>
          <w:p w14:paraId="5E21F50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Shide</w:t>
            </w:r>
            <w:proofErr w:type="spellEnd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</w:tc>
        <w:tc>
          <w:tcPr>
            <w:tcW w:w="1559" w:type="dxa"/>
          </w:tcPr>
          <w:p w14:paraId="57C1FA7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47B36B4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49280CF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2085343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949" w:type="dxa"/>
          </w:tcPr>
          <w:p w14:paraId="31312AC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4643C7E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3157A83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0ADCA5D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4DD2DF8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74E8A76C" w14:textId="77777777" w:rsidTr="00D96B7D">
        <w:tc>
          <w:tcPr>
            <w:tcW w:w="1985" w:type="dxa"/>
          </w:tcPr>
          <w:p w14:paraId="6622E09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Silver, 2008</w:t>
            </w:r>
          </w:p>
        </w:tc>
        <w:tc>
          <w:tcPr>
            <w:tcW w:w="1559" w:type="dxa"/>
          </w:tcPr>
          <w:p w14:paraId="630F2A6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57DB26B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0D69C84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2E35E8D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653198A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3AB9383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1" w:type="dxa"/>
          </w:tcPr>
          <w:p w14:paraId="6EAFA7F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63CBC23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1AE5974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7F72C8EC" w14:textId="77777777" w:rsidTr="00D96B7D">
        <w:tc>
          <w:tcPr>
            <w:tcW w:w="1985" w:type="dxa"/>
          </w:tcPr>
          <w:p w14:paraId="1C6BE26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Smethers, 2019</w:t>
            </w:r>
          </w:p>
        </w:tc>
        <w:tc>
          <w:tcPr>
            <w:tcW w:w="1559" w:type="dxa"/>
          </w:tcPr>
          <w:p w14:paraId="71D87EB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1982771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3D1F9F2C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012A317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4AB7FA2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0F04307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1" w:type="dxa"/>
          </w:tcPr>
          <w:p w14:paraId="2EC40E1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325C449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2" w:type="dxa"/>
          </w:tcPr>
          <w:p w14:paraId="18BF56D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263EB7B8" w14:textId="77777777" w:rsidTr="00D96B7D">
        <w:tc>
          <w:tcPr>
            <w:tcW w:w="1985" w:type="dxa"/>
          </w:tcPr>
          <w:p w14:paraId="7192F1A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Spill, 2011</w:t>
            </w:r>
          </w:p>
        </w:tc>
        <w:tc>
          <w:tcPr>
            <w:tcW w:w="1559" w:type="dxa"/>
          </w:tcPr>
          <w:p w14:paraId="2D4C9CE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6F2C4E0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11B9D23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20C224A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5305F07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25E7DDF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1" w:type="dxa"/>
          </w:tcPr>
          <w:p w14:paraId="4B3B8F3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46F32C0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2" w:type="dxa"/>
          </w:tcPr>
          <w:p w14:paraId="79ED78C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0951A6B7" w14:textId="77777777" w:rsidTr="00D96B7D">
        <w:tc>
          <w:tcPr>
            <w:tcW w:w="1985" w:type="dxa"/>
          </w:tcPr>
          <w:p w14:paraId="4F1AD07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Stubbs 1995a</w:t>
            </w:r>
          </w:p>
        </w:tc>
        <w:tc>
          <w:tcPr>
            <w:tcW w:w="1559" w:type="dxa"/>
          </w:tcPr>
          <w:p w14:paraId="52BBDE5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0C4D6E2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11885B2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371E112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1785F10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087C287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1E28C99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3" w:type="dxa"/>
          </w:tcPr>
          <w:p w14:paraId="1DCADC2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0A6CC1C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3265F10D" w14:textId="77777777" w:rsidTr="00D96B7D">
        <w:tc>
          <w:tcPr>
            <w:tcW w:w="1985" w:type="dxa"/>
          </w:tcPr>
          <w:p w14:paraId="1C75644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Stubbs 1995b</w:t>
            </w:r>
          </w:p>
        </w:tc>
        <w:tc>
          <w:tcPr>
            <w:tcW w:w="1559" w:type="dxa"/>
          </w:tcPr>
          <w:p w14:paraId="5E95525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2185675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15DA5F3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7584201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68D0F5E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3376015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1" w:type="dxa"/>
          </w:tcPr>
          <w:p w14:paraId="511D8A4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3" w:type="dxa"/>
          </w:tcPr>
          <w:p w14:paraId="754F417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7C8FC42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32D3D018" w14:textId="77777777" w:rsidTr="00D96B7D">
        <w:tc>
          <w:tcPr>
            <w:tcW w:w="1985" w:type="dxa"/>
          </w:tcPr>
          <w:p w14:paraId="0BDD5F8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Stubbs, 1998a</w:t>
            </w:r>
          </w:p>
        </w:tc>
        <w:tc>
          <w:tcPr>
            <w:tcW w:w="1559" w:type="dxa"/>
          </w:tcPr>
          <w:p w14:paraId="46A7B0A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2A30463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19018BA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6B56AAC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76E287D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6B81D3D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1" w:type="dxa"/>
          </w:tcPr>
          <w:p w14:paraId="6EA7BFE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3" w:type="dxa"/>
          </w:tcPr>
          <w:p w14:paraId="34791B8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2522604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4ABB4026" w14:textId="77777777" w:rsidTr="00D96B7D">
        <w:tc>
          <w:tcPr>
            <w:tcW w:w="1985" w:type="dxa"/>
          </w:tcPr>
          <w:p w14:paraId="02E2F5D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Stubbs, 1998b</w:t>
            </w:r>
          </w:p>
        </w:tc>
        <w:tc>
          <w:tcPr>
            <w:tcW w:w="1559" w:type="dxa"/>
          </w:tcPr>
          <w:p w14:paraId="57FD4F9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2BE3D0B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6" w:type="dxa"/>
          </w:tcPr>
          <w:p w14:paraId="5DCBD4E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6FB4620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7620E5B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671A0C4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6D55D56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33" w:type="dxa"/>
          </w:tcPr>
          <w:p w14:paraId="10E9F4C5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7A5FDD5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0AA4E290" w14:textId="77777777" w:rsidTr="00D96B7D">
        <w:tc>
          <w:tcPr>
            <w:tcW w:w="1985" w:type="dxa"/>
          </w:tcPr>
          <w:p w14:paraId="0C98E13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Tey</w:t>
            </w:r>
            <w:proofErr w:type="spellEnd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</w:tc>
        <w:tc>
          <w:tcPr>
            <w:tcW w:w="1559" w:type="dxa"/>
          </w:tcPr>
          <w:p w14:paraId="6005255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407762F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3F1B583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17143DA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7E8EEDC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4C4627D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1" w:type="dxa"/>
          </w:tcPr>
          <w:p w14:paraId="3A7356D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75D874D6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2" w:type="dxa"/>
          </w:tcPr>
          <w:p w14:paraId="0C072F0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650C4D85" w14:textId="77777777" w:rsidTr="00D96B7D">
        <w:tc>
          <w:tcPr>
            <w:tcW w:w="1985" w:type="dxa"/>
          </w:tcPr>
          <w:p w14:paraId="729463C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Tey</w:t>
            </w:r>
            <w:proofErr w:type="spellEnd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1559" w:type="dxa"/>
          </w:tcPr>
          <w:p w14:paraId="41C5F09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61AAA19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6A0649E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0E4D8B78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4FEC33B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3387D083" w14:textId="77777777" w:rsidR="00D96B7D" w:rsidRPr="00D96B7D" w:rsidRDefault="00D96B7D" w:rsidP="00D96B7D">
            <w:pPr>
              <w:numPr>
                <w:ilvl w:val="1"/>
                <w:numId w:val="0"/>
              </w:numPr>
              <w:rPr>
                <w:rFonts w:eastAsiaTheme="minorEastAsia"/>
                <w:color w:val="5A5A5A" w:themeColor="text1" w:themeTint="A5"/>
                <w:spacing w:val="15"/>
              </w:rPr>
            </w:pPr>
            <w:r w:rsidRPr="00D96B7D">
              <w:rPr>
                <w:rFonts w:eastAsiaTheme="minorEastAsia"/>
                <w:color w:val="5A5A5A" w:themeColor="text1" w:themeTint="A5"/>
                <w:spacing w:val="15"/>
              </w:rPr>
              <w:t>Y</w:t>
            </w:r>
          </w:p>
        </w:tc>
        <w:tc>
          <w:tcPr>
            <w:tcW w:w="1131" w:type="dxa"/>
          </w:tcPr>
          <w:p w14:paraId="7C5708C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31F9B12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2" w:type="dxa"/>
          </w:tcPr>
          <w:p w14:paraId="530E4224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D96B7D" w:rsidRPr="00D96B7D" w14:paraId="3652E891" w14:textId="77777777" w:rsidTr="00D96B7D">
        <w:tc>
          <w:tcPr>
            <w:tcW w:w="1985" w:type="dxa"/>
          </w:tcPr>
          <w:p w14:paraId="2406DD7B" w14:textId="3EA7DC6F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Westerstep</w:t>
            </w:r>
            <w:proofErr w:type="spellEnd"/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, 199</w:t>
            </w:r>
            <w:r w:rsidR="00040B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366B7C52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548D17F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43DCAE0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040D19D7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05A4F1AD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60" w:type="dxa"/>
          </w:tcPr>
          <w:p w14:paraId="23D81F8A" w14:textId="77777777" w:rsidR="00D96B7D" w:rsidRPr="00D96B7D" w:rsidRDefault="00D96B7D" w:rsidP="00D96B7D">
            <w:pPr>
              <w:numPr>
                <w:ilvl w:val="1"/>
                <w:numId w:val="0"/>
              </w:numPr>
              <w:rPr>
                <w:rFonts w:eastAsiaTheme="minorEastAsia"/>
                <w:color w:val="5A5A5A" w:themeColor="text1" w:themeTint="A5"/>
                <w:spacing w:val="15"/>
              </w:rPr>
            </w:pPr>
            <w:r w:rsidRPr="00D96B7D">
              <w:rPr>
                <w:rFonts w:eastAsiaTheme="minorEastAsia"/>
                <w:color w:val="5A5A5A" w:themeColor="text1" w:themeTint="A5"/>
                <w:spacing w:val="15"/>
              </w:rPr>
              <w:t>Y</w:t>
            </w:r>
          </w:p>
        </w:tc>
        <w:tc>
          <w:tcPr>
            <w:tcW w:w="1131" w:type="dxa"/>
          </w:tcPr>
          <w:p w14:paraId="353EB29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41574E2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4D5E50E9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D96B7D" w:rsidRPr="00D96B7D" w14:paraId="02BF5A95" w14:textId="77777777" w:rsidTr="00D96B7D">
        <w:tc>
          <w:tcPr>
            <w:tcW w:w="1985" w:type="dxa"/>
          </w:tcPr>
          <w:p w14:paraId="25B0C81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Williams, 2013</w:t>
            </w:r>
          </w:p>
        </w:tc>
        <w:tc>
          <w:tcPr>
            <w:tcW w:w="1559" w:type="dxa"/>
          </w:tcPr>
          <w:p w14:paraId="09F7C8EF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</w:tcPr>
          <w:p w14:paraId="01E4385E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</w:tcPr>
          <w:p w14:paraId="2B5322D3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2F6BC6BB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49" w:type="dxa"/>
          </w:tcPr>
          <w:p w14:paraId="54B3C8C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0" w:type="dxa"/>
          </w:tcPr>
          <w:p w14:paraId="10295F45" w14:textId="77777777" w:rsidR="00D96B7D" w:rsidRPr="00D96B7D" w:rsidRDefault="00D96B7D" w:rsidP="00D96B7D">
            <w:pPr>
              <w:numPr>
                <w:ilvl w:val="1"/>
                <w:numId w:val="0"/>
              </w:numPr>
              <w:rPr>
                <w:rFonts w:eastAsiaTheme="minorEastAsia"/>
                <w:color w:val="5A5A5A" w:themeColor="text1" w:themeTint="A5"/>
                <w:spacing w:val="15"/>
              </w:rPr>
            </w:pPr>
            <w:r w:rsidRPr="00D96B7D">
              <w:rPr>
                <w:rFonts w:eastAsiaTheme="minorEastAsia"/>
                <w:color w:val="5A5A5A" w:themeColor="text1" w:themeTint="A5"/>
                <w:spacing w:val="15"/>
              </w:rPr>
              <w:t>N</w:t>
            </w:r>
          </w:p>
        </w:tc>
        <w:tc>
          <w:tcPr>
            <w:tcW w:w="1131" w:type="dxa"/>
          </w:tcPr>
          <w:p w14:paraId="1E3894AA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3" w:type="dxa"/>
          </w:tcPr>
          <w:p w14:paraId="7BABF2E1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272" w:type="dxa"/>
          </w:tcPr>
          <w:p w14:paraId="0E9199A0" w14:textId="77777777" w:rsidR="00D96B7D" w:rsidRPr="00D96B7D" w:rsidRDefault="00D96B7D" w:rsidP="00D9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B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14:paraId="0202B63D" w14:textId="0B01382F" w:rsidR="00D96B7D" w:rsidRPr="00D96B7D" w:rsidRDefault="00D96B7D" w:rsidP="00D96B7D">
      <w:pPr>
        <w:rPr>
          <w:rFonts w:ascii="Times New Roman" w:hAnsi="Times New Roman" w:cs="Times New Roman"/>
          <w:sz w:val="24"/>
          <w:szCs w:val="24"/>
        </w:rPr>
      </w:pPr>
    </w:p>
    <w:sectPr w:rsidR="00D96B7D" w:rsidRPr="00D96B7D" w:rsidSect="000177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4EDF" w16cex:dateUtc="2021-11-04T12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89F12" w14:textId="77777777" w:rsidR="00934274" w:rsidRDefault="00934274" w:rsidP="00AD04DF">
      <w:pPr>
        <w:spacing w:after="0" w:line="240" w:lineRule="auto"/>
      </w:pPr>
      <w:r>
        <w:separator/>
      </w:r>
    </w:p>
  </w:endnote>
  <w:endnote w:type="continuationSeparator" w:id="0">
    <w:p w14:paraId="6DB109A8" w14:textId="77777777" w:rsidR="00934274" w:rsidRDefault="00934274" w:rsidP="00AD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D051" w14:textId="77777777" w:rsidR="004750D7" w:rsidRDefault="00475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21D33" w14:textId="77777777" w:rsidR="004750D7" w:rsidRDefault="00475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2A595" w14:textId="77777777" w:rsidR="004750D7" w:rsidRDefault="00475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225C3" w14:textId="77777777" w:rsidR="00934274" w:rsidRDefault="00934274" w:rsidP="00AD04DF">
      <w:pPr>
        <w:spacing w:after="0" w:line="240" w:lineRule="auto"/>
      </w:pPr>
      <w:r>
        <w:separator/>
      </w:r>
    </w:p>
  </w:footnote>
  <w:footnote w:type="continuationSeparator" w:id="0">
    <w:p w14:paraId="23440CD8" w14:textId="77777777" w:rsidR="00934274" w:rsidRDefault="00934274" w:rsidP="00AD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6EE9" w14:textId="77777777" w:rsidR="004750D7" w:rsidRDefault="00475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899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499E821" w14:textId="77777777" w:rsidR="00AD04DF" w:rsidRPr="00AD04DF" w:rsidRDefault="00AD04D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0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04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0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A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04D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F6B33BE" w14:textId="77777777" w:rsidR="00AD04DF" w:rsidRDefault="00AD0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A6B8" w14:textId="77777777" w:rsidR="004750D7" w:rsidRDefault="00475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Clin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43109"/>
    <w:rsid w:val="00040B33"/>
    <w:rsid w:val="000602F0"/>
    <w:rsid w:val="000C41F0"/>
    <w:rsid w:val="001201BA"/>
    <w:rsid w:val="00176F6C"/>
    <w:rsid w:val="001B31AC"/>
    <w:rsid w:val="001C69B2"/>
    <w:rsid w:val="002211B7"/>
    <w:rsid w:val="00252AF4"/>
    <w:rsid w:val="002B1965"/>
    <w:rsid w:val="002B5100"/>
    <w:rsid w:val="002C3DAF"/>
    <w:rsid w:val="002D765C"/>
    <w:rsid w:val="00306D40"/>
    <w:rsid w:val="0039537B"/>
    <w:rsid w:val="0042258C"/>
    <w:rsid w:val="004750D7"/>
    <w:rsid w:val="004C154E"/>
    <w:rsid w:val="004E7DF9"/>
    <w:rsid w:val="0058618B"/>
    <w:rsid w:val="005F2788"/>
    <w:rsid w:val="00621D87"/>
    <w:rsid w:val="00631E30"/>
    <w:rsid w:val="00643109"/>
    <w:rsid w:val="006630DA"/>
    <w:rsid w:val="00727E79"/>
    <w:rsid w:val="00737916"/>
    <w:rsid w:val="00767D11"/>
    <w:rsid w:val="007B65E8"/>
    <w:rsid w:val="007B7747"/>
    <w:rsid w:val="00800A31"/>
    <w:rsid w:val="008E227F"/>
    <w:rsid w:val="009334AE"/>
    <w:rsid w:val="00934274"/>
    <w:rsid w:val="009603B7"/>
    <w:rsid w:val="009B2140"/>
    <w:rsid w:val="009B585F"/>
    <w:rsid w:val="009C3866"/>
    <w:rsid w:val="009D277C"/>
    <w:rsid w:val="009D574E"/>
    <w:rsid w:val="009E09D7"/>
    <w:rsid w:val="00AA18D1"/>
    <w:rsid w:val="00AC2EA3"/>
    <w:rsid w:val="00AD04DF"/>
    <w:rsid w:val="00AF2EC0"/>
    <w:rsid w:val="00B40001"/>
    <w:rsid w:val="00B81028"/>
    <w:rsid w:val="00B90491"/>
    <w:rsid w:val="00BB0BC4"/>
    <w:rsid w:val="00C04E15"/>
    <w:rsid w:val="00C9470F"/>
    <w:rsid w:val="00CA309A"/>
    <w:rsid w:val="00CA4E8C"/>
    <w:rsid w:val="00CD7C60"/>
    <w:rsid w:val="00D00E90"/>
    <w:rsid w:val="00D40172"/>
    <w:rsid w:val="00D61659"/>
    <w:rsid w:val="00D96B7D"/>
    <w:rsid w:val="00E165F0"/>
    <w:rsid w:val="00E63E69"/>
    <w:rsid w:val="00E82297"/>
    <w:rsid w:val="00EF5357"/>
    <w:rsid w:val="00F423DE"/>
    <w:rsid w:val="00FB73B9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02DF9"/>
  <w15:chartTrackingRefBased/>
  <w15:docId w15:val="{C2EBA601-0B92-4145-A62D-BCC5D28D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4DF"/>
  </w:style>
  <w:style w:type="paragraph" w:styleId="Footer">
    <w:name w:val="footer"/>
    <w:basedOn w:val="Normal"/>
    <w:link w:val="FooterChar"/>
    <w:uiPriority w:val="99"/>
    <w:unhideWhenUsed/>
    <w:rsid w:val="00AD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4DF"/>
  </w:style>
  <w:style w:type="paragraph" w:customStyle="1" w:styleId="EndNoteBibliographyTitle">
    <w:name w:val="EndNote Bibliography Title"/>
    <w:basedOn w:val="Normal"/>
    <w:link w:val="EndNoteBibliographyTitleChar"/>
    <w:rsid w:val="00AD04D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04D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D04D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D04DF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FF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E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61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6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Eric</dc:creator>
  <cp:keywords/>
  <dc:description/>
  <cp:lastModifiedBy>Robinson, Eric</cp:lastModifiedBy>
  <cp:revision>2</cp:revision>
  <dcterms:created xsi:type="dcterms:W3CDTF">2021-11-04T15:41:00Z</dcterms:created>
  <dcterms:modified xsi:type="dcterms:W3CDTF">2021-11-04T15:41:00Z</dcterms:modified>
</cp:coreProperties>
</file>