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BB" w:rsidRPr="00B815CF" w:rsidRDefault="00BE70BB" w:rsidP="00BE70BB">
      <w:pPr>
        <w:spacing w:line="360" w:lineRule="auto"/>
      </w:pPr>
      <w:r w:rsidRPr="00B815CF">
        <w:rPr>
          <w:b/>
          <w:bCs/>
        </w:rPr>
        <w:t xml:space="preserve">Supplementary Table. </w:t>
      </w:r>
      <w:r w:rsidRPr="00B815CF">
        <w:t>Clinical characteristics of MS patients with lab-confirmed COVID receiving OCR vs Non-OCR by Race/ Ethnicity</w:t>
      </w:r>
    </w:p>
    <w:p w:rsidR="00BE70BB" w:rsidRPr="00B815CF" w:rsidRDefault="00BE70BB" w:rsidP="00BE70BB">
      <w:pPr>
        <w:spacing w:line="360" w:lineRule="auto"/>
      </w:pP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3055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rPr>
                <w:sz w:val="20"/>
                <w:szCs w:val="20"/>
              </w:rPr>
            </w:pPr>
          </w:p>
        </w:tc>
        <w:tc>
          <w:tcPr>
            <w:tcW w:w="5355" w:type="dxa"/>
            <w:gridSpan w:val="5"/>
            <w:vAlign w:val="center"/>
          </w:tcPr>
          <w:p w:rsidR="00BE70BB" w:rsidRPr="00B815CF" w:rsidRDefault="00BE70BB" w:rsidP="00277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5CF">
              <w:rPr>
                <w:b/>
                <w:bCs/>
                <w:sz w:val="20"/>
                <w:szCs w:val="20"/>
              </w:rPr>
              <w:t>OCR</w:t>
            </w:r>
          </w:p>
        </w:tc>
        <w:tc>
          <w:tcPr>
            <w:tcW w:w="5355" w:type="dxa"/>
            <w:gridSpan w:val="5"/>
            <w:vAlign w:val="center"/>
          </w:tcPr>
          <w:p w:rsidR="00BE70BB" w:rsidRPr="00B815CF" w:rsidRDefault="00BE70BB" w:rsidP="00277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5CF">
              <w:rPr>
                <w:b/>
                <w:bCs/>
                <w:sz w:val="20"/>
                <w:szCs w:val="20"/>
              </w:rPr>
              <w:t>Non-OCR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5CF">
              <w:rPr>
                <w:b/>
                <w:bCs/>
                <w:sz w:val="20"/>
                <w:szCs w:val="20"/>
              </w:rPr>
              <w:t>White</w:t>
            </w:r>
            <w:r w:rsidRPr="00B815CF">
              <w:rPr>
                <w:b/>
                <w:bCs/>
                <w:sz w:val="20"/>
                <w:szCs w:val="20"/>
              </w:rPr>
              <w:br/>
              <w:t>n=27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5CF">
              <w:rPr>
                <w:b/>
                <w:bCs/>
                <w:sz w:val="20"/>
                <w:szCs w:val="20"/>
              </w:rPr>
              <w:t>AA</w:t>
            </w:r>
            <w:r w:rsidRPr="00B815CF">
              <w:rPr>
                <w:b/>
                <w:bCs/>
                <w:sz w:val="20"/>
                <w:szCs w:val="20"/>
              </w:rPr>
              <w:br/>
              <w:t>n=14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5CF">
              <w:rPr>
                <w:b/>
                <w:bCs/>
                <w:sz w:val="20"/>
                <w:szCs w:val="20"/>
              </w:rPr>
              <w:t>HA</w:t>
            </w:r>
            <w:r w:rsidRPr="00B815CF">
              <w:rPr>
                <w:b/>
                <w:bCs/>
                <w:sz w:val="20"/>
                <w:szCs w:val="20"/>
              </w:rPr>
              <w:br/>
              <w:t>n=23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5CF">
              <w:rPr>
                <w:b/>
                <w:bCs/>
                <w:sz w:val="20"/>
                <w:szCs w:val="20"/>
              </w:rPr>
              <w:t>Other</w:t>
            </w:r>
            <w:r w:rsidRPr="00B815CF">
              <w:rPr>
                <w:b/>
                <w:bCs/>
                <w:sz w:val="20"/>
                <w:szCs w:val="20"/>
              </w:rPr>
              <w:br/>
              <w:t>n=6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5CF">
              <w:rPr>
                <w:b/>
                <w:bCs/>
                <w:sz w:val="20"/>
                <w:szCs w:val="20"/>
              </w:rPr>
              <w:t>Total</w:t>
            </w:r>
          </w:p>
          <w:p w:rsidR="00BE70BB" w:rsidRPr="00B815CF" w:rsidRDefault="00BE70BB" w:rsidP="00277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5CF">
              <w:rPr>
                <w:b/>
                <w:bCs/>
                <w:sz w:val="20"/>
                <w:szCs w:val="20"/>
              </w:rPr>
              <w:t>n=70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5CF">
              <w:rPr>
                <w:b/>
                <w:bCs/>
                <w:sz w:val="20"/>
                <w:szCs w:val="20"/>
              </w:rPr>
              <w:t>White</w:t>
            </w:r>
            <w:r w:rsidRPr="00B815CF">
              <w:rPr>
                <w:b/>
                <w:bCs/>
                <w:sz w:val="20"/>
                <w:szCs w:val="20"/>
              </w:rPr>
              <w:br/>
              <w:t>n=42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5CF">
              <w:rPr>
                <w:b/>
                <w:bCs/>
                <w:sz w:val="20"/>
                <w:szCs w:val="20"/>
              </w:rPr>
              <w:t>AA</w:t>
            </w:r>
            <w:r w:rsidRPr="00B815CF">
              <w:rPr>
                <w:b/>
                <w:bCs/>
                <w:sz w:val="20"/>
                <w:szCs w:val="20"/>
              </w:rPr>
              <w:br/>
              <w:t>n=35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5CF">
              <w:rPr>
                <w:b/>
                <w:bCs/>
                <w:sz w:val="20"/>
                <w:szCs w:val="20"/>
              </w:rPr>
              <w:t>HA</w:t>
            </w:r>
            <w:r w:rsidRPr="00B815CF">
              <w:rPr>
                <w:b/>
                <w:bCs/>
                <w:sz w:val="20"/>
                <w:szCs w:val="20"/>
              </w:rPr>
              <w:br/>
              <w:t>n=26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5CF">
              <w:rPr>
                <w:b/>
                <w:bCs/>
                <w:sz w:val="20"/>
                <w:szCs w:val="20"/>
              </w:rPr>
              <w:t>Other</w:t>
            </w:r>
            <w:r w:rsidRPr="00B815CF">
              <w:rPr>
                <w:b/>
                <w:bCs/>
                <w:sz w:val="20"/>
                <w:szCs w:val="20"/>
              </w:rPr>
              <w:br/>
              <w:t>n=5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5CF">
              <w:rPr>
                <w:b/>
                <w:bCs/>
                <w:sz w:val="20"/>
                <w:szCs w:val="20"/>
              </w:rPr>
              <w:t>Total</w:t>
            </w:r>
          </w:p>
          <w:p w:rsidR="00BE70BB" w:rsidRPr="00B815CF" w:rsidRDefault="00BE70BB" w:rsidP="00277D4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5CF">
              <w:rPr>
                <w:b/>
                <w:bCs/>
                <w:sz w:val="20"/>
                <w:szCs w:val="20"/>
              </w:rPr>
              <w:t>n=107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Age, years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88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Mean (SD)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42.2</w:t>
            </w:r>
            <w:r w:rsidRPr="00B815CF">
              <w:rPr>
                <w:sz w:val="20"/>
                <w:szCs w:val="20"/>
              </w:rPr>
              <w:br/>
              <w:t>(9.6)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37.6</w:t>
            </w:r>
            <w:r w:rsidRPr="00B815CF">
              <w:rPr>
                <w:sz w:val="20"/>
                <w:szCs w:val="20"/>
              </w:rPr>
              <w:br/>
              <w:t>(8.7)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34.4</w:t>
            </w:r>
            <w:r w:rsidRPr="00B815CF">
              <w:rPr>
                <w:sz w:val="20"/>
                <w:szCs w:val="20"/>
              </w:rPr>
              <w:br/>
              <w:t>(7.4)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32.3</w:t>
            </w:r>
            <w:r w:rsidRPr="00B815CF">
              <w:rPr>
                <w:sz w:val="20"/>
                <w:szCs w:val="20"/>
              </w:rPr>
              <w:br/>
              <w:t>(13.3)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37.9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(9.7)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43.9</w:t>
            </w:r>
            <w:r w:rsidRPr="00B815CF">
              <w:rPr>
                <w:sz w:val="20"/>
                <w:szCs w:val="20"/>
              </w:rPr>
              <w:br/>
              <w:t>(11.4)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41.1</w:t>
            </w:r>
            <w:r w:rsidRPr="00B815CF">
              <w:rPr>
                <w:sz w:val="20"/>
                <w:szCs w:val="20"/>
              </w:rPr>
              <w:br/>
              <w:t>(10.9)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37.8</w:t>
            </w:r>
            <w:r w:rsidRPr="00B815CF">
              <w:rPr>
                <w:sz w:val="20"/>
                <w:szCs w:val="20"/>
              </w:rPr>
              <w:br/>
              <w:t>(10.8)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37.3</w:t>
            </w:r>
            <w:r w:rsidRPr="00B815CF">
              <w:rPr>
                <w:sz w:val="20"/>
                <w:szCs w:val="20"/>
              </w:rPr>
              <w:br/>
              <w:t>(17.2)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41.3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(11.4)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Sex, n (%)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88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Female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22</w:t>
            </w:r>
            <w:r w:rsidRPr="00B815CF">
              <w:rPr>
                <w:sz w:val="20"/>
                <w:szCs w:val="20"/>
              </w:rPr>
              <w:br/>
              <w:t>(81.5)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9</w:t>
            </w:r>
            <w:r w:rsidRPr="00B815CF">
              <w:rPr>
                <w:sz w:val="20"/>
                <w:szCs w:val="20"/>
              </w:rPr>
              <w:br/>
              <w:t>(64.3)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17</w:t>
            </w:r>
            <w:r w:rsidRPr="00B815CF">
              <w:rPr>
                <w:sz w:val="20"/>
                <w:szCs w:val="20"/>
              </w:rPr>
              <w:br/>
              <w:t>(73.9)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5</w:t>
            </w:r>
            <w:r w:rsidRPr="00B815CF">
              <w:rPr>
                <w:sz w:val="20"/>
                <w:szCs w:val="20"/>
              </w:rPr>
              <w:br/>
              <w:t>(83.3)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53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(75.7)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20</w:t>
            </w:r>
            <w:r w:rsidRPr="00B815CF">
              <w:rPr>
                <w:sz w:val="20"/>
                <w:szCs w:val="20"/>
              </w:rPr>
              <w:br/>
              <w:t>(47.6)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29</w:t>
            </w:r>
            <w:r w:rsidRPr="00B815CF">
              <w:rPr>
                <w:sz w:val="20"/>
                <w:szCs w:val="20"/>
              </w:rPr>
              <w:br/>
              <w:t>(82.9)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19</w:t>
            </w:r>
            <w:r w:rsidRPr="00B815CF">
              <w:rPr>
                <w:sz w:val="20"/>
                <w:szCs w:val="20"/>
              </w:rPr>
              <w:br/>
              <w:t>(73.1)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</w:t>
            </w:r>
            <w:r w:rsidRPr="00B815CF">
              <w:rPr>
                <w:sz w:val="20"/>
                <w:szCs w:val="20"/>
              </w:rPr>
              <w:br/>
              <w:t>(100)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72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(67.3)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Ambulatory status, n (%)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88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Fully ambulatory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23</w:t>
            </w:r>
            <w:r w:rsidRPr="00B815CF">
              <w:rPr>
                <w:sz w:val="20"/>
                <w:szCs w:val="20"/>
              </w:rPr>
              <w:br/>
              <w:t>(85.2)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8</w:t>
            </w:r>
            <w:r w:rsidRPr="00B815CF">
              <w:rPr>
                <w:sz w:val="20"/>
                <w:szCs w:val="20"/>
              </w:rPr>
              <w:br/>
              <w:t>(57.1)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14</w:t>
            </w:r>
            <w:r w:rsidRPr="00B815CF">
              <w:rPr>
                <w:sz w:val="20"/>
                <w:szCs w:val="20"/>
              </w:rPr>
              <w:br/>
              <w:t>(60.9)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5</w:t>
            </w:r>
            <w:r w:rsidRPr="00B815CF">
              <w:rPr>
                <w:sz w:val="20"/>
                <w:szCs w:val="20"/>
              </w:rPr>
              <w:br/>
              <w:t>(83.3)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 xml:space="preserve">50 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(71.4)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31</w:t>
            </w:r>
            <w:r w:rsidRPr="00B815CF">
              <w:rPr>
                <w:sz w:val="20"/>
                <w:szCs w:val="20"/>
              </w:rPr>
              <w:br/>
              <w:t>(73.8)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22</w:t>
            </w:r>
            <w:r w:rsidRPr="00B815CF">
              <w:rPr>
                <w:sz w:val="20"/>
                <w:szCs w:val="20"/>
              </w:rPr>
              <w:br/>
              <w:t>(62.9)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22</w:t>
            </w:r>
            <w:r w:rsidRPr="00B815CF">
              <w:rPr>
                <w:sz w:val="20"/>
                <w:szCs w:val="20"/>
              </w:rPr>
              <w:br/>
              <w:t>(84.6)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</w:t>
            </w:r>
            <w:r w:rsidRPr="00B815CF">
              <w:rPr>
                <w:sz w:val="20"/>
                <w:szCs w:val="20"/>
              </w:rPr>
              <w:br/>
              <w:t>(50.0)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77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(72.0)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COVID Symptom count, n (%)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88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5 (18.5)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 (21.4)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8 (34.8)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 (50.0)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19 (27.1)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7 (16.7)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11 (31.4)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5 (19.2)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 (25.0)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24 (22.4)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88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1-3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5 (18.5)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7 (50.0)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 (17.4)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 (16.7)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17 (24.3)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8 (19.0)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 (11.4)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10 (38.5)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 (50.0)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24 (22.4)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 xml:space="preserve">      &gt;3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17 (63.0)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 (28.6)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11 (47.8)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 (33.3)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34 (48.6)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27 (64.3)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20 (57.2)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11 (42.3)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 (25.0)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59 (55.2)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88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Respiratory symptoms, n (%)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5 (18.5)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 (21.4)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8 (34.8)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16 (22.9)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16 (38.1)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11 (31.4)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11 (42.3)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38 (35.5)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88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Hospitalization, n (%)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 (3.7)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 (7.1)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 (2.9)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 (9.5)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 (5.7)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 (3.8)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7 (6.5)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88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Infection to collection, weeks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n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22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7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12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44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31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23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15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72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Mean (SD)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26.8</w:t>
            </w:r>
            <w:r w:rsidRPr="00B815CF">
              <w:rPr>
                <w:sz w:val="20"/>
                <w:szCs w:val="20"/>
              </w:rPr>
              <w:br/>
              <w:t>(19.0)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23.2</w:t>
            </w:r>
            <w:r w:rsidRPr="00B815CF">
              <w:rPr>
                <w:sz w:val="20"/>
                <w:szCs w:val="20"/>
              </w:rPr>
              <w:br/>
              <w:t>(16.3)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26.2</w:t>
            </w:r>
            <w:r w:rsidRPr="00B815CF">
              <w:rPr>
                <w:sz w:val="20"/>
                <w:szCs w:val="20"/>
              </w:rPr>
              <w:br/>
              <w:t>(19.0)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36.0</w:t>
            </w:r>
            <w:r w:rsidRPr="00B815CF">
              <w:rPr>
                <w:sz w:val="20"/>
                <w:szCs w:val="20"/>
              </w:rPr>
              <w:br/>
              <w:t>(22.4)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26.7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(18.4)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36.6</w:t>
            </w:r>
            <w:r w:rsidRPr="00B815CF">
              <w:rPr>
                <w:sz w:val="20"/>
                <w:szCs w:val="20"/>
              </w:rPr>
              <w:br/>
              <w:t>(18.4)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45.6</w:t>
            </w:r>
            <w:r w:rsidRPr="00B815CF">
              <w:rPr>
                <w:sz w:val="20"/>
                <w:szCs w:val="20"/>
              </w:rPr>
              <w:br/>
              <w:t>(13.5)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41.3</w:t>
            </w:r>
            <w:r w:rsidRPr="00B815CF">
              <w:rPr>
                <w:sz w:val="20"/>
                <w:szCs w:val="20"/>
              </w:rPr>
              <w:br/>
              <w:t>(17.1)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6.9</w:t>
            </w:r>
            <w:r w:rsidRPr="00B815CF">
              <w:rPr>
                <w:sz w:val="20"/>
                <w:szCs w:val="20"/>
              </w:rPr>
              <w:br/>
              <w:t>(1.0)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39.2 (17.9)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Median (Q1, Q3)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16.9</w:t>
            </w:r>
            <w:r w:rsidRPr="00B815CF">
              <w:rPr>
                <w:sz w:val="20"/>
                <w:szCs w:val="20"/>
              </w:rPr>
              <w:br/>
              <w:t>(9.6, 46.1)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13.7</w:t>
            </w:r>
            <w:r w:rsidRPr="00B815CF">
              <w:rPr>
                <w:sz w:val="20"/>
                <w:szCs w:val="20"/>
              </w:rPr>
              <w:br/>
              <w:t>(12.0, 42.4)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20.1</w:t>
            </w:r>
            <w:r w:rsidRPr="00B815CF">
              <w:rPr>
                <w:sz w:val="20"/>
                <w:szCs w:val="20"/>
              </w:rPr>
              <w:br/>
              <w:t>(10.9, 46.1)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43.0</w:t>
            </w:r>
            <w:r w:rsidRPr="00B815CF">
              <w:rPr>
                <w:sz w:val="20"/>
                <w:szCs w:val="20"/>
              </w:rPr>
              <w:br/>
              <w:t>(11.0, 54.1)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18.0 (11.1, 45.6)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44.7</w:t>
            </w:r>
            <w:r w:rsidRPr="00B815CF">
              <w:rPr>
                <w:sz w:val="20"/>
                <w:szCs w:val="20"/>
              </w:rPr>
              <w:br/>
              <w:t>(15.0, 51.4)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49.1</w:t>
            </w:r>
            <w:r w:rsidRPr="00B815CF">
              <w:rPr>
                <w:sz w:val="20"/>
                <w:szCs w:val="20"/>
              </w:rPr>
              <w:br/>
              <w:t>(44.1, 53.0)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47.9</w:t>
            </w:r>
            <w:r w:rsidRPr="00B815CF">
              <w:rPr>
                <w:sz w:val="20"/>
                <w:szCs w:val="20"/>
              </w:rPr>
              <w:br/>
              <w:t>(24.7, 51.6)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6.4</w:t>
            </w:r>
            <w:r w:rsidRPr="00B815CF">
              <w:rPr>
                <w:sz w:val="20"/>
                <w:szCs w:val="20"/>
              </w:rPr>
              <w:br/>
              <w:t>(6.1, 8.0)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46.4 (19.8, 51.6)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88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Log of Elecsys anti-SARS-CoV-2 Ab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88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n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26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14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23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6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69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36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29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23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92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88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Mean (SD)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0.3</w:t>
            </w:r>
            <w:r w:rsidRPr="00B815CF">
              <w:rPr>
                <w:sz w:val="20"/>
                <w:szCs w:val="20"/>
                <w:vertAlign w:val="superscript"/>
              </w:rPr>
              <w:t>a</w:t>
            </w:r>
            <w:r w:rsidRPr="00B815CF">
              <w:rPr>
                <w:sz w:val="20"/>
                <w:szCs w:val="20"/>
              </w:rPr>
              <w:br/>
              <w:t>(0.6)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0.5</w:t>
            </w:r>
            <w:r w:rsidRPr="00B815CF">
              <w:rPr>
                <w:sz w:val="20"/>
                <w:szCs w:val="20"/>
              </w:rPr>
              <w:br/>
              <w:t>(0.9)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0.3</w:t>
            </w:r>
            <w:r w:rsidRPr="00B815CF">
              <w:rPr>
                <w:sz w:val="20"/>
                <w:szCs w:val="20"/>
              </w:rPr>
              <w:br/>
              <w:t>(0.5)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0.0</w:t>
            </w:r>
            <w:r w:rsidRPr="00B815CF">
              <w:rPr>
                <w:sz w:val="20"/>
                <w:szCs w:val="20"/>
              </w:rPr>
              <w:br/>
              <w:t>(0.0)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0.3   (0.6)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1.6</w:t>
            </w:r>
            <w:r w:rsidRPr="00B815CF">
              <w:rPr>
                <w:sz w:val="20"/>
                <w:szCs w:val="20"/>
                <w:vertAlign w:val="superscript"/>
              </w:rPr>
              <w:t>b</w:t>
            </w:r>
            <w:r w:rsidRPr="00B815CF">
              <w:rPr>
                <w:sz w:val="20"/>
                <w:szCs w:val="20"/>
              </w:rPr>
              <w:br/>
              <w:t>(0.9)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1.9</w:t>
            </w:r>
            <w:r w:rsidRPr="00B815CF">
              <w:rPr>
                <w:sz w:val="20"/>
                <w:szCs w:val="20"/>
                <w:vertAlign w:val="superscript"/>
              </w:rPr>
              <w:t>c</w:t>
            </w:r>
            <w:r w:rsidRPr="00B815CF">
              <w:rPr>
                <w:sz w:val="20"/>
                <w:szCs w:val="20"/>
              </w:rPr>
              <w:br/>
              <w:t>(0.8)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1.4</w:t>
            </w:r>
            <w:r w:rsidRPr="00B815CF">
              <w:rPr>
                <w:sz w:val="20"/>
                <w:szCs w:val="20"/>
                <w:vertAlign w:val="superscript"/>
              </w:rPr>
              <w:t>d</w:t>
            </w:r>
            <w:r w:rsidRPr="00B815CF">
              <w:rPr>
                <w:sz w:val="20"/>
                <w:szCs w:val="20"/>
              </w:rPr>
              <w:br/>
              <w:t>(1.1)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1.5</w:t>
            </w:r>
            <w:r w:rsidRPr="00B815CF">
              <w:rPr>
                <w:sz w:val="20"/>
                <w:szCs w:val="20"/>
              </w:rPr>
              <w:br/>
              <w:t>(1.1)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1.6   (0.9)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Median (Q1, Q3)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0.0</w:t>
            </w:r>
            <w:r w:rsidRPr="00B815CF">
              <w:rPr>
                <w:sz w:val="20"/>
                <w:szCs w:val="20"/>
              </w:rPr>
              <w:br/>
              <w:t>(0.0, 0.8)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0.0</w:t>
            </w:r>
            <w:r w:rsidRPr="00B815CF">
              <w:rPr>
                <w:sz w:val="20"/>
                <w:szCs w:val="20"/>
              </w:rPr>
              <w:br/>
              <w:t>(0.0, 0.6)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0.0</w:t>
            </w:r>
            <w:r w:rsidRPr="00B815CF">
              <w:rPr>
                <w:sz w:val="20"/>
                <w:szCs w:val="20"/>
              </w:rPr>
              <w:br/>
              <w:t>(0.0, 0.6)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0.0</w:t>
            </w:r>
            <w:r w:rsidRPr="00B815CF">
              <w:rPr>
                <w:sz w:val="20"/>
                <w:szCs w:val="20"/>
              </w:rPr>
              <w:br/>
              <w:t>(0.0, 0.0)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 xml:space="preserve">0.0 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(0.0, 0.6)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1.7</w:t>
            </w:r>
            <w:r w:rsidRPr="00B815CF">
              <w:rPr>
                <w:sz w:val="20"/>
                <w:szCs w:val="20"/>
              </w:rPr>
              <w:br/>
              <w:t>(0.8, 2.2)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2.1</w:t>
            </w:r>
            <w:r w:rsidRPr="00B815CF">
              <w:rPr>
                <w:sz w:val="20"/>
                <w:szCs w:val="20"/>
              </w:rPr>
              <w:br/>
              <w:t>(1.4, 2.3)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1.6</w:t>
            </w:r>
            <w:r w:rsidRPr="00B815CF">
              <w:rPr>
                <w:sz w:val="20"/>
                <w:szCs w:val="20"/>
              </w:rPr>
              <w:br/>
              <w:t>(0.0, 2.2)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1.7</w:t>
            </w:r>
            <w:r w:rsidRPr="00B815CF">
              <w:rPr>
                <w:sz w:val="20"/>
                <w:szCs w:val="20"/>
              </w:rPr>
              <w:br/>
              <w:t>(0.5, 2.4)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 xml:space="preserve">1.8 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(1.0, 2.2)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88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Log of MBI IgG S</w:t>
            </w:r>
            <w:r w:rsidRPr="00B815CF" w:rsidDel="00BE3B6E">
              <w:rPr>
                <w:sz w:val="20"/>
                <w:szCs w:val="20"/>
              </w:rPr>
              <w:t>s</w:t>
            </w:r>
            <w:r w:rsidRPr="00B815CF">
              <w:rPr>
                <w:sz w:val="20"/>
                <w:szCs w:val="20"/>
              </w:rPr>
              <w:t>pike Ab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88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27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14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23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6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70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42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35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26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107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88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Mean (SD)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3.0</w:t>
            </w:r>
            <w:r w:rsidRPr="00B815CF" w:rsidDel="00FD68D3">
              <w:rPr>
                <w:sz w:val="20"/>
                <w:szCs w:val="20"/>
              </w:rPr>
              <w:br/>
            </w:r>
            <w:r w:rsidRPr="00B815CF">
              <w:rPr>
                <w:sz w:val="20"/>
                <w:szCs w:val="20"/>
              </w:rPr>
              <w:t>(0.9)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3.3</w:t>
            </w:r>
            <w:r w:rsidRPr="00B815CF">
              <w:rPr>
                <w:sz w:val="20"/>
                <w:szCs w:val="20"/>
              </w:rPr>
              <w:br/>
              <w:t>(0.9)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3.0</w:t>
            </w:r>
            <w:r w:rsidRPr="00B815CF">
              <w:rPr>
                <w:sz w:val="20"/>
                <w:szCs w:val="20"/>
              </w:rPr>
              <w:br/>
              <w:t>(0.9)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2.7</w:t>
            </w:r>
            <w:r w:rsidRPr="00B815CF" w:rsidDel="00FD68D3">
              <w:rPr>
                <w:sz w:val="20"/>
                <w:szCs w:val="20"/>
              </w:rPr>
              <w:br/>
            </w:r>
            <w:r w:rsidRPr="00B815CF">
              <w:rPr>
                <w:sz w:val="20"/>
                <w:szCs w:val="20"/>
              </w:rPr>
              <w:t>(0.3)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 xml:space="preserve">3.0 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3.7</w:t>
            </w:r>
            <w:r w:rsidRPr="00B815CF">
              <w:rPr>
                <w:sz w:val="20"/>
                <w:szCs w:val="20"/>
              </w:rPr>
              <w:br/>
              <w:t>(0.5)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3.9</w:t>
            </w:r>
            <w:r w:rsidRPr="00B815CF">
              <w:rPr>
                <w:sz w:val="20"/>
                <w:szCs w:val="20"/>
              </w:rPr>
              <w:br/>
              <w:t>(0.4)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3.6</w:t>
            </w:r>
            <w:r w:rsidRPr="00B815CF">
              <w:rPr>
                <w:sz w:val="20"/>
                <w:szCs w:val="20"/>
              </w:rPr>
              <w:br/>
              <w:t>(0.7)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3.5</w:t>
            </w:r>
            <w:r w:rsidRPr="00B815CF">
              <w:rPr>
                <w:sz w:val="20"/>
                <w:szCs w:val="20"/>
              </w:rPr>
              <w:br/>
              <w:t>(1.4)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 xml:space="preserve">3.7 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(0.6)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Median (Q1, Q3)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3.0</w:t>
            </w:r>
            <w:r w:rsidRPr="00B815CF">
              <w:rPr>
                <w:sz w:val="20"/>
                <w:szCs w:val="20"/>
              </w:rPr>
              <w:br/>
              <w:t>(2.5, 3.7)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3.4</w:t>
            </w:r>
            <w:r w:rsidRPr="00B815CF">
              <w:rPr>
                <w:sz w:val="20"/>
                <w:szCs w:val="20"/>
              </w:rPr>
              <w:br/>
              <w:t>(2.4, 4.3)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3.2</w:t>
            </w:r>
            <w:r w:rsidRPr="00B815CF">
              <w:rPr>
                <w:sz w:val="20"/>
                <w:szCs w:val="20"/>
              </w:rPr>
              <w:br/>
              <w:t>(2.4, 3.9)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2.6</w:t>
            </w:r>
            <w:r w:rsidRPr="00B815CF">
              <w:rPr>
                <w:sz w:val="20"/>
                <w:szCs w:val="20"/>
              </w:rPr>
              <w:br/>
              <w:t>(2.5, 3.0)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 xml:space="preserve">2.6 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(2.5, 3.0)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3.8</w:t>
            </w:r>
            <w:r w:rsidRPr="00B815CF">
              <w:rPr>
                <w:sz w:val="20"/>
                <w:szCs w:val="20"/>
              </w:rPr>
              <w:br/>
              <w:t>(3.4, 4.1)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4.0</w:t>
            </w:r>
            <w:r w:rsidRPr="00B815CF">
              <w:rPr>
                <w:sz w:val="20"/>
                <w:szCs w:val="20"/>
              </w:rPr>
              <w:br/>
              <w:t>(3.7, 4.3)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3.8</w:t>
            </w:r>
            <w:r w:rsidRPr="00B815CF">
              <w:rPr>
                <w:sz w:val="20"/>
                <w:szCs w:val="20"/>
              </w:rPr>
              <w:br/>
              <w:t>(3.3, 4.0)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4.1</w:t>
            </w:r>
            <w:r w:rsidRPr="00B815CF">
              <w:rPr>
                <w:sz w:val="20"/>
                <w:szCs w:val="20"/>
              </w:rPr>
              <w:br/>
              <w:t>(2.6, 4.3)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3.9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(3.4, 4.2)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7B134F" w:rsidP="00277D45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 of Nabs ID</w:t>
            </w:r>
            <w:bookmarkStart w:id="0" w:name="_GoBack"/>
            <w:bookmarkEnd w:id="0"/>
            <w:r w:rsidR="00BE70BB" w:rsidRPr="00B815CF">
              <w:rPr>
                <w:sz w:val="20"/>
                <w:szCs w:val="20"/>
              </w:rPr>
              <w:t>50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88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n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16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5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9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32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22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11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10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45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88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Mean (SD)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1.3</w:t>
            </w:r>
            <w:r w:rsidRPr="00B815CF">
              <w:rPr>
                <w:sz w:val="20"/>
                <w:szCs w:val="20"/>
                <w:vertAlign w:val="superscript"/>
              </w:rPr>
              <w:t>e</w:t>
            </w:r>
            <w:r w:rsidRPr="00B815CF">
              <w:rPr>
                <w:sz w:val="20"/>
                <w:szCs w:val="20"/>
              </w:rPr>
              <w:br/>
              <w:t>(0.5)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1.5</w:t>
            </w:r>
            <w:r w:rsidRPr="00B815CF">
              <w:rPr>
                <w:sz w:val="20"/>
                <w:szCs w:val="20"/>
                <w:vertAlign w:val="superscript"/>
              </w:rPr>
              <w:t>f</w:t>
            </w:r>
            <w:r w:rsidRPr="00B815CF">
              <w:rPr>
                <w:sz w:val="20"/>
                <w:szCs w:val="20"/>
              </w:rPr>
              <w:br/>
              <w:t>(0.7)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1.6</w:t>
            </w:r>
            <w:r w:rsidRPr="00B815CF">
              <w:rPr>
                <w:sz w:val="20"/>
                <w:szCs w:val="20"/>
                <w:vertAlign w:val="superscript"/>
              </w:rPr>
              <w:t>g</w:t>
            </w:r>
            <w:r w:rsidRPr="00B815CF">
              <w:rPr>
                <w:sz w:val="20"/>
                <w:szCs w:val="20"/>
              </w:rPr>
              <w:br/>
              <w:t>(0.5)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1.0</w:t>
            </w:r>
            <w:r w:rsidRPr="00B815CF">
              <w:rPr>
                <w:sz w:val="20"/>
                <w:szCs w:val="20"/>
                <w:vertAlign w:val="superscript"/>
              </w:rPr>
              <w:t>h</w:t>
            </w:r>
            <w:r w:rsidRPr="00B815CF">
              <w:rPr>
                <w:sz w:val="20"/>
                <w:szCs w:val="20"/>
              </w:rPr>
              <w:br/>
              <w:t>(0.0)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 xml:space="preserve">1.4 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(0.5)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2.1</w:t>
            </w:r>
            <w:r w:rsidRPr="00B815CF">
              <w:rPr>
                <w:sz w:val="20"/>
                <w:szCs w:val="20"/>
                <w:vertAlign w:val="superscript"/>
              </w:rPr>
              <w:t>i</w:t>
            </w:r>
            <w:r w:rsidRPr="00B815CF">
              <w:rPr>
                <w:sz w:val="20"/>
                <w:szCs w:val="20"/>
              </w:rPr>
              <w:br/>
              <w:t>(0.7)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1.8</w:t>
            </w:r>
            <w:r w:rsidRPr="00B815CF">
              <w:rPr>
                <w:sz w:val="20"/>
                <w:szCs w:val="20"/>
                <w:vertAlign w:val="superscript"/>
              </w:rPr>
              <w:t>j</w:t>
            </w:r>
            <w:r w:rsidRPr="00B815CF">
              <w:rPr>
                <w:sz w:val="20"/>
                <w:szCs w:val="20"/>
              </w:rPr>
              <w:br/>
              <w:t>(0.8)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1.8</w:t>
            </w:r>
            <w:r w:rsidRPr="00B815CF">
              <w:rPr>
                <w:sz w:val="20"/>
                <w:szCs w:val="20"/>
                <w:vertAlign w:val="superscript"/>
              </w:rPr>
              <w:t>k</w:t>
            </w:r>
            <w:r w:rsidRPr="00B815CF">
              <w:rPr>
                <w:sz w:val="20"/>
                <w:szCs w:val="20"/>
              </w:rPr>
              <w:br/>
              <w:t>(0.3)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2.5</w:t>
            </w:r>
            <w:r w:rsidRPr="00B815CF">
              <w:rPr>
                <w:sz w:val="20"/>
                <w:szCs w:val="20"/>
                <w:vertAlign w:val="superscript"/>
              </w:rPr>
              <w:t>l</w:t>
            </w:r>
            <w:r w:rsidRPr="00B815CF">
              <w:rPr>
                <w:sz w:val="20"/>
                <w:szCs w:val="20"/>
              </w:rPr>
              <w:br/>
              <w:t>(0.1)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 xml:space="preserve">2.0 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(0.6)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Median (Q1, Q3)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1.0</w:t>
            </w:r>
            <w:r w:rsidRPr="00B815CF">
              <w:rPr>
                <w:sz w:val="20"/>
                <w:szCs w:val="20"/>
              </w:rPr>
              <w:br/>
              <w:t>(1.0, 1.5)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1.0</w:t>
            </w:r>
            <w:r w:rsidRPr="00B815CF">
              <w:rPr>
                <w:sz w:val="20"/>
                <w:szCs w:val="20"/>
              </w:rPr>
              <w:br/>
              <w:t>(1.0, 1.9)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1.4</w:t>
            </w:r>
            <w:r w:rsidRPr="00B815CF">
              <w:rPr>
                <w:sz w:val="20"/>
                <w:szCs w:val="20"/>
              </w:rPr>
              <w:br/>
              <w:t>(1.3, 2.0)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1.0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(1.0, 1.0)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 xml:space="preserve">1.1 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(1.0, 1.8)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2.4</w:t>
            </w:r>
            <w:r w:rsidRPr="00B815CF">
              <w:rPr>
                <w:sz w:val="20"/>
                <w:szCs w:val="20"/>
              </w:rPr>
              <w:br/>
              <w:t>(1.6, 2.5)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1.9</w:t>
            </w:r>
            <w:r w:rsidRPr="00B815CF">
              <w:rPr>
                <w:sz w:val="20"/>
                <w:szCs w:val="20"/>
              </w:rPr>
              <w:br/>
              <w:t>(1.4, 2.3)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1.9</w:t>
            </w:r>
            <w:r w:rsidRPr="00B815CF">
              <w:rPr>
                <w:sz w:val="20"/>
                <w:szCs w:val="20"/>
              </w:rPr>
              <w:br/>
              <w:t>(1.6, 2.0)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2.5</w:t>
            </w:r>
            <w:r w:rsidRPr="00B815CF">
              <w:rPr>
                <w:sz w:val="20"/>
                <w:szCs w:val="20"/>
              </w:rPr>
              <w:br/>
              <w:t>(2.4, 2.5)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1.9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(1.6, 2.5)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88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Log of TruCulture IFN</w:t>
            </w:r>
            <w:r w:rsidRPr="00B815CF">
              <w:rPr>
                <w:rFonts w:ascii="Symbol" w:hAnsi="Symbol"/>
                <w:sz w:val="20"/>
                <w:szCs w:val="20"/>
              </w:rPr>
              <w:t>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88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n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25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14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22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6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67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35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29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24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92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88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Mean (SD)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1.2 (0.9)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0.8 (1.2)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1.2 (1.0)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0.3 (0.5)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1.0 (1.0)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1.4 (1.1)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1.5 (1.1)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1.0 (1.2)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1.4 (1.6)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1.3 (1.1)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Median (Q1, Q3)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 xml:space="preserve">1.3 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(0.0, 1.7)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 xml:space="preserve">0.0 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(0.0, 1.9)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1.3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(0.0, 1.8)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0.0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(0.0, 0.3)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1.2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(0.0, 1.8)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1.7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(0.0, 2.4)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1.5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(0.8, 2.3)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0.0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(0.0, 1.9)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1.3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(0.0, 2.8)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1.4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(0.0, 2.4)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50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Log of TruCulture IL2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left="250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n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25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14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22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6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67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35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29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24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4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92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ind w:firstLine="250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Mean (SD)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0.5 (0.8)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0.8 (1.1)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0.7 (0.9)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0.3 (0.6)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0.6 (0.9)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0.9 (1.0)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1.0 (1.0)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0.8 (0.9)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0.8 (0.8)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0.9 (0.9)</w:t>
            </w:r>
          </w:p>
        </w:tc>
      </w:tr>
      <w:tr w:rsidR="00BE70BB" w:rsidRPr="00B815CF" w:rsidTr="00277D45">
        <w:tc>
          <w:tcPr>
            <w:tcW w:w="3055" w:type="dxa"/>
            <w:vAlign w:val="center"/>
          </w:tcPr>
          <w:p w:rsidR="00BE70BB" w:rsidRPr="00B815CF" w:rsidRDefault="00BE70BB" w:rsidP="00277D45">
            <w:pPr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Median (Q1, Q3)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0.0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(0.0, 1.0)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0.0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(0.0, 1.7)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0.2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(0.0, 1.5)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0.0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(0.0, 0.0)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0.0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(0.0, 1.3)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1.0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(0.0, 1.7)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 xml:space="preserve">1.2 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(0.0, 1.9)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0.0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(0.0, 1.7)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0.5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(0.2, 1.3)</w:t>
            </w:r>
          </w:p>
        </w:tc>
        <w:tc>
          <w:tcPr>
            <w:tcW w:w="1071" w:type="dxa"/>
            <w:vAlign w:val="center"/>
          </w:tcPr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 xml:space="preserve">0.7 </w:t>
            </w:r>
          </w:p>
          <w:p w:rsidR="00BE70BB" w:rsidRPr="00B815CF" w:rsidRDefault="00BE70BB" w:rsidP="00277D45">
            <w:pPr>
              <w:jc w:val="center"/>
              <w:rPr>
                <w:sz w:val="20"/>
                <w:szCs w:val="20"/>
              </w:rPr>
            </w:pPr>
            <w:r w:rsidRPr="00B815CF">
              <w:rPr>
                <w:sz w:val="20"/>
                <w:szCs w:val="20"/>
              </w:rPr>
              <w:t>(0.0, 1.8)</w:t>
            </w:r>
          </w:p>
        </w:tc>
      </w:tr>
    </w:tbl>
    <w:p w:rsidR="00BE70BB" w:rsidRPr="00B815CF" w:rsidRDefault="00BE70BB" w:rsidP="00BE70BB">
      <w:pPr>
        <w:spacing w:line="360" w:lineRule="auto"/>
      </w:pPr>
    </w:p>
    <w:p w:rsidR="00BE70BB" w:rsidRPr="00B815CF" w:rsidRDefault="00BE70BB" w:rsidP="00BE70BB">
      <w:pPr>
        <w:rPr>
          <w:sz w:val="20"/>
          <w:szCs w:val="20"/>
        </w:rPr>
      </w:pPr>
      <w:r w:rsidRPr="00B815CF">
        <w:rPr>
          <w:sz w:val="20"/>
          <w:szCs w:val="20"/>
        </w:rPr>
        <w:t>Ab, antibodies; AA, African American; HA, Hispanic American; OCR, ocrelizumab.</w:t>
      </w:r>
    </w:p>
    <w:p w:rsidR="005631DF" w:rsidRDefault="005631DF"/>
    <w:sectPr w:rsidR="005631DF" w:rsidSect="00BE70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NLA0sTQwNLI0tzBR0lEKTi0uzszPAykwrAUAkn6yJCwAAAA="/>
  </w:docVars>
  <w:rsids>
    <w:rsidRoot w:val="00BE70BB"/>
    <w:rsid w:val="005631DF"/>
    <w:rsid w:val="007B134F"/>
    <w:rsid w:val="00B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DFB9"/>
  <w15:chartTrackingRefBased/>
  <w15:docId w15:val="{8044C013-87C2-4032-9DAF-6CAA6237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0BB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0BB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Medical Center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Kister</dc:creator>
  <cp:keywords/>
  <dc:description/>
  <cp:lastModifiedBy>Ilya Kister</cp:lastModifiedBy>
  <cp:revision>2</cp:revision>
  <dcterms:created xsi:type="dcterms:W3CDTF">2021-12-19T18:09:00Z</dcterms:created>
  <dcterms:modified xsi:type="dcterms:W3CDTF">2021-12-20T00:06:00Z</dcterms:modified>
</cp:coreProperties>
</file>