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27E3" w14:textId="35CCD589" w:rsidR="005550BE" w:rsidRDefault="00D745A1">
      <w:pPr>
        <w:rPr>
          <w:rFonts w:ascii="Arial" w:hAnsi="Arial" w:cs="Arial"/>
          <w:sz w:val="22"/>
          <w:szCs w:val="22"/>
          <w:lang w:val="en-GB"/>
        </w:rPr>
      </w:pPr>
      <w:r w:rsidRPr="00D745A1">
        <w:rPr>
          <w:rFonts w:ascii="Arial" w:hAnsi="Arial" w:cs="Arial"/>
          <w:sz w:val="22"/>
          <w:szCs w:val="22"/>
          <w:lang w:val="en-GB"/>
        </w:rPr>
        <w:t>Supplementa</w:t>
      </w:r>
      <w:r w:rsidR="006A1F8D">
        <w:rPr>
          <w:rFonts w:ascii="Arial" w:hAnsi="Arial" w:cs="Arial"/>
          <w:sz w:val="22"/>
          <w:szCs w:val="22"/>
          <w:lang w:val="en-GB"/>
        </w:rPr>
        <w:t>ry</w:t>
      </w:r>
      <w:r w:rsidRPr="00D745A1">
        <w:rPr>
          <w:rFonts w:ascii="Arial" w:hAnsi="Arial" w:cs="Arial"/>
          <w:sz w:val="22"/>
          <w:szCs w:val="22"/>
          <w:lang w:val="en-GB"/>
        </w:rPr>
        <w:t xml:space="preserve"> methods for Phenome-wide association analysis of substance use disorders in a deeply phenotyped sample</w:t>
      </w:r>
    </w:p>
    <w:p w14:paraId="6C2DF9FD" w14:textId="77777777" w:rsidR="004D5111" w:rsidRDefault="004D5111">
      <w:pPr>
        <w:rPr>
          <w:rFonts w:ascii="Arial" w:hAnsi="Arial" w:cs="Arial"/>
          <w:sz w:val="22"/>
          <w:szCs w:val="22"/>
          <w:lang w:val="en-GB"/>
        </w:rPr>
      </w:pPr>
    </w:p>
    <w:p w14:paraId="74039D73" w14:textId="49BC2E20" w:rsidR="00D745A1" w:rsidRDefault="00D745A1">
      <w:pPr>
        <w:rPr>
          <w:rFonts w:ascii="Arial" w:hAnsi="Arial" w:cs="Arial"/>
          <w:sz w:val="22"/>
          <w:szCs w:val="22"/>
          <w:lang w:val="en-GB"/>
        </w:rPr>
      </w:pPr>
    </w:p>
    <w:p w14:paraId="1EBC4B77" w14:textId="77777777" w:rsidR="00D745A1" w:rsidRPr="00E12BB0" w:rsidRDefault="00D745A1" w:rsidP="00D745A1">
      <w:pPr>
        <w:autoSpaceDE w:val="0"/>
        <w:autoSpaceDN w:val="0"/>
        <w:adjustRightInd w:val="0"/>
        <w:spacing w:line="480" w:lineRule="auto"/>
        <w:rPr>
          <w:rFonts w:ascii="Arial" w:hAnsi="Arial" w:cs="Arial"/>
          <w:sz w:val="22"/>
          <w:szCs w:val="22"/>
          <w:u w:val="single"/>
        </w:rPr>
      </w:pPr>
      <w:r w:rsidRPr="00E12BB0">
        <w:rPr>
          <w:rFonts w:ascii="Arial" w:hAnsi="Arial" w:cs="Arial"/>
          <w:sz w:val="22"/>
          <w:szCs w:val="22"/>
          <w:u w:val="single"/>
        </w:rPr>
        <w:t>Variable selection</w:t>
      </w:r>
    </w:p>
    <w:p w14:paraId="38A7C5C2" w14:textId="20BFBA20" w:rsidR="00D745A1" w:rsidRPr="00E12BB0" w:rsidRDefault="00D745A1" w:rsidP="00D745A1">
      <w:pPr>
        <w:spacing w:line="480" w:lineRule="auto"/>
        <w:ind w:firstLine="720"/>
        <w:rPr>
          <w:rFonts w:ascii="Arial" w:hAnsi="Arial" w:cs="Arial"/>
          <w:sz w:val="22"/>
          <w:szCs w:val="22"/>
        </w:rPr>
      </w:pPr>
      <w:r w:rsidRPr="00E12BB0">
        <w:rPr>
          <w:rFonts w:ascii="Arial" w:hAnsi="Arial" w:cs="Arial"/>
          <w:sz w:val="22"/>
          <w:szCs w:val="22"/>
        </w:rPr>
        <w:t xml:space="preserve">We retained demographic variables, including age, self-reported race and ethnicity, marital status, annual income level, educational attainment, and number of children. The retained medical variables included a history of a variety of physical conditions (e.g., cancer, asthma, migraine, heart conditions), hospitalizations and the reasons for them, history of medication use (e.g., antidepressants, antipsychotics, diabetes medications), psychiatric treatment history, and a self-rating of overall health. </w:t>
      </w:r>
    </w:p>
    <w:p w14:paraId="175A7FCB" w14:textId="491DCC6F" w:rsidR="00D745A1" w:rsidRPr="00E12BB0" w:rsidRDefault="00D745A1" w:rsidP="00D745A1">
      <w:pPr>
        <w:spacing w:line="480" w:lineRule="auto"/>
        <w:ind w:firstLine="720"/>
        <w:rPr>
          <w:rFonts w:ascii="Arial" w:hAnsi="Arial" w:cs="Arial"/>
          <w:sz w:val="22"/>
          <w:szCs w:val="22"/>
        </w:rPr>
      </w:pPr>
      <w:r w:rsidRPr="00E12BB0">
        <w:rPr>
          <w:rFonts w:ascii="Arial" w:hAnsi="Arial" w:cs="Arial"/>
          <w:sz w:val="22"/>
          <w:szCs w:val="22"/>
        </w:rPr>
        <w:t>The medical section is followed by sections that cover the use of alcohol, cocaine, opioids, and tobacco and a general substance use section that includes similar questions on cannabinoids, stimulants, sedatives</w:t>
      </w:r>
      <w:r>
        <w:rPr>
          <w:rFonts w:ascii="Arial" w:hAnsi="Arial" w:cs="Arial"/>
          <w:sz w:val="22"/>
          <w:szCs w:val="22"/>
        </w:rPr>
        <w:t>, and other drugs</w:t>
      </w:r>
      <w:r w:rsidRPr="00E12BB0">
        <w:rPr>
          <w:rFonts w:ascii="Arial" w:hAnsi="Arial" w:cs="Arial"/>
          <w:sz w:val="22"/>
          <w:szCs w:val="22"/>
        </w:rPr>
        <w:t xml:space="preserve">. Across all substance use sections, we retained measures of whether the respondent ever used the substance and, if so, the age of first use, measures of quantity and frequency of use, route of administration, DSM-IV and DSM-5 criteria (DSM-5 diagnosis was possible due to the inclusion of an item assessing craving), other pertinent symptoms (e.g., physiological and psychological withdrawal symptoms), treatment history, and age of onset of a disorder. For all SUDs, we generated diagnoses based on DSM-IV (i.e., abuse and dependence) and DSM-5 (i.e., SUD: mild, moderate, or severe) criteria and criterion counts for both diagnostic systems, using a summary score for all 11 criteria in each system. The exception to this was tobacco, where only the DSM-IV diagnosis could be generated; we therefore also retained the responses to the 6 items of the </w:t>
      </w:r>
      <w:proofErr w:type="spellStart"/>
      <w:r w:rsidRPr="00E12BB0">
        <w:rPr>
          <w:rFonts w:ascii="Arial" w:hAnsi="Arial" w:cs="Arial"/>
          <w:sz w:val="22"/>
          <w:szCs w:val="22"/>
        </w:rPr>
        <w:t>Fagerström</w:t>
      </w:r>
      <w:proofErr w:type="spellEnd"/>
      <w:r w:rsidRPr="00E12BB0">
        <w:rPr>
          <w:rFonts w:ascii="Arial" w:hAnsi="Arial" w:cs="Arial"/>
          <w:sz w:val="22"/>
          <w:szCs w:val="22"/>
        </w:rPr>
        <w:t xml:space="preserve"> Test for Nicotine Dependence (FTND)</w:t>
      </w:r>
      <w:r w:rsidRPr="00E12BB0">
        <w:rPr>
          <w:rFonts w:ascii="Arial" w:hAnsi="Arial" w:cs="Arial"/>
          <w:sz w:val="22"/>
          <w:szCs w:val="22"/>
        </w:rPr>
        <w:fldChar w:fldCharType="begin"/>
      </w:r>
      <w:r w:rsidR="00925EA3">
        <w:rPr>
          <w:rFonts w:ascii="Arial" w:hAnsi="Arial" w:cs="Arial"/>
          <w:sz w:val="22"/>
          <w:szCs w:val="22"/>
        </w:rPr>
        <w:instrText xml:space="preserve"> ADDIN ZOTERO_ITEM CSL_CITATION {"citationID":"VafWCEo8","properties":{"formattedCitation":"\\super 1\\nosupersub{}","plainCitation":"1","noteIndex":0},"citationItems":[{"id":472,"uris":["http://zotero.org/users/8087914/items/2B9AL89M"],"uri":["http://zotero.org/users/8087914/items/2B9AL89M"],"itemData":{"id":472,"type":"article-journal","abstract":"We examine and refine the Fagerström Tolerance Questionnaire (FTQ: Fagerström, 1978). The relation between each FTQ item and biochemical measures of heaviness of smoking was examined in 254 smokers. We found that the nicotine rating item and the inhalation item were unrelated to any of our biochemical measures and these two items were primary contributors to psychometric deficiencies in the FTQ. We also found that a revised scoring of time to the first cigarette of the day (TTF) and number of cigarettes smoked per day (CPD) improved the scale. We present a revision of the FTQ: the Fagerström Test for Nicotine Dependence (FTND).","container-title":"British Journal of Addiction","DOI":"10.1111/j.1360-0443.1991.tb01879.x","ISSN":"0952-0481","issue":"9","journalAbbreviation":"Br J Addict","language":"eng","note":"PMID: 1932883","page":"1119-1127","source":"PubMed","title":"The Fagerström Test for Nicotine Dependence: a revision of the Fagerström Tolerance Questionnaire","title-short":"The Fagerström Test for Nicotine Dependence","volume":"86","author":[{"family":"Heatherton","given":"T. F."},{"family":"Kozlowski","given":"L. T."},{"family":"Frecker","given":"R. C."},{"family":"Fagerström","given":"K. O."}],"issued":{"date-parts":[["1991",9]]}}}],"schema":"https://github.com/citation-style-language/schema/raw/master/csl-citation.json"} </w:instrText>
      </w:r>
      <w:r w:rsidRPr="00E12BB0">
        <w:rPr>
          <w:rFonts w:ascii="Arial" w:hAnsi="Arial" w:cs="Arial"/>
          <w:sz w:val="22"/>
          <w:szCs w:val="22"/>
        </w:rPr>
        <w:fldChar w:fldCharType="separate"/>
      </w:r>
      <w:r w:rsidR="00925EA3" w:rsidRPr="00925EA3">
        <w:rPr>
          <w:rFonts w:ascii="Arial" w:hAnsi="Arial" w:cs="Arial"/>
          <w:sz w:val="22"/>
          <w:vertAlign w:val="superscript"/>
        </w:rPr>
        <w:t>1</w:t>
      </w:r>
      <w:r w:rsidRPr="00E12BB0">
        <w:rPr>
          <w:rFonts w:ascii="Arial" w:hAnsi="Arial" w:cs="Arial"/>
          <w:sz w:val="22"/>
          <w:szCs w:val="22"/>
        </w:rPr>
        <w:fldChar w:fldCharType="end"/>
      </w:r>
      <w:r w:rsidRPr="00E12BB0">
        <w:rPr>
          <w:rFonts w:ascii="Arial" w:hAnsi="Arial" w:cs="Arial"/>
          <w:sz w:val="22"/>
          <w:szCs w:val="22"/>
        </w:rPr>
        <w:t xml:space="preserve">. </w:t>
      </w:r>
    </w:p>
    <w:p w14:paraId="05E539D5" w14:textId="26649152" w:rsidR="00D745A1" w:rsidRDefault="00D745A1" w:rsidP="00D745A1">
      <w:pPr>
        <w:spacing w:line="480" w:lineRule="auto"/>
        <w:rPr>
          <w:rFonts w:ascii="Arial" w:hAnsi="Arial" w:cs="Arial"/>
          <w:sz w:val="22"/>
          <w:szCs w:val="22"/>
        </w:rPr>
      </w:pPr>
      <w:r w:rsidRPr="00E12BB0">
        <w:rPr>
          <w:rFonts w:ascii="Arial" w:hAnsi="Arial" w:cs="Arial"/>
          <w:sz w:val="22"/>
          <w:szCs w:val="22"/>
        </w:rPr>
        <w:tab/>
        <w:t xml:space="preserve">We used a similar approach to create consistent measures across psychiatric disorders, retaining symptoms that underpin the DSM criteria, other pertinent symptoms, DSM-IV diagnoses, criterion counts, age of onset of symptoms and diagnosis, treatment received, and length and number of episodes. The SSADDA interview also contains a section on suicidality. </w:t>
      </w:r>
      <w:r w:rsidRPr="00E12BB0">
        <w:rPr>
          <w:rFonts w:ascii="Arial" w:hAnsi="Arial" w:cs="Arial"/>
          <w:sz w:val="22"/>
          <w:szCs w:val="22"/>
        </w:rPr>
        <w:lastRenderedPageBreak/>
        <w:t xml:space="preserve">We retained items that assessed the age of onset and characteristics of suicidal ideation, suicide plans, and suicide attempts. For individuals who endorsed having made a suicide attempt, we retained information on the number of attempts, age of first attempt, treatment received, and the severity of suicidal intent. From the environment section, we retained information on childhood experiences and events, who the individual’s primary caregiver was, parental deaths, the number of </w:t>
      </w:r>
      <w:proofErr w:type="gramStart"/>
      <w:r w:rsidRPr="00E12BB0">
        <w:rPr>
          <w:rFonts w:ascii="Arial" w:hAnsi="Arial" w:cs="Arial"/>
          <w:sz w:val="22"/>
          <w:szCs w:val="22"/>
        </w:rPr>
        <w:t>household</w:t>
      </w:r>
      <w:proofErr w:type="gramEnd"/>
      <w:r w:rsidRPr="00E12BB0">
        <w:rPr>
          <w:rFonts w:ascii="Arial" w:hAnsi="Arial" w:cs="Arial"/>
          <w:sz w:val="22"/>
          <w:szCs w:val="22"/>
        </w:rPr>
        <w:t xml:space="preserve"> moves, exposures to violence and physical and sexual abuse, and whether </w:t>
      </w:r>
      <w:r>
        <w:rPr>
          <w:rFonts w:ascii="Arial" w:hAnsi="Arial" w:cs="Arial"/>
          <w:sz w:val="22"/>
          <w:szCs w:val="22"/>
        </w:rPr>
        <w:t>the respondent</w:t>
      </w:r>
      <w:r w:rsidRPr="00E12BB0">
        <w:rPr>
          <w:rFonts w:ascii="Arial" w:hAnsi="Arial" w:cs="Arial"/>
          <w:sz w:val="22"/>
          <w:szCs w:val="22"/>
        </w:rPr>
        <w:t xml:space="preserve"> observed adults using substances. Lifetime trauma exposure and childhood adversity variables were calculated using methods defined previously</w:t>
      </w:r>
      <w:r w:rsidRPr="00E12BB0">
        <w:rPr>
          <w:rFonts w:ascii="Arial" w:hAnsi="Arial" w:cs="Arial"/>
          <w:sz w:val="22"/>
          <w:szCs w:val="22"/>
        </w:rPr>
        <w:fldChar w:fldCharType="begin"/>
      </w:r>
      <w:r w:rsidR="00925EA3">
        <w:rPr>
          <w:rFonts w:ascii="Arial" w:hAnsi="Arial" w:cs="Arial"/>
          <w:sz w:val="22"/>
          <w:szCs w:val="22"/>
        </w:rPr>
        <w:instrText xml:space="preserve"> ADDIN ZOTERO_ITEM CSL_CITATION {"citationID":"DZs6WRF7","properties":{"formattedCitation":"\\super 2,3\\nosupersub{}","plainCitation":"2,3","noteIndex":0},"citationItems":[{"id":490,"uris":["http://zotero.org/users/8087914/items/F7G47KBN"],"uri":["http://zotero.org/users/8087914/items/F7G47KBN"],"itemData":{"id":490,"type":"article-journal","abstract":"BACKGROUND: The ADH1B gene has consistently been implicated in problem drinking, but rarely incorporated into gene by environment investigations of alcohol phenotypes. This study examined the joint effects of variation in ADH1B and childhood adversity-a well-documented risk factor for alcohol problems and moderator of genetic liability to psychiatric outcomes-on maximum drinks consumed in a 24-hour period (maxdrinks) and alcohol use disorder (AUD) symptoms.\nMETHODS: Data were drawn from 2,617 African-American (AA) and 1,436 European-American (EA) participants (42% female) in a multisite genetic study of substance dependence. We tested the most significant ADH1B single nucleotide polymorphisms for alcohol dependence from a genomewide association study with this sample, ADH1B-rs1229984 (Arg48His) and ADH1B-rs2066702 (Arg370Cys), in EA and AA subsamples, respectively.\nRESULTS: Ordinal regression analyses conducted separately by sex and population revealed significant main effects for childhood adversity for both alcohol phenotypes in AA women and men and for maxdrinks in EA women. A significant rs1229984 by childhood adversity interaction was observed for AUD symptoms in EA men. Unexposed His-allele carriers reported a mean of 3.6 AUD criteria, but adversity-exposed His-allele carriers endorsed approximately the same number (6.3) as those without the protective allele (6.3 and 7.0 for adversity-exposed and -unexposed groups, respectively).\nCONCLUSIONS: Results suggest that under conditions of childhood adversity, the His allele does not exert its protective effects in EA men (OR = 0.57, CI: 0.32 to 1.01; p = 0.056). Findings highlight the robust risk effect conferred by childhood adversity and the importance of considering population and sex in genetically informative investigations of its association with alcohol outcomes.","container-title":"Alcoholism, Clinical and Experimental Research","DOI":"10.1111/acer.12572","ISSN":"1530-0277","issue":"12","journalAbbreviation":"Alcohol Clin Exp Res","language":"eng","note":"PMID: 25410943\nPMCID: PMC4445128","page":"2907-2914","source":"PubMed","title":"The joint effects of ADH1B variants and childhood adversity on alcohol related phenotypes in African-American and European-American women and men","volume":"38","author":[{"family":"Sartor","given":"Carolyn E."},{"family":"Wang","given":"Zuoheng"},{"family":"Xu","given":"Ke"},{"family":"Kranzler","given":"Henry R."},{"family":"Gelernter","given":"Joel"}],"issued":{"date-parts":[["2014",12]]}}},{"id":523,"uris":["http://zotero.org/users/8087914/items/9JR54HYJ"],"uri":["http://zotero.org/users/8087914/items/9JR54HYJ"],"itemData":{"id":523,"type":"article-journal","abstract":"Traumatic life experiences are associated with alcohol use problems, an association that is likely to be moderated by genetic predisposition. To understand these interactions, we conducted a gene-by-environment genome-wide interaction study (GEWIS) of alcohol use problems in two independent samples, the Army STARRS (STARRS, N=16 361) and the Yale-Penn (N=8084) cohorts. Because the two cohorts were assessed using different instruments, we derived separate dimensional alcohol misuse scales and applied a proxy-phenotype study design. In African-American subjects, we identified an interaction of PRKG1 rs1729578 with trauma exposure in the STARRS cohort and replicated its interaction with trauma exposure in the Yale-Penn cohort (discovery-replication meta-analysis: z=5.64, P=1.69 × 10−8). PRKG1 encodes cyclic GMP-dependent protein kinase 1, which is involved in learning, memory and circadian rhythm regulation. Considering the loci identified in stage-1 that showed same effect directions in stage-2, the gene ontology (GO) enrichment analysis showed several significant results, including calcium-activated potassium channels (GO:0016286; P=2.30 × 10−5), cognition (GO:0050890; P=1.90 × 10−6), locomotion (GO:0040011; P=6.70 × 10−5) and Stat3 protein regulation (GO:0042517; P=6.4 × 10−5). To our knowledge, this is the largest GEWIS performed in psychiatric genetics, and the first GEWIS examining risk for alcohol misuse. Our results add to a growing body of literature highlighting the dynamic impact of experience on individual genetic risk.","container-title":"Molecular Psychiatry","DOI":"10.1038/mp.2017.24","ISSN":"1476-5578","issue":"1","journalAbbreviation":"Mol Psychiatry","language":"en","note":"Bandiera_abtest: a\nCg_type: Nature Research Journals\nnumber: 1\nPrimary_atype: Research\npublisher: Nature Publishing Group\nSubject_term: Addiction;Genetics\nSubject_term_id: addiction;genetics","page":"154-160","source":"www.nature.com","title":"A genome-wide gene-by-trauma interaction study of alcohol misuse in two independent cohorts identifies PRKG1 as a risk locus","volume":"23","author":[{"family":"Polimanti","given":"R."},{"family":"Kaufman","given":"J."},{"family":"Zhao","given":"H."},{"family":"Kranzler","given":"H. R."},{"family":"Ursano","given":"R. J."},{"family":"Kessler","given":"R. C."},{"family":"Gelernter","given":"J."},{"family":"Stein","given":"M. B."}],"issued":{"date-parts":[["2018",1]]}}}],"schema":"https://github.com/citation-style-language/schema/raw/master/csl-citation.json"} </w:instrText>
      </w:r>
      <w:r w:rsidRPr="00E12BB0">
        <w:rPr>
          <w:rFonts w:ascii="Arial" w:hAnsi="Arial" w:cs="Arial"/>
          <w:sz w:val="22"/>
          <w:szCs w:val="22"/>
        </w:rPr>
        <w:fldChar w:fldCharType="separate"/>
      </w:r>
      <w:r w:rsidR="00925EA3" w:rsidRPr="00925EA3">
        <w:rPr>
          <w:rFonts w:ascii="Arial" w:hAnsi="Arial" w:cs="Arial"/>
          <w:sz w:val="22"/>
          <w:vertAlign w:val="superscript"/>
        </w:rPr>
        <w:t>2,3</w:t>
      </w:r>
      <w:r w:rsidRPr="00E12BB0">
        <w:rPr>
          <w:rFonts w:ascii="Arial" w:hAnsi="Arial" w:cs="Arial"/>
          <w:sz w:val="22"/>
          <w:szCs w:val="22"/>
        </w:rPr>
        <w:fldChar w:fldCharType="end"/>
      </w:r>
      <w:r w:rsidRPr="00E12BB0">
        <w:rPr>
          <w:rFonts w:ascii="Arial" w:hAnsi="Arial" w:cs="Arial"/>
          <w:sz w:val="22"/>
          <w:szCs w:val="22"/>
        </w:rPr>
        <w:t>.</w:t>
      </w:r>
    </w:p>
    <w:p w14:paraId="4BDD6211" w14:textId="4605BEA0" w:rsidR="00D745A1" w:rsidRDefault="00D745A1" w:rsidP="00D745A1">
      <w:pPr>
        <w:spacing w:line="480" w:lineRule="auto"/>
        <w:rPr>
          <w:rFonts w:ascii="Arial" w:hAnsi="Arial" w:cs="Arial"/>
          <w:sz w:val="22"/>
          <w:szCs w:val="22"/>
        </w:rPr>
      </w:pPr>
    </w:p>
    <w:p w14:paraId="656EE26E" w14:textId="04D1975B" w:rsidR="00DD4FEC" w:rsidRPr="00DD4FEC" w:rsidRDefault="00DD4FEC" w:rsidP="00D745A1">
      <w:pPr>
        <w:spacing w:line="480" w:lineRule="auto"/>
        <w:rPr>
          <w:rFonts w:ascii="Arial" w:hAnsi="Arial" w:cs="Arial"/>
          <w:sz w:val="22"/>
          <w:szCs w:val="22"/>
          <w:u w:val="single"/>
        </w:rPr>
      </w:pPr>
      <w:r w:rsidRPr="00DD4FEC">
        <w:rPr>
          <w:rFonts w:ascii="Arial" w:hAnsi="Arial" w:cs="Arial"/>
          <w:sz w:val="22"/>
          <w:szCs w:val="22"/>
          <w:u w:val="single"/>
        </w:rPr>
        <w:t>Data cleaning</w:t>
      </w:r>
    </w:p>
    <w:p w14:paraId="00001A01" w14:textId="50ECA1EC" w:rsidR="00DD4FEC" w:rsidRDefault="00DD4FEC" w:rsidP="00DD4FEC">
      <w:pPr>
        <w:spacing w:line="480" w:lineRule="auto"/>
        <w:ind w:firstLine="720"/>
        <w:rPr>
          <w:rFonts w:ascii="Arial" w:eastAsia="Arial" w:hAnsi="Arial" w:cs="Arial"/>
          <w:color w:val="000000" w:themeColor="text1"/>
          <w:sz w:val="22"/>
          <w:szCs w:val="22"/>
        </w:rPr>
      </w:pPr>
      <w:r w:rsidRPr="00E12BB0">
        <w:rPr>
          <w:rFonts w:ascii="Arial" w:eastAsia="Arial" w:hAnsi="Arial" w:cs="Arial"/>
          <w:color w:val="000000" w:themeColor="text1"/>
          <w:sz w:val="22"/>
          <w:szCs w:val="22"/>
        </w:rPr>
        <w:t>We used Python to extract and clean the phenotype data. First, the data w</w:t>
      </w:r>
      <w:r>
        <w:rPr>
          <w:rFonts w:ascii="Arial" w:eastAsia="Arial" w:hAnsi="Arial" w:cs="Arial"/>
          <w:color w:val="000000" w:themeColor="text1"/>
          <w:sz w:val="22"/>
          <w:szCs w:val="22"/>
        </w:rPr>
        <w:t>ere</w:t>
      </w:r>
      <w:r w:rsidRPr="00E12BB0">
        <w:rPr>
          <w:rFonts w:ascii="Arial" w:eastAsia="Arial" w:hAnsi="Arial" w:cs="Arial"/>
          <w:color w:val="000000" w:themeColor="text1"/>
          <w:sz w:val="22"/>
          <w:szCs w:val="22"/>
        </w:rPr>
        <w:t xml:space="preserve"> recoded as ne</w:t>
      </w:r>
      <w:r>
        <w:rPr>
          <w:rFonts w:ascii="Arial" w:eastAsia="Arial" w:hAnsi="Arial" w:cs="Arial"/>
          <w:color w:val="000000" w:themeColor="text1"/>
          <w:sz w:val="22"/>
          <w:szCs w:val="22"/>
        </w:rPr>
        <w:t>cessary</w:t>
      </w:r>
      <w:r w:rsidRPr="00E12BB0">
        <w:rPr>
          <w:rFonts w:ascii="Arial" w:eastAsia="Arial" w:hAnsi="Arial" w:cs="Arial"/>
          <w:color w:val="000000" w:themeColor="text1"/>
          <w:sz w:val="22"/>
          <w:szCs w:val="22"/>
        </w:rPr>
        <w:t xml:space="preserve"> to ensure consistency across all variables. For responses to binary questions, we coded all values to yield 3 possible response categories: “Yes”, “No” and “No Answer”. </w:t>
      </w:r>
      <w:r w:rsidRPr="00E12BB0">
        <w:rPr>
          <w:rFonts w:ascii="Arial" w:hAnsi="Arial" w:cs="Arial"/>
          <w:color w:val="000000" w:themeColor="text1"/>
          <w:sz w:val="22"/>
          <w:szCs w:val="22"/>
        </w:rPr>
        <w:t xml:space="preserve">Each diagnostic section begins with a series of skip out questions. Individuals whose answers to these questions yield no positive diagnostic criteria skip out of the rest of the section. </w:t>
      </w:r>
      <w:r w:rsidRPr="00E12BB0">
        <w:rPr>
          <w:rFonts w:ascii="Arial" w:eastAsia="Arial" w:hAnsi="Arial" w:cs="Arial"/>
          <w:color w:val="000000" w:themeColor="text1"/>
          <w:sz w:val="22"/>
          <w:szCs w:val="22"/>
        </w:rPr>
        <w:t xml:space="preserve">If a participant skips out of the section due to answering “No” to the skip out questions, we </w:t>
      </w:r>
      <w:r>
        <w:rPr>
          <w:rFonts w:ascii="Arial" w:eastAsia="Arial" w:hAnsi="Arial" w:cs="Arial"/>
          <w:color w:val="000000" w:themeColor="text1"/>
          <w:sz w:val="22"/>
          <w:szCs w:val="22"/>
        </w:rPr>
        <w:t xml:space="preserve">considered them an unexposed control for the purposes of binary phenotypes within that section. </w:t>
      </w:r>
      <w:r w:rsidRPr="00E12BB0">
        <w:rPr>
          <w:rFonts w:ascii="Arial" w:eastAsia="Arial" w:hAnsi="Arial" w:cs="Arial"/>
          <w:color w:val="000000" w:themeColor="text1"/>
          <w:sz w:val="22"/>
          <w:szCs w:val="22"/>
        </w:rPr>
        <w:t xml:space="preserve">Continuous variables coded as “unsure” were removed. To eliminate the effects of extreme values in the continuous variables, we applied </w:t>
      </w:r>
      <w:proofErr w:type="spellStart"/>
      <w:r w:rsidRPr="00E12BB0">
        <w:rPr>
          <w:rFonts w:ascii="Arial" w:eastAsia="Arial" w:hAnsi="Arial" w:cs="Arial"/>
          <w:color w:val="000000" w:themeColor="text1"/>
          <w:sz w:val="22"/>
          <w:szCs w:val="22"/>
        </w:rPr>
        <w:t>winsorization</w:t>
      </w:r>
      <w:proofErr w:type="spellEnd"/>
      <w:r w:rsidRPr="00E12BB0">
        <w:rPr>
          <w:rFonts w:ascii="Arial" w:eastAsia="Arial" w:hAnsi="Arial" w:cs="Arial"/>
          <w:color w:val="000000" w:themeColor="text1"/>
          <w:sz w:val="22"/>
          <w:szCs w:val="22"/>
        </w:rPr>
        <w:t xml:space="preserve">. Variables were </w:t>
      </w:r>
      <w:proofErr w:type="spellStart"/>
      <w:r w:rsidRPr="00E12BB0">
        <w:rPr>
          <w:rFonts w:ascii="Arial" w:eastAsia="Arial" w:hAnsi="Arial" w:cs="Arial"/>
          <w:color w:val="000000" w:themeColor="text1"/>
          <w:sz w:val="22"/>
          <w:szCs w:val="22"/>
        </w:rPr>
        <w:t>winsorized</w:t>
      </w:r>
      <w:proofErr w:type="spellEnd"/>
      <w:r w:rsidRPr="00E12BB0">
        <w:rPr>
          <w:rFonts w:ascii="Arial" w:eastAsia="Arial" w:hAnsi="Arial" w:cs="Arial"/>
          <w:color w:val="000000" w:themeColor="text1"/>
          <w:sz w:val="22"/>
          <w:szCs w:val="22"/>
        </w:rPr>
        <w:t xml:space="preserve"> with cut-off points at mean </w:t>
      </w:r>
      <w:r>
        <w:rPr>
          <w:rFonts w:ascii="Arial" w:eastAsia="Arial" w:hAnsi="Arial" w:cs="Arial"/>
          <w:color w:val="000000" w:themeColor="text1"/>
          <w:sz w:val="22"/>
          <w:szCs w:val="22"/>
        </w:rPr>
        <w:t>+/-</w:t>
      </w:r>
      <w:r w:rsidRPr="00E12BB0">
        <w:rPr>
          <w:rFonts w:ascii="Arial" w:eastAsia="Arial" w:hAnsi="Arial" w:cs="Arial"/>
          <w:color w:val="000000" w:themeColor="text1"/>
          <w:sz w:val="22"/>
          <w:szCs w:val="22"/>
        </w:rPr>
        <w:t xml:space="preserve"> 2*SD or mean </w:t>
      </w:r>
      <w:r>
        <w:rPr>
          <w:rFonts w:ascii="Arial" w:eastAsia="Arial" w:hAnsi="Arial" w:cs="Arial"/>
          <w:color w:val="000000" w:themeColor="text1"/>
          <w:sz w:val="22"/>
          <w:szCs w:val="22"/>
        </w:rPr>
        <w:t>+/-</w:t>
      </w:r>
      <w:r w:rsidRPr="00E12BB0">
        <w:rPr>
          <w:rFonts w:ascii="Arial" w:eastAsia="Arial" w:hAnsi="Arial" w:cs="Arial"/>
          <w:color w:val="000000" w:themeColor="text1"/>
          <w:sz w:val="22"/>
          <w:szCs w:val="22"/>
        </w:rPr>
        <w:t xml:space="preserve"> SD depending on the variable's distribution.</w:t>
      </w:r>
    </w:p>
    <w:p w14:paraId="210CCDAD" w14:textId="77777777" w:rsidR="00DD4FEC" w:rsidRDefault="00DD4FEC" w:rsidP="00DD4FEC">
      <w:pPr>
        <w:spacing w:line="480" w:lineRule="auto"/>
        <w:ind w:firstLine="720"/>
        <w:rPr>
          <w:rFonts w:ascii="Arial" w:hAnsi="Arial" w:cs="Arial"/>
          <w:sz w:val="22"/>
          <w:szCs w:val="22"/>
        </w:rPr>
      </w:pPr>
    </w:p>
    <w:p w14:paraId="5B009396" w14:textId="1FBD32FD" w:rsidR="00D745A1" w:rsidRDefault="00D745A1" w:rsidP="00D745A1">
      <w:pPr>
        <w:spacing w:line="480" w:lineRule="auto"/>
        <w:rPr>
          <w:rFonts w:ascii="Arial" w:hAnsi="Arial" w:cs="Arial"/>
          <w:sz w:val="22"/>
          <w:szCs w:val="22"/>
        </w:rPr>
      </w:pPr>
      <w:r w:rsidRPr="00E12BB0">
        <w:rPr>
          <w:rFonts w:ascii="Arial" w:hAnsi="Arial" w:cs="Arial"/>
          <w:sz w:val="22"/>
          <w:szCs w:val="22"/>
          <w:u w:val="single"/>
        </w:rPr>
        <w:t>Genotyping and Imputation</w:t>
      </w:r>
    </w:p>
    <w:p w14:paraId="29295E7D" w14:textId="44915893" w:rsidR="004D5111" w:rsidRPr="00E12BB0" w:rsidRDefault="004D5111" w:rsidP="004D5111">
      <w:pPr>
        <w:spacing w:line="480" w:lineRule="auto"/>
        <w:ind w:firstLine="720"/>
        <w:rPr>
          <w:rFonts w:ascii="Arial" w:eastAsia="Arial" w:hAnsi="Arial" w:cs="Arial"/>
          <w:color w:val="000000" w:themeColor="text1"/>
          <w:sz w:val="22"/>
          <w:szCs w:val="22"/>
        </w:rPr>
      </w:pPr>
      <w:r>
        <w:rPr>
          <w:rFonts w:ascii="Arial" w:eastAsia="Arial" w:hAnsi="Arial" w:cs="Arial"/>
          <w:color w:val="000000" w:themeColor="text1"/>
          <w:sz w:val="22"/>
          <w:szCs w:val="22"/>
        </w:rPr>
        <w:t>I</w:t>
      </w:r>
      <w:r w:rsidRPr="00E12BB0">
        <w:rPr>
          <w:rFonts w:ascii="Arial" w:eastAsia="Arial" w:hAnsi="Arial" w:cs="Arial"/>
          <w:color w:val="000000" w:themeColor="text1"/>
          <w:sz w:val="22"/>
          <w:szCs w:val="22"/>
        </w:rPr>
        <w:t>ndividuals were removed if genotype call rate &lt;98%, and single nucleotide polymorphisms (SNPs) were removed if the missing rate &gt;2%, minor allele frequency (MAF) &lt;1%, or Hardy-Weinberg equilibrium p&lt;1x10</w:t>
      </w:r>
      <w:r w:rsidRPr="00E12BB0">
        <w:rPr>
          <w:rFonts w:ascii="Arial" w:eastAsia="Arial" w:hAnsi="Arial" w:cs="Arial"/>
          <w:color w:val="000000" w:themeColor="text1"/>
          <w:sz w:val="22"/>
          <w:szCs w:val="22"/>
          <w:vertAlign w:val="superscript"/>
        </w:rPr>
        <w:t>-6</w:t>
      </w:r>
      <w:r w:rsidRPr="00E12BB0">
        <w:rPr>
          <w:rFonts w:ascii="Arial" w:eastAsia="Arial" w:hAnsi="Arial" w:cs="Arial"/>
          <w:color w:val="000000" w:themeColor="text1"/>
          <w:sz w:val="22"/>
          <w:szCs w:val="22"/>
        </w:rPr>
        <w:t xml:space="preserve">. Genotype data were imputed using the Michigan </w:t>
      </w:r>
      <w:r w:rsidRPr="00E12BB0">
        <w:rPr>
          <w:rFonts w:ascii="Arial" w:eastAsia="Arial" w:hAnsi="Arial" w:cs="Arial"/>
          <w:color w:val="000000" w:themeColor="text1"/>
          <w:sz w:val="22"/>
          <w:szCs w:val="22"/>
        </w:rPr>
        <w:lastRenderedPageBreak/>
        <w:t>Imputation Server</w:t>
      </w:r>
      <w:r w:rsidRPr="00E12BB0">
        <w:rPr>
          <w:rFonts w:ascii="Arial" w:eastAsia="Arial" w:hAnsi="Arial" w:cs="Arial"/>
          <w:color w:val="000000" w:themeColor="text1"/>
          <w:sz w:val="22"/>
          <w:szCs w:val="22"/>
        </w:rPr>
        <w:fldChar w:fldCharType="begin"/>
      </w:r>
      <w:r w:rsidR="00925EA3">
        <w:rPr>
          <w:rFonts w:ascii="Arial" w:eastAsia="Arial" w:hAnsi="Arial" w:cs="Arial"/>
          <w:color w:val="000000" w:themeColor="text1"/>
          <w:sz w:val="22"/>
          <w:szCs w:val="22"/>
        </w:rPr>
        <w:instrText xml:space="preserve"> ADDIN ZOTERO_ITEM CSL_CITATION {"citationID":"8GnsRsLV","properties":{"formattedCitation":"\\super 4\\nosupersub{}","plainCitation":"4","noteIndex":0},"citationItems":[{"id":13,"uris":["http://zotero.org/users/8087914/items/K2BKM8JS"],"uri":["http://zotero.org/users/8087914/items/K2BKM8JS"],"itemData":{"id":13,"type":"article-journal","abstract":"Genotype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productivity.","container-title":"Nature genetics","DOI":"10.1038/ng.3656","ISSN":"1061-4036","issue":"10","journalAbbreviation":"Nat Genet","note":"PMID: 27571263\nPMCID: PMC5157836","page":"1284-1287","source":"PubMed Central","title":"Next-generation genotype imputation service and methods","volume":"48","author":[{"family":"Das","given":"Sayantan"},{"family":"Forer","given":"Lukas"},{"family":"Schönherr","given":"Sebastian"},{"family":"Sidore","given":"Carlo"},{"family":"Locke","given":"Adam E"},{"family":"Kwong","given":"Alan"},{"family":"Vrieze","given":"Scott I"},{"family":"Chew","given":"Emily Y"},{"family":"Levy","given":"Shawn"},{"family":"McGue","given":"Matt"},{"family":"Schlessinger","given":"David"},{"family":"Stambolian","given":"Dwight"},{"family":"Loh","given":"Po-Ru"},{"family":"Iacono","given":"William G"},{"family":"Swaroop","given":"Anand"},{"family":"Scott","given":"Laura J"},{"family":"Cucca","given":"Francesco"},{"family":"Kronenberg","given":"Florian"},{"family":"Boehnke","given":"Michael"},{"family":"Abecasis","given":"Gonçalo R"},{"family":"Fuchsberger","given":"Christian"}],"issued":{"date-parts":[["2016",10]]}}}],"schema":"https://github.com/citation-style-language/schema/raw/master/csl-citation.json"} </w:instrText>
      </w:r>
      <w:r w:rsidRPr="00E12BB0">
        <w:rPr>
          <w:rFonts w:ascii="Arial" w:eastAsia="Arial" w:hAnsi="Arial" w:cs="Arial"/>
          <w:color w:val="000000" w:themeColor="text1"/>
          <w:sz w:val="22"/>
          <w:szCs w:val="22"/>
        </w:rPr>
        <w:fldChar w:fldCharType="separate"/>
      </w:r>
      <w:r w:rsidR="00925EA3" w:rsidRPr="00925EA3">
        <w:rPr>
          <w:rFonts w:ascii="Arial" w:hAnsi="Arial" w:cs="Arial"/>
          <w:color w:val="000000"/>
          <w:sz w:val="22"/>
          <w:vertAlign w:val="superscript"/>
        </w:rPr>
        <w:t>4</w:t>
      </w:r>
      <w:r w:rsidRPr="00E12BB0">
        <w:rPr>
          <w:rFonts w:ascii="Arial" w:eastAsia="Arial" w:hAnsi="Arial" w:cs="Arial"/>
          <w:color w:val="000000" w:themeColor="text1"/>
          <w:sz w:val="22"/>
          <w:szCs w:val="22"/>
        </w:rPr>
        <w:fldChar w:fldCharType="end"/>
      </w:r>
      <w:r w:rsidRPr="00E12BB0">
        <w:rPr>
          <w:rFonts w:ascii="Arial" w:eastAsia="Arial" w:hAnsi="Arial" w:cs="Arial"/>
          <w:color w:val="000000" w:themeColor="text1"/>
          <w:sz w:val="22"/>
          <w:szCs w:val="22"/>
        </w:rPr>
        <w:t xml:space="preserve"> with the 1000 Genomes Phase 3 reference panel</w:t>
      </w:r>
      <w:r w:rsidRPr="00E12BB0">
        <w:rPr>
          <w:rFonts w:ascii="Arial" w:eastAsia="Arial" w:hAnsi="Arial" w:cs="Arial"/>
          <w:color w:val="000000" w:themeColor="text1"/>
          <w:sz w:val="22"/>
          <w:szCs w:val="22"/>
        </w:rPr>
        <w:fldChar w:fldCharType="begin"/>
      </w:r>
      <w:r w:rsidR="00925EA3">
        <w:rPr>
          <w:rFonts w:ascii="Arial" w:eastAsia="Arial" w:hAnsi="Arial" w:cs="Arial"/>
          <w:color w:val="000000" w:themeColor="text1"/>
          <w:sz w:val="22"/>
          <w:szCs w:val="22"/>
        </w:rPr>
        <w:instrText xml:space="preserve"> ADDIN ZOTERO_ITEM CSL_CITATION {"citationID":"WwnANfTt","properties":{"formattedCitation":"\\super 5\\nosupersub{}","plainCitation":"5","noteIndex":0},"citationItems":[{"id":16,"uris":["http://zotero.org/users/8087914/items/95ATUG22"],"uri":["http://zotero.org/users/8087914/items/95ATUG22"],"itemData":{"id":16,"type":"article-journal","abstract":"The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studies.","container-title":"Nature","DOI":"10.1038/nature15393","ISSN":"1476-4687","issue":"7571","language":"en","note":"number: 7571\npublisher: Nature Publishing Group","page":"68-74","source":"www.nature.com","title":"A global reference for human genetic variation","volume":"526","author":[{"family":"Auton","given":"Adam"},{"family":"Abecasis","given":"Gonçalo R."},{"family":"Altshuler","given":"David M."},{"family":"Durbin","given":"Richard M."},{"family":"Abecasis","given":"Gonçalo R."},{"family":"Bentley","given":"David R."},{"family":"Chakravarti","given":"Aravinda"},{"family":"Clark","given":"Andrew G."},{"family":"Donnelly","given":"Peter"},{"family":"Eichler","given":"Evan E."},{"family":"Flicek","given":"Paul"},{"family":"Gabriel","given":"Stacey B."},{"family":"Gibbs","given":"Richard A."},{"family":"Green","given":"Eric D."},{"family":"Hurles","given":"Matthew E."},{"family":"Knoppers","given":"Bartha M."},{"family":"Korbel","given":"Jan O."},{"family":"Lander","given":"Eric S."},{"family":"Lee","given":"Charles"},{"family":"Lehrach","given":"Hans"},{"family":"Mardis","given":"Elaine R."},{"family":"Marth","given":"Gabor T."},{"family":"McVean","given":"Gil A."},{"family":"Nickerson","given":"Deborah A."},{"family":"Schmidt","given":"Jeanette P."},{"family":"Sherry","given":"Stephen T."},{"family":"Wang","given":"Jun"},{"family":"Wilson","given":"Richard K."},{"family":"Gibbs","given":"Richard A."},{"family":"Boerwinkle","given":"Eric"},{"family":"Doddapaneni","given":"Harsha"},{"family":"Han","given":"Yi"},{"family":"Korchina","given":"Viktoriya"},{"family":"Kovar","given":"Christie"},{"family":"Lee","given":"Sandra"},{"family":"Muzny","given":"Donna"},{"family":"Reid","given":"Jeffrey G."},{"family":"Zhu","given":"Yiming"},{"family":"Wang","given":"Jun"},{"family":"Chang","given":"Yuqi"},{"family":"Feng","given":"Qiang"},{"family":"Fang","given":"Xiaodong"},{"family":"Guo","given":"Xiaosen"},{"family":"Jian","given":"Min"},{"family":"Jiang","given":"Hui"},{"family":"Jin","given":"Xin"},{"family":"Lan","given":"Tianming"},{"family":"Li","given":"Guoqing"},{"family":"Li","given":"Jingxiang"},{"family":"Li","given":"Yingrui"},{"family":"Liu","given":"Shengmao"},{"family":"Liu","given":"Xiao"},{"family":"Lu","given":"Yao"},{"family":"Ma","given":"Xuedi"},{"family":"Tang","given":"Meifang"},{"family":"Wang","given":"Bo"},{"family":"Wang","given":"Guangbiao"},{"family":"Wu","given":"Honglong"},{"family":"Wu","given":"Renhua"},{"family":"Xu","given":"Xun"},{"family":"Yin","given":"Ye"},{"family":"Zhang","given":"Dandan"},{"family":"Zhang","given":"Wenwei"},{"family":"Zhao","given":"Jiao"},{"family":"Zhao","given":"Meiru"},{"family":"Zheng","given":"Xiaole"},{"family":"Lander","given":"Eric S."},{"family":"Altshuler","given":"David M."},{"family":"Gabriel","given":"Stacey B."},{"family":"Gupta","given":"Namrata"},{"family":"Gharani","given":"Neda"},{"family":"Toji","given":"Lorraine H."},{"family":"Gerry","given":"Norman P."},{"family":"Resch","given":"Alissa M."},{"family":"Flicek","given":"Paul"},{"family":"Barker","given":"Jonathan"},{"family":"Clarke","given":"Laura"},{"family":"Gil","given":"Laurent"},{"family":"Hunt","given":"Sarah E."},{"family":"Kelman","given":"Gavin"},{"family":"Kulesha","given":"Eugene"},{"family":"Leinonen","given":"Rasko"},{"family":"McLaren","given":"William M."},{"family":"Radhakrishnan","given":"Rajesh"},{"family":"Roa","given":"Asier"},{"family":"Smirnov","given":"Dmitriy"},{"family":"Smith","given":"Richard E."},{"family":"Streeter","given":"Ian"},{"family":"Thormann","given":"Anja"},{"family":"Toneva","given":"Iliana"},{"family":"Vaughan","given":"Brendan"},{"family":"Zheng-Bradley","given":"Xiangqun"},{"family":"Bentley","given":"David R."},{"family":"Grocock","given":"Russell"},{"family":"Humphray","given":"Sean"},{"family":"James","given":"Terena"},{"family":"Kingsbury","given":"Zoya"},{"family":"Lehrach","given":"Hans"},{"family":"Sudbrak","given":"Ralf"},{"family":"Albrecht","given":"Marcus W."},{"family":"Amstislavskiy","given":"Vyacheslav S."},{"family":"Borodina","given":"Tatiana A."},{"family":"Lienhard","given":"Matthias"},{"family":"Mertes","given":"Florian"},{"family":"Sultan","given":"Marc"},{"family":"Timmermann","given":"Bernd"},{"family":"Yaspo","given":"Marie-Laure"},{"family":"Mardis","given":"Elaine R."},{"family":"Wilson","given":"Richard K."},{"family":"Fulton","given":"Lucinda"},{"family":"Fulton","given":"Robert"},{"family":"Sherry","given":"Stephen T."},{"family":"Ananiev","given":"Victor"},{"family":"Belaia","given":"Zinaida"},{"family":"Beloslyudtsev","given":"Dimitriy"},{"family":"Bouk","given":"Nathan"},{"family":"Chen","given":"Chao"},{"family":"Church","given":"Deanna"},{"family":"Cohen","given":"Robert"},{"family":"Cook","given":"Charles"},{"family":"Garner","given":"John"},{"family":"Hefferon","given":"Timothy"},{"family":"Kimelman","given":"Mikhail"},{"family":"Liu","given":"Chunlei"},{"family":"Lopez","given":"John"},{"family":"Meric","given":"Peter"},{"family":"O’Sullivan","given":"Chris"},{"family":"Ostapchuk","given":"Yuri"},{"family":"Phan","given":"Lon"},{"family":"Ponomarov","given":"Sergiy"},{"family":"Schneider","given":"Valerie"},{"family":"Shekhtman","given":"Eugene"},{"family":"Sirotkin","given":"Karl"},{"family":"Slotta","given":"Douglas"},{"family":"Zhang","given":"Hua"},{"family":"McVean","given":"Gil A."},{"family":"Durbin","given":"Richard M."},{"family":"Balasubramaniam","given":"Senduran"},{"family":"Burton","given":"John"},{"family":"Danecek","given":"Petr"},{"family":"Keane","given":"Thomas M."},{"family":"Kolb-Kokocinski","given":"Anja"},{"family":"McCarthy","given":"Shane"},{"family":"Stalker","given":"James"},{"family":"Quail","given":"Michael"},{"family":"Schmidt","given":"Jeanette P."},{"family":"Davies","given":"Christopher J."},{"family":"Gollub","given":"Jeremy"},{"family":"Webster","given":"Teresa"},{"family":"Wong","given":"Brant"},{"family":"Zhan","given":"Yiping"},{"family":"Auton","given":"Adam"},{"family":"Campbell","given":"Christopher L."},{"family":"Kong","given":"Yu"},{"family":"Marcketta","given":"Anthony"},{"family":"Gibbs","given":"Richard A."},{"family":"Yu","given":"Fuli"},{"family":"Antunes","given":"Lilian"},{"family":"Bainbridge","given":"Matthew"},{"family":"Muzny","given":"Donna"},{"family":"Sabo","given":"Aniko"},{"family":"Huang","given":"Zhuoyi"},{"family":"Wang","given":"Jun"},{"family":"Coin","given":"Lachlan J. M."},{"family":"Fang","given":"Lin"},{"family":"Guo","given":"Xiaosen"},{"family":"Jin","given":"Xin"},{"family":"Li","given":"Guoqing"},{"family":"Li","given":"Qibin"},{"family":"Li","given":"Yingrui"},{"family":"Li","given":"Zhenyu"},{"family":"Lin","given":"Haoxiang"},{"family":"Liu","given":"Binghang"},{"family":"Luo","given":"Ruibang"},{"family":"Shao","given":"Haojing"},{"family":"Xie","given":"Yinlong"},{"family":"Ye","given":"Chen"},{"family":"Yu","given":"Chang"},{"family":"Zhang","given":"Fan"},{"family":"Zheng","given":"Hancheng"},{"family":"Zhu","given":"Hongmei"},{"family":"Alkan","given":"Can"},{"family":"Dal","given":"Elif"},{"family":"Kahveci","given":"Fatma"},{"family":"Marth","given":"Gabor T."},{"family":"Garrison","given":"Erik P."},{"family":"Kural","given":"Deniz"},{"family":"Lee","given":"Wan-Ping"},{"family":"Fung Leong","given":"Wen"},{"family":"Stromberg","given":"Michael"},{"family":"Ward","given":"Alistair N."},{"family":"Wu","given":"Jiantao"},{"family":"Zhang","given":"Mengyao"},{"family":"Daly","given":"Mark J."},{"family":"DePristo","given":"Mark A."},{"family":"Handsaker","given":"Robert E."},{"family":"Altshuler","given":"David M."},{"family":"Banks","given":"Eric"},{"family":"Bhatia","given":"Gaurav"},{"family":"Angel","given":"Guillermo","non-dropping-particle":"del"},{"family":"Gabriel","given":"Stacey B."},{"family":"Genovese","given":"Giulio"},{"family":"Gupta","given":"Namrata"},{"family":"Li","given":"Heng"},{"family":"Kashin","given":"Seva"},{"family":"Lander","given":"Eric S."},{"family":"McCarroll","given":"Steven A."},{"family":"Nemesh","given":"James C."},{"family":"Poplin","given":"Ryan E."},{"family":"Yoon","given":"Seungtai C."},{"family":"Lihm","given":"Jayon"},{"family":"Makarov","given":"Vladimir"},{"family":"Clark","given":"Andrew G."},{"family":"Gottipati","given":"Srikanth"},{"family":"Keinan","given":"Alon"},{"family":"Rodriguez-Flores","given":"Juan L."},{"family":"Korbel","given":"Jan O."},{"family":"Rausch","given":"Tobias"},{"family":"Fritz","given":"Markus H."},{"family":"Stütz","given":"Adrian M."},{"family":"Flicek","given":"Paul"},{"family":"Beal","given":"Kathryn"},{"family":"Clarke","given":"Laura"},{"family":"Datta","given":"Avik"},{"family":"Herrero","given":"Javier"},{"family":"McLaren","given":"William M."},{"family":"Ritchie","given":"Graham R. S."},{"family":"Smith","given":"Richard E."},{"family":"Zerbino","given":"Daniel"},{"family":"Zheng-Bradley","given":"Xiangqun"},{"family":"Sabeti","given":"Pardis C."},{"family":"Shlyakhter","given":"Ilya"},{"family":"Schaffner","given":"Stephen F."},{"family":"Vitti","given":"Joseph"},{"family":"Cooper","given":"David N."},{"family":"Ball","given":"Edward V."},{"family":"Stenson","given":"Peter D."},{"family":"Bentley","given":"David R."},{"family":"Barnes","given":"Bret"},{"family":"Bauer","given":"Markus"},{"family":"Keira Cheetham","given":"R."},{"family":"Cox","given":"Anthony"},{"family":"Eberle","given":"Michael"},{"family":"Humphray","given":"Sean"},{"family":"Kahn","given":"Scott"},{"family":"Murray","given":"Lisa"},{"family":"Peden","given":"John"},{"family":"Shaw","given":"Richard"},{"family":"Kenny","given":"Eimear E."},{"family":"Batzer","given":"Mark A."},{"family":"Konkel","given":"Miriam K."},{"family":"Walker","given":"Jerilyn A."},{"family":"MacArthur","given":"Daniel G."},{"family":"Lek","given":"Monkol"},{"family":"Sudbrak","given":"Ralf"},{"family":"Amstislavskiy","given":"Vyacheslav S."},{"family":"Herwig","given":"Ralf"},{"family":"Mardis","given":"Elaine R."},{"family":"Ding","given":"Li"},{"family":"Koboldt","given":"Daniel C."},{"family":"Larson","given":"David"},{"family":"Ye","given":"Kai"},{"family":"Gravel","given":"Simon"},{"literal":"The 1000 Genomes Project Consortium"},{"literal":"Corresponding authors"},{"literal":"Steering committee"},{"literal":"Production group"},{"literal":"Baylor College of Medicine"},{"literal":"BGI-Shenzhen"},{"literal":"Broad Institute of MIT and Harvard"},{"literal":"Coriell Institute for Medical Research"},{"family":"European Molecular Biology Laboratory","given":"European Bioinformatics Institute"},{"literal":"Illumina"},{"literal":"Max Planck Institute for Molecular Genetics"},{"literal":"McDonnell Genome Institute at Washington University"},{"literal":"US National Institutes of Health"},{"literal":"University of Oxford"},{"literal":"Wellcome Trust Sanger Institute"},{"literal":"Analysis group"},{"literal":"Affymetrix"},{"literal":"Albert Einstein College of Medicine"},{"literal":"Bilkent University"},{"literal":"Boston College"},{"literal":"Cold Spring Harbor Laboratory"},{"literal":"Cornell University"},{"literal":"European Molecular Biology Laboratory"},{"literal":"Harvard University"},{"literal":"Human Gene Mutation Database"},{"literal":"Icahn School of Medicine at Mount Sinai"},{"literal":"Louisiana State University"},{"literal":"Massachusetts General Hospital"},{"literal":"McGill University"},{"family":"National Eye Institute","given":"NIH"}],"issued":{"date-parts":[["2015",10]]}}}],"schema":"https://github.com/citation-style-language/schema/raw/master/csl-citation.json"} </w:instrText>
      </w:r>
      <w:r w:rsidRPr="00E12BB0">
        <w:rPr>
          <w:rFonts w:ascii="Arial" w:eastAsia="Arial" w:hAnsi="Arial" w:cs="Arial"/>
          <w:color w:val="000000" w:themeColor="text1"/>
          <w:sz w:val="22"/>
          <w:szCs w:val="22"/>
        </w:rPr>
        <w:fldChar w:fldCharType="separate"/>
      </w:r>
      <w:r w:rsidR="00925EA3" w:rsidRPr="00925EA3">
        <w:rPr>
          <w:rFonts w:ascii="Arial" w:hAnsi="Arial" w:cs="Arial"/>
          <w:color w:val="000000"/>
          <w:sz w:val="22"/>
          <w:vertAlign w:val="superscript"/>
        </w:rPr>
        <w:t>5</w:t>
      </w:r>
      <w:r w:rsidRPr="00E12BB0">
        <w:rPr>
          <w:rFonts w:ascii="Arial" w:eastAsia="Arial" w:hAnsi="Arial" w:cs="Arial"/>
          <w:color w:val="000000" w:themeColor="text1"/>
          <w:sz w:val="22"/>
          <w:szCs w:val="22"/>
        </w:rPr>
        <w:fldChar w:fldCharType="end"/>
      </w:r>
      <w:r w:rsidRPr="00E12BB0">
        <w:rPr>
          <w:rFonts w:ascii="Arial" w:eastAsia="Arial" w:hAnsi="Arial" w:cs="Arial"/>
          <w:color w:val="000000" w:themeColor="text1"/>
          <w:sz w:val="22"/>
          <w:szCs w:val="22"/>
        </w:rPr>
        <w:t>. Imputed genotype data were generated for 13,487 individuals.</w:t>
      </w:r>
    </w:p>
    <w:p w14:paraId="331AB22F" w14:textId="5234E7E0" w:rsidR="004D5111" w:rsidRPr="00E12BB0" w:rsidRDefault="004D5111" w:rsidP="004D5111">
      <w:pPr>
        <w:spacing w:line="480" w:lineRule="auto"/>
        <w:ind w:firstLine="720"/>
        <w:rPr>
          <w:rFonts w:ascii="Arial" w:eastAsia="Arial" w:hAnsi="Arial" w:cs="Arial"/>
          <w:color w:val="000000" w:themeColor="text1"/>
          <w:sz w:val="22"/>
          <w:szCs w:val="22"/>
        </w:rPr>
      </w:pPr>
      <w:r w:rsidRPr="00E12BB0">
        <w:rPr>
          <w:rFonts w:ascii="Arial" w:eastAsia="Arial" w:hAnsi="Arial" w:cs="Arial"/>
          <w:color w:val="000000" w:themeColor="text1"/>
          <w:sz w:val="22"/>
          <w:szCs w:val="22"/>
        </w:rPr>
        <w:t xml:space="preserve">Following imputation, we extracted SNPs present in all 3 batches (N=8,820,767) and merged the datasets. We removed individuals with genotype call rate &lt;95%, and retained SNPs with INFO scores &gt;0.7, missing genotypes &lt;1%, and MAF </w:t>
      </w:r>
      <w:r w:rsidRPr="00E12BB0">
        <w:rPr>
          <w:rFonts w:ascii="Arial" w:eastAsia="Arial" w:hAnsi="Arial" w:cs="Arial"/>
          <w:color w:val="000000" w:themeColor="text1"/>
          <w:sz w:val="22"/>
          <w:szCs w:val="22"/>
          <w:u w:val="single"/>
        </w:rPr>
        <w:t>&gt;</w:t>
      </w:r>
      <w:r w:rsidRPr="00E12BB0">
        <w:rPr>
          <w:rFonts w:ascii="Arial" w:eastAsia="Arial" w:hAnsi="Arial" w:cs="Arial"/>
          <w:color w:val="000000" w:themeColor="text1"/>
          <w:sz w:val="22"/>
          <w:szCs w:val="22"/>
        </w:rPr>
        <w:t>1%. We inferred genetic ancestry for all individuals using a process described previously</w:t>
      </w:r>
      <w:r w:rsidRPr="00E12BB0">
        <w:rPr>
          <w:rFonts w:ascii="Arial" w:eastAsia="Arial" w:hAnsi="Arial" w:cs="Arial"/>
          <w:color w:val="000000" w:themeColor="text1"/>
          <w:sz w:val="22"/>
          <w:szCs w:val="22"/>
        </w:rPr>
        <w:fldChar w:fldCharType="begin"/>
      </w:r>
      <w:r w:rsidR="00925EA3">
        <w:rPr>
          <w:rFonts w:ascii="Arial" w:eastAsia="Arial" w:hAnsi="Arial" w:cs="Arial"/>
          <w:color w:val="000000" w:themeColor="text1"/>
          <w:sz w:val="22"/>
          <w:szCs w:val="22"/>
        </w:rPr>
        <w:instrText xml:space="preserve"> ADDIN ZOTERO_ITEM CSL_CITATION {"citationID":"Pgh2IMKU","properties":{"formattedCitation":"\\super 6\\nosupersub{}","plainCitation":"6","noteIndex":0},"citationItems":[{"id":266,"uris":["http://zotero.org/users/8087914/items/STSR76FB"],"uri":["http://zotero.org/users/8087914/items/STSR76FB"],"itemData":{"id":266,"type":"article-journal","abstract":"Importance: With the current opioid crisis, it is important to improve understanding of the biological mechanisms of opioid use disorder (OUD).\nObjectives: To detect genetic risk variants for OUD and determine genetic correlations and causal association with OUD and other traits.\nDesign, Setting, and Participants: A genome-wide association study of electronic health record-defined OUD in the Million Veteran Program sample was conducted, comprising 8529 affected European American individuals and 71 200 opioid-exposed European American controls (defined by electronic health record trajectory analysis) and 4032 affected African American individuals and 26 029 opioid-exposed African American controls. Participants were enrolled from January 10, 2011, to May 21, 2018, with electronic health record data for OUD diagnosis from October 1, 1999, to February 7, 2018. Million Veteran Program results and additional OUD case-control genome-wide association study results from the Yale-Penn and Study of Addiction: Genetics and Environment samples were meta-analyzed (total numbers: European American individuals, 10 544 OUD cases and 72 163 opioid-exposed controls; African American individuals, 5212 cases and 26 876 controls). Data on Yale-Penn participants were collected from February 14, 1999, to April 1, 2017, and data on Study of Addiction: Genetics and Environment participants were collected from 1990 to 2007. The key result was replicated in 2 independent cohorts: proxy-phenotype buprenorphine treatment in the UK Biobank and newly genotyped Yale-Penn participants. Genetic correlations between OUD and other traits were tested, and mendelian randomization analysis was conducted to identify potential causal associations.\nMain Outcomes and Measures: Main outcomes were International Classification of Diseases, Ninth Revision-diagnosed OUD or International Statistical Classification of Diseases and Related Health Problems, Tenth Revision-diagnosed OUD (Million Veteran Program), and DSM-IV-defined opioid dependence (Yale-Penn and Study of Addiction: Genetics and Environment).\nResults: A total of 114 759 individuals (101 016 men [88%]; mean [SD] age, 60.1 [12.8] years) were included. In 82 707 European American individuals, a functional coding variant (rs1799971, encoding Asn40Asp) in OPRM1 (μ-opioid receptor gene, the main biological target for opioid drugs; OMIM 600018) reached genome-wide significance (G allele: β = -0.066 [SE = 0.012]; P = 1.51 × 10-8). The finding was replicated in 2 independent samples. Single-nucleotide polymorphism-based heritability of OUD was 11.3% (SE = 1.8%). Opioid use disorder was genetically correlated with 83 traits, including multiple substance use traits, psychiatric illnesses, cognitive performance, and others. Mendelian randomization analysis revealed the following associations with OUD: risk of tobacco smoking, depression, neuroticism, worry neuroticism subcluster, and cognitive performance. No genome-wide significant association was detected for African American individuals or in transpopulation meta-analysis.\nConclusions and Relevance: This genome-wide meta-analysis identified a significant association of OUD with an OPRM1 variant, which was replicated in 2 independent samples. Post-genome-wide association study analysis revealed associated pleiotropic characteristics. Recruitment of additional individuals with OUD for future studies-especially those of non-European ancestry-is a crucial next step in identifying additional significant risk loci.","container-title":"JAMA psychiatry","DOI":"10.1001/jamapsychiatry.2020.1206","ISSN":"2168-6238","issue":"10","journalAbbreviation":"JAMA Psychiatry","language":"eng","note":"PMID: 32492095\nPMCID: PMC7270886","page":"1072-1080","source":"PubMed","title":"Association of OPRM1 Functional Coding Variant With Opioid Use Disorder: A Genome-Wide Association Study","title-short":"Association of OPRM1 Functional Coding Variant With Opioid Use Disorder","volume":"77","author":[{"family":"Zhou","given":"Hang"},{"family":"Rentsch","given":"Christopher T."},{"family":"Cheng","given":"Zhongshan"},{"family":"Kember","given":"Rachel L."},{"family":"Nunez","given":"Yaira Z."},{"family":"Sherva","given":"Richard M."},{"family":"Tate","given":"Janet P."},{"family":"Dao","given":"Cecilia"},{"family":"Xu","given":"Ke"},{"family":"Polimanti","given":"Renato"},{"family":"Farrer","given":"Lindsay A."},{"family":"Justice","given":"Amy C."},{"family":"Kranzler","given":"Henry R."},{"family":"Gelernter","given":"Joel"},{"literal":"Veterans Affairs Million Veteran Program"}],"issued":{"date-parts":[["2020",10,1]]}}}],"schema":"https://github.com/citation-style-language/schema/raw/master/csl-citation.json"} </w:instrText>
      </w:r>
      <w:r w:rsidRPr="00E12BB0">
        <w:rPr>
          <w:rFonts w:ascii="Arial" w:eastAsia="Arial" w:hAnsi="Arial" w:cs="Arial"/>
          <w:color w:val="000000" w:themeColor="text1"/>
          <w:sz w:val="22"/>
          <w:szCs w:val="22"/>
        </w:rPr>
        <w:fldChar w:fldCharType="separate"/>
      </w:r>
      <w:r w:rsidR="00925EA3" w:rsidRPr="00925EA3">
        <w:rPr>
          <w:rFonts w:ascii="Arial" w:hAnsi="Arial" w:cs="Arial"/>
          <w:color w:val="000000"/>
          <w:sz w:val="22"/>
          <w:vertAlign w:val="superscript"/>
        </w:rPr>
        <w:t>6</w:t>
      </w:r>
      <w:r w:rsidRPr="00E12BB0">
        <w:rPr>
          <w:rFonts w:ascii="Arial" w:eastAsia="Arial" w:hAnsi="Arial" w:cs="Arial"/>
          <w:color w:val="000000" w:themeColor="text1"/>
          <w:sz w:val="22"/>
          <w:szCs w:val="22"/>
        </w:rPr>
        <w:fldChar w:fldCharType="end"/>
      </w:r>
      <w:r w:rsidRPr="00E12BB0">
        <w:rPr>
          <w:rFonts w:ascii="Arial" w:eastAsia="Arial" w:hAnsi="Arial" w:cs="Arial"/>
          <w:color w:val="000000" w:themeColor="text1"/>
          <w:sz w:val="22"/>
          <w:szCs w:val="22"/>
        </w:rPr>
        <w:t>. In brief, we used SNPs common to both the Yale-Penn dataset and the 1000 Genomes phase 3 reference panels to calculate principal components using PLINK 1.9</w:t>
      </w:r>
      <w:r w:rsidRPr="00E12BB0">
        <w:rPr>
          <w:rFonts w:ascii="Arial" w:eastAsia="Arial" w:hAnsi="Arial" w:cs="Arial"/>
          <w:color w:val="000000" w:themeColor="text1"/>
          <w:sz w:val="22"/>
          <w:szCs w:val="22"/>
        </w:rPr>
        <w:fldChar w:fldCharType="begin"/>
      </w:r>
      <w:r w:rsidR="00925EA3">
        <w:rPr>
          <w:rFonts w:ascii="Arial" w:eastAsia="Arial" w:hAnsi="Arial" w:cs="Arial"/>
          <w:color w:val="000000" w:themeColor="text1"/>
          <w:sz w:val="22"/>
          <w:szCs w:val="22"/>
        </w:rPr>
        <w:instrText xml:space="preserve"> ADDIN ZOTERO_ITEM CSL_CITATION {"citationID":"yVURgzip","properties":{"formattedCitation":"\\super 7\\nosupersub{}","plainCitation":"7","noteIndex":0},"citationItems":[{"id":26,"uris":["http://zotero.org/users/8087914/items/Z5FWYI6W"],"uri":["http://zotero.org/users/8087914/items/Z5FWYI6W"],"itemData":{"id":26,"type":"article-journal","abstract":"PLINK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format.To address these issues, we are developing a second-generation codebase for PLINK. The first major release from this codebase, PLINK 1.9, introduces extensive use of bit-level parallelism, (n)-time/constant-space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use.","container-title":"GigaScience","DOI":"10.1186/s13742-015-0047-8","ISSN":"2047-217X","issue":"s13742-015-0047-8","journalAbbreviation":"GigaScience","source":"Silverchair","title":"Second-generation PLINK: rising to the challenge of larger and richer datasets","title-short":"Second-generation PLINK","URL":"https://doi.org/10.1186/s13742-015-0047-8","volume":"4","author":[{"family":"Chang","given":"Christopher C"},{"family":"Chow","given":"Carson C"},{"family":"Tellier","given":"Laurent CAM"},{"family":"Vattikuti","given":"Shashaank"},{"family":"Purcell","given":"Shaun M"},{"family":"Lee","given":"James J"}],"accessed":{"date-parts":[["2021",6,4]]},"issued":{"date-parts":[["2015",12,1]]}}}],"schema":"https://github.com/citation-style-language/schema/raw/master/csl-citation.json"} </w:instrText>
      </w:r>
      <w:r w:rsidRPr="00E12BB0">
        <w:rPr>
          <w:rFonts w:ascii="Arial" w:eastAsia="Arial" w:hAnsi="Arial" w:cs="Arial"/>
          <w:color w:val="000000" w:themeColor="text1"/>
          <w:sz w:val="22"/>
          <w:szCs w:val="22"/>
        </w:rPr>
        <w:fldChar w:fldCharType="separate"/>
      </w:r>
      <w:r w:rsidR="00925EA3" w:rsidRPr="00925EA3">
        <w:rPr>
          <w:rFonts w:ascii="Arial" w:hAnsi="Arial" w:cs="Arial"/>
          <w:color w:val="000000"/>
          <w:sz w:val="22"/>
          <w:vertAlign w:val="superscript"/>
        </w:rPr>
        <w:t>7</w:t>
      </w:r>
      <w:r w:rsidRPr="00E12BB0">
        <w:rPr>
          <w:rFonts w:ascii="Arial" w:eastAsia="Arial" w:hAnsi="Arial" w:cs="Arial"/>
          <w:color w:val="000000" w:themeColor="text1"/>
          <w:sz w:val="22"/>
          <w:szCs w:val="22"/>
        </w:rPr>
        <w:fldChar w:fldCharType="end"/>
      </w:r>
      <w:r w:rsidRPr="00E12BB0">
        <w:rPr>
          <w:rFonts w:ascii="Arial" w:eastAsia="Arial" w:hAnsi="Arial" w:cs="Arial"/>
          <w:color w:val="000000" w:themeColor="text1"/>
          <w:sz w:val="22"/>
          <w:szCs w:val="22"/>
        </w:rPr>
        <w:t>. The population closest to the subject based on the distance of 10 PCs was assigned to the subject (AFR: N=6,286; EUR: N=6,460</w:t>
      </w:r>
      <w:r>
        <w:rPr>
          <w:rFonts w:ascii="Arial" w:eastAsia="Arial" w:hAnsi="Arial" w:cs="Arial"/>
          <w:color w:val="000000" w:themeColor="text1"/>
          <w:sz w:val="22"/>
          <w:szCs w:val="22"/>
        </w:rPr>
        <w:t>; Other=739</w:t>
      </w:r>
      <w:r w:rsidRPr="00E12BB0">
        <w:rPr>
          <w:rFonts w:ascii="Arial" w:eastAsia="Arial" w:hAnsi="Arial" w:cs="Arial"/>
          <w:color w:val="000000" w:themeColor="text1"/>
          <w:sz w:val="22"/>
          <w:szCs w:val="22"/>
        </w:rPr>
        <w:t xml:space="preserve">). To </w:t>
      </w:r>
      <w:r>
        <w:rPr>
          <w:rFonts w:ascii="Arial" w:eastAsia="Arial" w:hAnsi="Arial" w:cs="Arial"/>
          <w:color w:val="000000" w:themeColor="text1"/>
          <w:sz w:val="22"/>
          <w:szCs w:val="22"/>
        </w:rPr>
        <w:t>remedy</w:t>
      </w:r>
      <w:r w:rsidRPr="00E12BB0">
        <w:rPr>
          <w:rFonts w:ascii="Arial" w:eastAsia="Arial" w:hAnsi="Arial" w:cs="Arial"/>
          <w:color w:val="000000" w:themeColor="text1"/>
          <w:sz w:val="22"/>
          <w:szCs w:val="22"/>
        </w:rPr>
        <w:t xml:space="preserve"> batch effects </w:t>
      </w:r>
      <w:r>
        <w:rPr>
          <w:rFonts w:ascii="Arial" w:eastAsia="Arial" w:hAnsi="Arial" w:cs="Arial"/>
          <w:color w:val="000000" w:themeColor="text1"/>
          <w:sz w:val="22"/>
          <w:szCs w:val="22"/>
        </w:rPr>
        <w:t xml:space="preserve">observed </w:t>
      </w:r>
      <w:r w:rsidRPr="00E12BB0">
        <w:rPr>
          <w:rFonts w:ascii="Arial" w:eastAsia="Arial" w:hAnsi="Arial" w:cs="Arial"/>
          <w:color w:val="000000" w:themeColor="text1"/>
          <w:sz w:val="22"/>
          <w:szCs w:val="22"/>
        </w:rPr>
        <w:t xml:space="preserve">in PCs between the Yale-Penn III data and the Yale-Penn I and Yale-Penn II data, we removed SNPs with an allele frequency difference &gt;0.04 among the 3 batches. We </w:t>
      </w:r>
      <w:r>
        <w:rPr>
          <w:rFonts w:ascii="Arial" w:eastAsia="Arial" w:hAnsi="Arial" w:cs="Arial"/>
          <w:color w:val="000000" w:themeColor="text1"/>
          <w:sz w:val="22"/>
          <w:szCs w:val="22"/>
        </w:rPr>
        <w:t xml:space="preserve">randomly </w:t>
      </w:r>
      <w:r w:rsidRPr="00E12BB0">
        <w:rPr>
          <w:rFonts w:ascii="Arial" w:eastAsia="Arial" w:hAnsi="Arial" w:cs="Arial"/>
          <w:color w:val="000000" w:themeColor="text1"/>
          <w:sz w:val="22"/>
          <w:szCs w:val="22"/>
        </w:rPr>
        <w:t>removed 1 member of each pair of related individuals (</w:t>
      </w:r>
      <w:proofErr w:type="spellStart"/>
      <w:r w:rsidRPr="00E12BB0">
        <w:rPr>
          <w:rFonts w:ascii="Arial" w:eastAsia="Arial" w:hAnsi="Arial" w:cs="Arial"/>
          <w:color w:val="000000" w:themeColor="text1"/>
          <w:sz w:val="22"/>
          <w:szCs w:val="22"/>
        </w:rPr>
        <w:t>pi_hat</w:t>
      </w:r>
      <w:proofErr w:type="spellEnd"/>
      <w:r w:rsidRPr="00E12BB0">
        <w:rPr>
          <w:rFonts w:ascii="Arial" w:eastAsia="Arial" w:hAnsi="Arial" w:cs="Arial"/>
          <w:color w:val="000000" w:themeColor="text1"/>
          <w:sz w:val="22"/>
          <w:szCs w:val="22"/>
        </w:rPr>
        <w:t xml:space="preserve"> &gt; 0.25) randomly from the data, leaving 4,918 AFR subjects and 5,692 EUR subjects for analyses (Supplementary Figure 1).</w:t>
      </w:r>
    </w:p>
    <w:p w14:paraId="61BCF5AA" w14:textId="17389219" w:rsidR="004D5111" w:rsidRDefault="004D5111" w:rsidP="00D745A1">
      <w:pPr>
        <w:spacing w:line="480" w:lineRule="auto"/>
        <w:rPr>
          <w:rFonts w:ascii="Arial" w:hAnsi="Arial" w:cs="Arial"/>
          <w:sz w:val="22"/>
          <w:szCs w:val="22"/>
        </w:rPr>
      </w:pPr>
    </w:p>
    <w:p w14:paraId="70497F67" w14:textId="6E1D3A01" w:rsidR="00925EA3" w:rsidRDefault="00925EA3" w:rsidP="00D745A1">
      <w:pPr>
        <w:spacing w:line="480" w:lineRule="auto"/>
        <w:rPr>
          <w:rFonts w:ascii="Arial" w:hAnsi="Arial" w:cs="Arial"/>
          <w:sz w:val="22"/>
          <w:szCs w:val="22"/>
        </w:rPr>
      </w:pPr>
      <w:r>
        <w:rPr>
          <w:rFonts w:ascii="Arial" w:hAnsi="Arial" w:cs="Arial"/>
          <w:sz w:val="22"/>
          <w:szCs w:val="22"/>
        </w:rPr>
        <w:t>References</w:t>
      </w:r>
    </w:p>
    <w:p w14:paraId="724726BB" w14:textId="77777777" w:rsidR="00925EA3" w:rsidRPr="00E12BB0" w:rsidRDefault="00925EA3" w:rsidP="00D745A1">
      <w:pPr>
        <w:spacing w:line="480" w:lineRule="auto"/>
        <w:rPr>
          <w:rFonts w:ascii="Arial" w:hAnsi="Arial" w:cs="Arial"/>
          <w:sz w:val="22"/>
          <w:szCs w:val="22"/>
        </w:rPr>
      </w:pPr>
    </w:p>
    <w:p w14:paraId="40A59C9B" w14:textId="77777777" w:rsidR="00925EA3" w:rsidRPr="00925EA3" w:rsidRDefault="00925EA3" w:rsidP="00925EA3">
      <w:pPr>
        <w:pStyle w:val="Bibliography"/>
        <w:rPr>
          <w:rFonts w:ascii="Arial" w:hAnsi="Arial" w:cs="Arial"/>
          <w:sz w:val="22"/>
        </w:rPr>
      </w:pPr>
      <w:r>
        <w:rPr>
          <w:rFonts w:ascii="Arial" w:hAnsi="Arial" w:cs="Arial"/>
          <w:sz w:val="22"/>
          <w:szCs w:val="22"/>
          <w:lang w:val="en-GB"/>
        </w:rPr>
        <w:fldChar w:fldCharType="begin"/>
      </w:r>
      <w:r>
        <w:rPr>
          <w:rFonts w:ascii="Arial" w:hAnsi="Arial" w:cs="Arial"/>
          <w:sz w:val="22"/>
          <w:szCs w:val="22"/>
          <w:lang w:val="en-GB"/>
        </w:rPr>
        <w:instrText xml:space="preserve"> ADDIN ZOTERO_BIBL {"uncited":[],"omitted":[],"custom":[]} CSL_BIBLIOGRAPHY </w:instrText>
      </w:r>
      <w:r>
        <w:rPr>
          <w:rFonts w:ascii="Arial" w:hAnsi="Arial" w:cs="Arial"/>
          <w:sz w:val="22"/>
          <w:szCs w:val="22"/>
          <w:lang w:val="en-GB"/>
        </w:rPr>
        <w:fldChar w:fldCharType="separate"/>
      </w:r>
      <w:r w:rsidRPr="00925EA3">
        <w:rPr>
          <w:rFonts w:ascii="Arial" w:hAnsi="Arial" w:cs="Arial"/>
          <w:sz w:val="22"/>
        </w:rPr>
        <w:t>1.</w:t>
      </w:r>
      <w:r w:rsidRPr="00925EA3">
        <w:rPr>
          <w:rFonts w:ascii="Arial" w:hAnsi="Arial" w:cs="Arial"/>
          <w:sz w:val="22"/>
        </w:rPr>
        <w:tab/>
        <w:t xml:space="preserve">Heatherton, T. F., Kozlowski, L. T., Frecker, R. C. &amp; Fagerström, K. O. The Fagerström Test for Nicotine Dependence: a revision of the Fagerström Tolerance Questionnaire. </w:t>
      </w:r>
      <w:r w:rsidRPr="00925EA3">
        <w:rPr>
          <w:rFonts w:ascii="Arial" w:hAnsi="Arial" w:cs="Arial"/>
          <w:i/>
          <w:iCs/>
          <w:sz w:val="22"/>
        </w:rPr>
        <w:t>Br. J. Addict.</w:t>
      </w:r>
      <w:r w:rsidRPr="00925EA3">
        <w:rPr>
          <w:rFonts w:ascii="Arial" w:hAnsi="Arial" w:cs="Arial"/>
          <w:sz w:val="22"/>
        </w:rPr>
        <w:t xml:space="preserve"> </w:t>
      </w:r>
      <w:r w:rsidRPr="00925EA3">
        <w:rPr>
          <w:rFonts w:ascii="Arial" w:hAnsi="Arial" w:cs="Arial"/>
          <w:b/>
          <w:bCs/>
          <w:sz w:val="22"/>
        </w:rPr>
        <w:t>86</w:t>
      </w:r>
      <w:r w:rsidRPr="00925EA3">
        <w:rPr>
          <w:rFonts w:ascii="Arial" w:hAnsi="Arial" w:cs="Arial"/>
          <w:sz w:val="22"/>
        </w:rPr>
        <w:t>, 1119–1127 (1991).</w:t>
      </w:r>
    </w:p>
    <w:p w14:paraId="2C75C9BD" w14:textId="77777777" w:rsidR="00925EA3" w:rsidRPr="00925EA3" w:rsidRDefault="00925EA3" w:rsidP="00925EA3">
      <w:pPr>
        <w:pStyle w:val="Bibliography"/>
        <w:rPr>
          <w:rFonts w:ascii="Arial" w:hAnsi="Arial" w:cs="Arial"/>
          <w:sz w:val="22"/>
        </w:rPr>
      </w:pPr>
      <w:r w:rsidRPr="00925EA3">
        <w:rPr>
          <w:rFonts w:ascii="Arial" w:hAnsi="Arial" w:cs="Arial"/>
          <w:sz w:val="22"/>
        </w:rPr>
        <w:t>2.</w:t>
      </w:r>
      <w:r w:rsidRPr="00925EA3">
        <w:rPr>
          <w:rFonts w:ascii="Arial" w:hAnsi="Arial" w:cs="Arial"/>
          <w:sz w:val="22"/>
        </w:rPr>
        <w:tab/>
        <w:t xml:space="preserve">Sartor, C. E., Wang, Z., Xu, K., Kranzler, H. R. &amp; Gelernter, J. The joint effects of ADH1B variants and childhood adversity on alcohol related phenotypes in African-American and European-American women and men. </w:t>
      </w:r>
      <w:r w:rsidRPr="00925EA3">
        <w:rPr>
          <w:rFonts w:ascii="Arial" w:hAnsi="Arial" w:cs="Arial"/>
          <w:i/>
          <w:iCs/>
          <w:sz w:val="22"/>
        </w:rPr>
        <w:t>Alcohol. Clin. Exp. Res.</w:t>
      </w:r>
      <w:r w:rsidRPr="00925EA3">
        <w:rPr>
          <w:rFonts w:ascii="Arial" w:hAnsi="Arial" w:cs="Arial"/>
          <w:sz w:val="22"/>
        </w:rPr>
        <w:t xml:space="preserve"> </w:t>
      </w:r>
      <w:r w:rsidRPr="00925EA3">
        <w:rPr>
          <w:rFonts w:ascii="Arial" w:hAnsi="Arial" w:cs="Arial"/>
          <w:b/>
          <w:bCs/>
          <w:sz w:val="22"/>
        </w:rPr>
        <w:t>38</w:t>
      </w:r>
      <w:r w:rsidRPr="00925EA3">
        <w:rPr>
          <w:rFonts w:ascii="Arial" w:hAnsi="Arial" w:cs="Arial"/>
          <w:sz w:val="22"/>
        </w:rPr>
        <w:t>, 2907–2914 (2014).</w:t>
      </w:r>
    </w:p>
    <w:p w14:paraId="3DC932EC" w14:textId="77777777" w:rsidR="00925EA3" w:rsidRPr="00925EA3" w:rsidRDefault="00925EA3" w:rsidP="00925EA3">
      <w:pPr>
        <w:pStyle w:val="Bibliography"/>
        <w:rPr>
          <w:rFonts w:ascii="Arial" w:hAnsi="Arial" w:cs="Arial"/>
          <w:sz w:val="22"/>
        </w:rPr>
      </w:pPr>
      <w:r w:rsidRPr="00925EA3">
        <w:rPr>
          <w:rFonts w:ascii="Arial" w:hAnsi="Arial" w:cs="Arial"/>
          <w:sz w:val="22"/>
        </w:rPr>
        <w:t>3.</w:t>
      </w:r>
      <w:r w:rsidRPr="00925EA3">
        <w:rPr>
          <w:rFonts w:ascii="Arial" w:hAnsi="Arial" w:cs="Arial"/>
          <w:sz w:val="22"/>
        </w:rPr>
        <w:tab/>
        <w:t xml:space="preserve">Polimanti, R. </w:t>
      </w:r>
      <w:r w:rsidRPr="00925EA3">
        <w:rPr>
          <w:rFonts w:ascii="Arial" w:hAnsi="Arial" w:cs="Arial"/>
          <w:i/>
          <w:iCs/>
          <w:sz w:val="22"/>
        </w:rPr>
        <w:t>et al.</w:t>
      </w:r>
      <w:r w:rsidRPr="00925EA3">
        <w:rPr>
          <w:rFonts w:ascii="Arial" w:hAnsi="Arial" w:cs="Arial"/>
          <w:sz w:val="22"/>
        </w:rPr>
        <w:t xml:space="preserve"> A genome-wide gene-by-trauma interaction study of alcohol misuse in two independent cohorts identifies PRKG1 as a risk locus. </w:t>
      </w:r>
      <w:r w:rsidRPr="00925EA3">
        <w:rPr>
          <w:rFonts w:ascii="Arial" w:hAnsi="Arial" w:cs="Arial"/>
          <w:i/>
          <w:iCs/>
          <w:sz w:val="22"/>
        </w:rPr>
        <w:t>Mol. Psychiatry</w:t>
      </w:r>
      <w:r w:rsidRPr="00925EA3">
        <w:rPr>
          <w:rFonts w:ascii="Arial" w:hAnsi="Arial" w:cs="Arial"/>
          <w:sz w:val="22"/>
        </w:rPr>
        <w:t xml:space="preserve"> </w:t>
      </w:r>
      <w:r w:rsidRPr="00925EA3">
        <w:rPr>
          <w:rFonts w:ascii="Arial" w:hAnsi="Arial" w:cs="Arial"/>
          <w:b/>
          <w:bCs/>
          <w:sz w:val="22"/>
        </w:rPr>
        <w:t>23</w:t>
      </w:r>
      <w:r w:rsidRPr="00925EA3">
        <w:rPr>
          <w:rFonts w:ascii="Arial" w:hAnsi="Arial" w:cs="Arial"/>
          <w:sz w:val="22"/>
        </w:rPr>
        <w:t>, 154–160 (2018).</w:t>
      </w:r>
    </w:p>
    <w:p w14:paraId="6AB36AB6" w14:textId="77777777" w:rsidR="00925EA3" w:rsidRPr="00925EA3" w:rsidRDefault="00925EA3" w:rsidP="00925EA3">
      <w:pPr>
        <w:pStyle w:val="Bibliography"/>
        <w:rPr>
          <w:rFonts w:ascii="Arial" w:hAnsi="Arial" w:cs="Arial"/>
          <w:sz w:val="22"/>
        </w:rPr>
      </w:pPr>
      <w:r w:rsidRPr="00925EA3">
        <w:rPr>
          <w:rFonts w:ascii="Arial" w:hAnsi="Arial" w:cs="Arial"/>
          <w:sz w:val="22"/>
        </w:rPr>
        <w:lastRenderedPageBreak/>
        <w:t>4.</w:t>
      </w:r>
      <w:r w:rsidRPr="00925EA3">
        <w:rPr>
          <w:rFonts w:ascii="Arial" w:hAnsi="Arial" w:cs="Arial"/>
          <w:sz w:val="22"/>
        </w:rPr>
        <w:tab/>
        <w:t xml:space="preserve">Das, S. </w:t>
      </w:r>
      <w:r w:rsidRPr="00925EA3">
        <w:rPr>
          <w:rFonts w:ascii="Arial" w:hAnsi="Arial" w:cs="Arial"/>
          <w:i/>
          <w:iCs/>
          <w:sz w:val="22"/>
        </w:rPr>
        <w:t>et al.</w:t>
      </w:r>
      <w:r w:rsidRPr="00925EA3">
        <w:rPr>
          <w:rFonts w:ascii="Arial" w:hAnsi="Arial" w:cs="Arial"/>
          <w:sz w:val="22"/>
        </w:rPr>
        <w:t xml:space="preserve"> Next-generation genotype imputation service and methods. </w:t>
      </w:r>
      <w:r w:rsidRPr="00925EA3">
        <w:rPr>
          <w:rFonts w:ascii="Arial" w:hAnsi="Arial" w:cs="Arial"/>
          <w:i/>
          <w:iCs/>
          <w:sz w:val="22"/>
        </w:rPr>
        <w:t>Nat. Genet.</w:t>
      </w:r>
      <w:r w:rsidRPr="00925EA3">
        <w:rPr>
          <w:rFonts w:ascii="Arial" w:hAnsi="Arial" w:cs="Arial"/>
          <w:sz w:val="22"/>
        </w:rPr>
        <w:t xml:space="preserve"> </w:t>
      </w:r>
      <w:r w:rsidRPr="00925EA3">
        <w:rPr>
          <w:rFonts w:ascii="Arial" w:hAnsi="Arial" w:cs="Arial"/>
          <w:b/>
          <w:bCs/>
          <w:sz w:val="22"/>
        </w:rPr>
        <w:t>48</w:t>
      </w:r>
      <w:r w:rsidRPr="00925EA3">
        <w:rPr>
          <w:rFonts w:ascii="Arial" w:hAnsi="Arial" w:cs="Arial"/>
          <w:sz w:val="22"/>
        </w:rPr>
        <w:t>, 1284–1287 (2016).</w:t>
      </w:r>
    </w:p>
    <w:p w14:paraId="0011C64D" w14:textId="77777777" w:rsidR="00925EA3" w:rsidRPr="00925EA3" w:rsidRDefault="00925EA3" w:rsidP="00925EA3">
      <w:pPr>
        <w:pStyle w:val="Bibliography"/>
        <w:rPr>
          <w:rFonts w:ascii="Arial" w:hAnsi="Arial" w:cs="Arial"/>
          <w:sz w:val="22"/>
        </w:rPr>
      </w:pPr>
      <w:r w:rsidRPr="00925EA3">
        <w:rPr>
          <w:rFonts w:ascii="Arial" w:hAnsi="Arial" w:cs="Arial"/>
          <w:sz w:val="22"/>
        </w:rPr>
        <w:t>5.</w:t>
      </w:r>
      <w:r w:rsidRPr="00925EA3">
        <w:rPr>
          <w:rFonts w:ascii="Arial" w:hAnsi="Arial" w:cs="Arial"/>
          <w:sz w:val="22"/>
        </w:rPr>
        <w:tab/>
        <w:t xml:space="preserve">Auton, A. </w:t>
      </w:r>
      <w:r w:rsidRPr="00925EA3">
        <w:rPr>
          <w:rFonts w:ascii="Arial" w:hAnsi="Arial" w:cs="Arial"/>
          <w:i/>
          <w:iCs/>
          <w:sz w:val="22"/>
        </w:rPr>
        <w:t>et al.</w:t>
      </w:r>
      <w:r w:rsidRPr="00925EA3">
        <w:rPr>
          <w:rFonts w:ascii="Arial" w:hAnsi="Arial" w:cs="Arial"/>
          <w:sz w:val="22"/>
        </w:rPr>
        <w:t xml:space="preserve"> A global reference for human genetic variation. </w:t>
      </w:r>
      <w:r w:rsidRPr="00925EA3">
        <w:rPr>
          <w:rFonts w:ascii="Arial" w:hAnsi="Arial" w:cs="Arial"/>
          <w:i/>
          <w:iCs/>
          <w:sz w:val="22"/>
        </w:rPr>
        <w:t>Nature</w:t>
      </w:r>
      <w:r w:rsidRPr="00925EA3">
        <w:rPr>
          <w:rFonts w:ascii="Arial" w:hAnsi="Arial" w:cs="Arial"/>
          <w:sz w:val="22"/>
        </w:rPr>
        <w:t xml:space="preserve"> </w:t>
      </w:r>
      <w:r w:rsidRPr="00925EA3">
        <w:rPr>
          <w:rFonts w:ascii="Arial" w:hAnsi="Arial" w:cs="Arial"/>
          <w:b/>
          <w:bCs/>
          <w:sz w:val="22"/>
        </w:rPr>
        <w:t>526</w:t>
      </w:r>
      <w:r w:rsidRPr="00925EA3">
        <w:rPr>
          <w:rFonts w:ascii="Arial" w:hAnsi="Arial" w:cs="Arial"/>
          <w:sz w:val="22"/>
        </w:rPr>
        <w:t>, 68–74 (2015).</w:t>
      </w:r>
    </w:p>
    <w:p w14:paraId="44F126F4" w14:textId="77777777" w:rsidR="00925EA3" w:rsidRPr="00925EA3" w:rsidRDefault="00925EA3" w:rsidP="00925EA3">
      <w:pPr>
        <w:pStyle w:val="Bibliography"/>
        <w:rPr>
          <w:rFonts w:ascii="Arial" w:hAnsi="Arial" w:cs="Arial"/>
          <w:sz w:val="22"/>
        </w:rPr>
      </w:pPr>
      <w:r w:rsidRPr="00925EA3">
        <w:rPr>
          <w:rFonts w:ascii="Arial" w:hAnsi="Arial" w:cs="Arial"/>
          <w:sz w:val="22"/>
        </w:rPr>
        <w:t>6.</w:t>
      </w:r>
      <w:r w:rsidRPr="00925EA3">
        <w:rPr>
          <w:rFonts w:ascii="Arial" w:hAnsi="Arial" w:cs="Arial"/>
          <w:sz w:val="22"/>
        </w:rPr>
        <w:tab/>
        <w:t xml:space="preserve">Zhou, H. </w:t>
      </w:r>
      <w:r w:rsidRPr="00925EA3">
        <w:rPr>
          <w:rFonts w:ascii="Arial" w:hAnsi="Arial" w:cs="Arial"/>
          <w:i/>
          <w:iCs/>
          <w:sz w:val="22"/>
        </w:rPr>
        <w:t>et al.</w:t>
      </w:r>
      <w:r w:rsidRPr="00925EA3">
        <w:rPr>
          <w:rFonts w:ascii="Arial" w:hAnsi="Arial" w:cs="Arial"/>
          <w:sz w:val="22"/>
        </w:rPr>
        <w:t xml:space="preserve"> Association of OPRM1 Functional Coding Variant With Opioid Use Disorder: A Genome-Wide Association Study. </w:t>
      </w:r>
      <w:r w:rsidRPr="00925EA3">
        <w:rPr>
          <w:rFonts w:ascii="Arial" w:hAnsi="Arial" w:cs="Arial"/>
          <w:i/>
          <w:iCs/>
          <w:sz w:val="22"/>
        </w:rPr>
        <w:t>JAMA Psychiatry</w:t>
      </w:r>
      <w:r w:rsidRPr="00925EA3">
        <w:rPr>
          <w:rFonts w:ascii="Arial" w:hAnsi="Arial" w:cs="Arial"/>
          <w:sz w:val="22"/>
        </w:rPr>
        <w:t xml:space="preserve"> </w:t>
      </w:r>
      <w:r w:rsidRPr="00925EA3">
        <w:rPr>
          <w:rFonts w:ascii="Arial" w:hAnsi="Arial" w:cs="Arial"/>
          <w:b/>
          <w:bCs/>
          <w:sz w:val="22"/>
        </w:rPr>
        <w:t>77</w:t>
      </w:r>
      <w:r w:rsidRPr="00925EA3">
        <w:rPr>
          <w:rFonts w:ascii="Arial" w:hAnsi="Arial" w:cs="Arial"/>
          <w:sz w:val="22"/>
        </w:rPr>
        <w:t>, 1072–1080 (2020).</w:t>
      </w:r>
    </w:p>
    <w:p w14:paraId="72703435" w14:textId="77777777" w:rsidR="00925EA3" w:rsidRPr="00925EA3" w:rsidRDefault="00925EA3" w:rsidP="00925EA3">
      <w:pPr>
        <w:pStyle w:val="Bibliography"/>
        <w:rPr>
          <w:rFonts w:ascii="Arial" w:hAnsi="Arial" w:cs="Arial"/>
          <w:sz w:val="22"/>
        </w:rPr>
      </w:pPr>
      <w:r w:rsidRPr="00925EA3">
        <w:rPr>
          <w:rFonts w:ascii="Arial" w:hAnsi="Arial" w:cs="Arial"/>
          <w:sz w:val="22"/>
        </w:rPr>
        <w:t>7.</w:t>
      </w:r>
      <w:r w:rsidRPr="00925EA3">
        <w:rPr>
          <w:rFonts w:ascii="Arial" w:hAnsi="Arial" w:cs="Arial"/>
          <w:sz w:val="22"/>
        </w:rPr>
        <w:tab/>
        <w:t xml:space="preserve">Chang, C. C. </w:t>
      </w:r>
      <w:r w:rsidRPr="00925EA3">
        <w:rPr>
          <w:rFonts w:ascii="Arial" w:hAnsi="Arial" w:cs="Arial"/>
          <w:i/>
          <w:iCs/>
          <w:sz w:val="22"/>
        </w:rPr>
        <w:t>et al.</w:t>
      </w:r>
      <w:r w:rsidRPr="00925EA3">
        <w:rPr>
          <w:rFonts w:ascii="Arial" w:hAnsi="Arial" w:cs="Arial"/>
          <w:sz w:val="22"/>
        </w:rPr>
        <w:t xml:space="preserve"> Second-generation PLINK: rising to the challenge of larger and richer datasets. </w:t>
      </w:r>
      <w:r w:rsidRPr="00925EA3">
        <w:rPr>
          <w:rFonts w:ascii="Arial" w:hAnsi="Arial" w:cs="Arial"/>
          <w:i/>
          <w:iCs/>
          <w:sz w:val="22"/>
        </w:rPr>
        <w:t>GigaScience</w:t>
      </w:r>
      <w:r w:rsidRPr="00925EA3">
        <w:rPr>
          <w:rFonts w:ascii="Arial" w:hAnsi="Arial" w:cs="Arial"/>
          <w:sz w:val="22"/>
        </w:rPr>
        <w:t xml:space="preserve"> </w:t>
      </w:r>
      <w:r w:rsidRPr="00925EA3">
        <w:rPr>
          <w:rFonts w:ascii="Arial" w:hAnsi="Arial" w:cs="Arial"/>
          <w:b/>
          <w:bCs/>
          <w:sz w:val="22"/>
        </w:rPr>
        <w:t>4</w:t>
      </w:r>
      <w:r w:rsidRPr="00925EA3">
        <w:rPr>
          <w:rFonts w:ascii="Arial" w:hAnsi="Arial" w:cs="Arial"/>
          <w:sz w:val="22"/>
        </w:rPr>
        <w:t>, (2015).</w:t>
      </w:r>
    </w:p>
    <w:p w14:paraId="53426A73" w14:textId="08C64939" w:rsidR="00D745A1" w:rsidRPr="00D745A1" w:rsidRDefault="00925EA3">
      <w:pPr>
        <w:rPr>
          <w:rFonts w:ascii="Arial" w:hAnsi="Arial" w:cs="Arial"/>
          <w:sz w:val="22"/>
          <w:szCs w:val="22"/>
          <w:lang w:val="en-GB"/>
        </w:rPr>
      </w:pPr>
      <w:r>
        <w:rPr>
          <w:rFonts w:ascii="Arial" w:hAnsi="Arial" w:cs="Arial"/>
          <w:sz w:val="22"/>
          <w:szCs w:val="22"/>
          <w:lang w:val="en-GB"/>
        </w:rPr>
        <w:fldChar w:fldCharType="end"/>
      </w:r>
    </w:p>
    <w:sectPr w:rsidR="00D745A1" w:rsidRPr="00D7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A1"/>
    <w:rsid w:val="004D5111"/>
    <w:rsid w:val="005550BE"/>
    <w:rsid w:val="006A1F8D"/>
    <w:rsid w:val="00925EA3"/>
    <w:rsid w:val="00D745A1"/>
    <w:rsid w:val="00DD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F752A"/>
  <w15:chartTrackingRefBased/>
  <w15:docId w15:val="{7F5D01AE-CFEA-5244-97D3-E43D1F8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25EA3"/>
    <w:pPr>
      <w:tabs>
        <w:tab w:val="left" w:pos="260"/>
      </w:tabs>
      <w:spacing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5489</Words>
  <Characters>31290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Kember, Rachel</dc:creator>
  <cp:keywords/>
  <dc:description/>
  <cp:lastModifiedBy>Kember, Rachel</cp:lastModifiedBy>
  <cp:revision>3</cp:revision>
  <dcterms:created xsi:type="dcterms:W3CDTF">2022-02-03T23:22:00Z</dcterms:created>
  <dcterms:modified xsi:type="dcterms:W3CDTF">2022-02-08T20:39:00Z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id="miTUDoIH"/&gt;&lt;style id="http://www.zotero.org/styles/nature"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