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3B5E" w14:textId="55B4FA94" w:rsidR="00FB2B69" w:rsidRDefault="00FB2B69">
      <w:pPr>
        <w:rPr>
          <w:lang w:val="en-US"/>
        </w:rPr>
      </w:pPr>
    </w:p>
    <w:p w14:paraId="6D1CE1A3" w14:textId="1B191FE6" w:rsidR="00FB2B69" w:rsidRPr="009F3718" w:rsidRDefault="008769E3" w:rsidP="001550EB">
      <w:pPr>
        <w:rPr>
          <w:lang w:val="en-US"/>
        </w:rPr>
      </w:pPr>
      <w:r>
        <w:rPr>
          <w:b/>
          <w:bCs/>
          <w:lang w:val="en-US"/>
        </w:rPr>
        <w:t xml:space="preserve">Supplementary </w:t>
      </w:r>
      <w:r w:rsidR="00FB2B69" w:rsidRPr="00F50676">
        <w:rPr>
          <w:b/>
          <w:bCs/>
          <w:lang w:val="en-US"/>
        </w:rPr>
        <w:t xml:space="preserve">Table </w:t>
      </w:r>
      <w:r w:rsidR="00665D52">
        <w:rPr>
          <w:b/>
          <w:bCs/>
          <w:lang w:val="en-US"/>
        </w:rPr>
        <w:t xml:space="preserve"> </w:t>
      </w:r>
      <w:r w:rsidR="00665D52">
        <w:rPr>
          <w:lang w:val="en-US"/>
        </w:rPr>
        <w:t xml:space="preserve">Comparison of </w:t>
      </w:r>
      <w:r w:rsidR="007F519F">
        <w:rPr>
          <w:lang w:val="en-US"/>
        </w:rPr>
        <w:t xml:space="preserve">admission </w:t>
      </w:r>
      <w:r w:rsidR="00665D52">
        <w:rPr>
          <w:lang w:val="en-US"/>
        </w:rPr>
        <w:t xml:space="preserve">samples </w:t>
      </w:r>
      <w:r>
        <w:rPr>
          <w:lang w:val="en-US"/>
        </w:rPr>
        <w:t xml:space="preserve">of study cohort </w:t>
      </w:r>
      <w:r w:rsidR="00665D52">
        <w:rPr>
          <w:lang w:val="en-US"/>
        </w:rPr>
        <w:t>with published literature</w:t>
      </w:r>
    </w:p>
    <w:p w14:paraId="652E1FA4" w14:textId="3580BCEE" w:rsidR="00FB2B69" w:rsidRDefault="00FB2B69" w:rsidP="001550EB">
      <w:pPr>
        <w:rPr>
          <w:lang w:val="en-US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46"/>
        <w:gridCol w:w="3263"/>
        <w:gridCol w:w="9778"/>
      </w:tblGrid>
      <w:tr w:rsidR="00FB2B69" w:rsidRPr="0049618F" w14:paraId="4FB0F324" w14:textId="77777777" w:rsidTr="00F2392A">
        <w:tc>
          <w:tcPr>
            <w:tcW w:w="846" w:type="dxa"/>
          </w:tcPr>
          <w:p w14:paraId="2C963893" w14:textId="77777777" w:rsidR="00FB2B69" w:rsidRPr="00F66D10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63" w:type="dxa"/>
          </w:tcPr>
          <w:p w14:paraId="7F6EB8CC" w14:textId="255E51D3" w:rsidR="00F2392A" w:rsidRDefault="00630AC8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66D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Admission </w:t>
            </w:r>
            <w:r w:rsidR="00FB2B69" w:rsidRPr="00F66D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sample</w:t>
            </w:r>
            <w:r w:rsidR="00F2392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(DB1)</w:t>
            </w:r>
            <w:r w:rsidR="00423D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1A052C82" w14:textId="05902E8A" w:rsidR="003A6363" w:rsidRPr="00F66D10" w:rsidRDefault="008769E3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</w:t>
            </w:r>
            <w:r w:rsidR="00F2392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edian</w:t>
            </w:r>
            <w:r w:rsidR="00F2392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25% and 75% percentile</w:t>
            </w:r>
            <w:r w:rsidR="0049618F" w:rsidRPr="00F66D1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9778" w:type="dxa"/>
          </w:tcPr>
          <w:p w14:paraId="5389272E" w14:textId="4EFC479C" w:rsidR="00FB2B69" w:rsidRPr="0049618F" w:rsidRDefault="00630AC8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Described serum level threshold associated with adverse outcome</w:t>
            </w:r>
            <w:r w:rsidR="0049618F"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9737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studied in different patient populations</w:t>
            </w:r>
          </w:p>
        </w:tc>
      </w:tr>
      <w:tr w:rsidR="00FB2B69" w14:paraId="5E46650B" w14:textId="77777777" w:rsidTr="00F2392A">
        <w:tc>
          <w:tcPr>
            <w:tcW w:w="846" w:type="dxa"/>
            <w:vMerge w:val="restart"/>
          </w:tcPr>
          <w:p w14:paraId="526C8757" w14:textId="68C5E0B5" w:rsidR="00FB2B69" w:rsidRPr="0049618F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NSE</w:t>
            </w:r>
          </w:p>
        </w:tc>
        <w:tc>
          <w:tcPr>
            <w:tcW w:w="3263" w:type="dxa"/>
            <w:vMerge w:val="restart"/>
          </w:tcPr>
          <w:p w14:paraId="2890F796" w14:textId="4AB5685A" w:rsidR="00F46CEC" w:rsidRDefault="00F46CEC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9</w:t>
            </w:r>
            <w:r w:rsidR="004C199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.09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ng/ml </w:t>
            </w:r>
            <w:r w:rsidR="004C199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(4.7-10.8</w:t>
            </w:r>
            <w:r w:rsidR="00B81A3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ng/ml</w:t>
            </w:r>
            <w:r w:rsidR="004C199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9778" w:type="dxa"/>
          </w:tcPr>
          <w:p w14:paraId="5C770D4F" w14:textId="02FA3243" w:rsidR="00FB2B69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17.2 ng/ml at ICU admission, rising in deteriorating </w:t>
            </w:r>
            <w:r w:rsidR="004941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patients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at 48h (El-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Maraghi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2012, TBI and CVA, n=20)</w:t>
            </w:r>
          </w:p>
        </w:tc>
      </w:tr>
      <w:tr w:rsidR="00FB2B69" w14:paraId="44D48439" w14:textId="77777777" w:rsidTr="00F2392A">
        <w:tc>
          <w:tcPr>
            <w:tcW w:w="846" w:type="dxa"/>
            <w:vMerge/>
          </w:tcPr>
          <w:p w14:paraId="4D9F2C90" w14:textId="77777777" w:rsidR="00FB2B69" w:rsidRPr="0049618F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63" w:type="dxa"/>
            <w:vMerge/>
          </w:tcPr>
          <w:p w14:paraId="6E7D7AC8" w14:textId="77777777" w:rsidR="00FB2B69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78" w:type="dxa"/>
          </w:tcPr>
          <w:p w14:paraId="5EDC4F21" w14:textId="77777777" w:rsidR="00FB2B69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21.7 ng/ml at admission to hospital as strong predictor of mortality (Vos 2004, TBI, n=85)</w:t>
            </w:r>
          </w:p>
        </w:tc>
      </w:tr>
      <w:tr w:rsidR="00FB2B69" w14:paraId="5293B858" w14:textId="77777777" w:rsidTr="00F2392A">
        <w:tc>
          <w:tcPr>
            <w:tcW w:w="846" w:type="dxa"/>
            <w:vMerge/>
          </w:tcPr>
          <w:p w14:paraId="27E15361" w14:textId="77777777" w:rsidR="00FB2B69" w:rsidRPr="0049618F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63" w:type="dxa"/>
            <w:vMerge/>
          </w:tcPr>
          <w:p w14:paraId="0A486D75" w14:textId="77777777" w:rsidR="00FB2B69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78" w:type="dxa"/>
          </w:tcPr>
          <w:p w14:paraId="179BE458" w14:textId="4DEF0708" w:rsidR="00FB2B69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17 ng/ml </w:t>
            </w:r>
            <w:r w:rsidR="00F2392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samples collected 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at 24, 48 and 72h post cardiac arrest </w:t>
            </w:r>
            <w:r w:rsidR="004941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</w:t>
            </w:r>
            <w:proofErr w:type="spellStart"/>
            <w:r w:rsidR="004941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Moseby-Knappe</w:t>
            </w:r>
            <w:proofErr w:type="spellEnd"/>
            <w:r w:rsidR="004941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2021, 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brain injury following </w:t>
            </w:r>
            <w:r w:rsidR="004941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cardiac arrest, n=717)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A6363" w14:paraId="356682D6" w14:textId="77777777" w:rsidTr="00F2392A">
        <w:tc>
          <w:tcPr>
            <w:tcW w:w="846" w:type="dxa"/>
            <w:vMerge w:val="restart"/>
          </w:tcPr>
          <w:p w14:paraId="0813E08A" w14:textId="77777777" w:rsidR="003A6363" w:rsidRPr="0049618F" w:rsidRDefault="003A6363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GFAP</w:t>
            </w:r>
          </w:p>
        </w:tc>
        <w:tc>
          <w:tcPr>
            <w:tcW w:w="3263" w:type="dxa"/>
            <w:vMerge w:val="restart"/>
          </w:tcPr>
          <w:p w14:paraId="7D99B611" w14:textId="354E8F81" w:rsidR="004C199A" w:rsidRDefault="004C199A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 ng/ml (0 – 1.72 ng/ml)</w:t>
            </w:r>
          </w:p>
        </w:tc>
        <w:tc>
          <w:tcPr>
            <w:tcW w:w="9778" w:type="dxa"/>
          </w:tcPr>
          <w:p w14:paraId="2C7F943C" w14:textId="0E2EF202" w:rsidR="003A6363" w:rsidRDefault="003A6363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1.69 ng/ml cut off for predicted BD</w:t>
            </w:r>
            <w:r w:rsidR="00C82E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1.55 ng/ml cut off for unfavourable outcome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in samples taken within 4 hours of injury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(Lei 2015, TBI, n=67)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A6363" w14:paraId="7DA17CA2" w14:textId="77777777" w:rsidTr="00F2392A">
        <w:tc>
          <w:tcPr>
            <w:tcW w:w="846" w:type="dxa"/>
            <w:vMerge/>
          </w:tcPr>
          <w:p w14:paraId="38B618B2" w14:textId="77777777" w:rsidR="003A6363" w:rsidRPr="0049618F" w:rsidRDefault="003A6363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63" w:type="dxa"/>
            <w:vMerge/>
          </w:tcPr>
          <w:p w14:paraId="3CDE2D0C" w14:textId="77777777" w:rsidR="003A6363" w:rsidRDefault="003A6363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78" w:type="dxa"/>
          </w:tcPr>
          <w:p w14:paraId="3272EAAB" w14:textId="558603DD" w:rsidR="003A6363" w:rsidRDefault="003A6363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22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pg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/ml </w:t>
            </w:r>
            <w:r w:rsidR="00F2392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samples collected at 24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48 and 72h post cardiac arrest (</w:t>
            </w:r>
            <w:proofErr w:type="spellStart"/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Moseby-Knappe</w:t>
            </w:r>
            <w:proofErr w:type="spellEnd"/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2021, brain injury following cardiac arrest, n=717)</w:t>
            </w:r>
          </w:p>
        </w:tc>
      </w:tr>
      <w:tr w:rsidR="00F50676" w14:paraId="4A6399CD" w14:textId="77777777" w:rsidTr="00F2392A">
        <w:tc>
          <w:tcPr>
            <w:tcW w:w="846" w:type="dxa"/>
            <w:vMerge w:val="restart"/>
          </w:tcPr>
          <w:p w14:paraId="37373CE0" w14:textId="77777777" w:rsidR="00F50676" w:rsidRPr="0049618F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IL-6</w:t>
            </w:r>
          </w:p>
        </w:tc>
        <w:tc>
          <w:tcPr>
            <w:tcW w:w="3263" w:type="dxa"/>
            <w:vMerge w:val="restart"/>
          </w:tcPr>
          <w:p w14:paraId="44A0891A" w14:textId="4835A4D4" w:rsidR="004C199A" w:rsidRDefault="004C199A" w:rsidP="003A6363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 ng/ml (0 – 37.5 ng/ml)</w:t>
            </w:r>
          </w:p>
        </w:tc>
        <w:tc>
          <w:tcPr>
            <w:tcW w:w="9778" w:type="dxa"/>
          </w:tcPr>
          <w:p w14:paraId="6E799C07" w14:textId="071C4208" w:rsidR="00F50676" w:rsidRDefault="00F50676" w:rsidP="00F50676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F84FD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21.9 ng/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ml </w:t>
            </w:r>
            <w:r w:rsidRPr="00F84FD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6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-12 </w:t>
            </w:r>
            <w:r w:rsidRPr="00F84FD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 post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head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</w:t>
            </w:r>
            <w:r w:rsidRPr="00F84FD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njury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(Antunes</w:t>
            </w:r>
            <w:r w:rsidRPr="00F84FD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2010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head trauma, n = 30</w:t>
            </w:r>
            <w:r w:rsidRPr="00F84FD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F50676" w14:paraId="1EED3174" w14:textId="77777777" w:rsidTr="00F2392A">
        <w:tc>
          <w:tcPr>
            <w:tcW w:w="846" w:type="dxa"/>
            <w:vMerge/>
          </w:tcPr>
          <w:p w14:paraId="1141A8C8" w14:textId="77777777" w:rsidR="00F50676" w:rsidRPr="0049618F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63" w:type="dxa"/>
            <w:vMerge/>
          </w:tcPr>
          <w:p w14:paraId="1EF4C1EC" w14:textId="77777777" w:rsidR="00F50676" w:rsidRDefault="00F50676" w:rsidP="003A6363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78" w:type="dxa"/>
          </w:tcPr>
          <w:p w14:paraId="206E9706" w14:textId="77777777" w:rsidR="00F50676" w:rsidRDefault="00F50676" w:rsidP="000F4B8F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128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pg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/ml 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collected within 24h of head injury </w:t>
            </w:r>
            <w:r w:rsidR="00BE635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Hergenroeder</w:t>
            </w:r>
            <w:proofErr w:type="spellEnd"/>
            <w:r w:rsidR="00BE635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isolated TBI, n=42)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2EC0363B" w14:textId="114F0B3B" w:rsidR="00F2392A" w:rsidRPr="00F84FD7" w:rsidRDefault="00F2392A" w:rsidP="000F4B8F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2B69" w14:paraId="1416DD31" w14:textId="77777777" w:rsidTr="00F2392A">
        <w:tc>
          <w:tcPr>
            <w:tcW w:w="846" w:type="dxa"/>
          </w:tcPr>
          <w:p w14:paraId="48740035" w14:textId="77777777" w:rsidR="00FB2B69" w:rsidRPr="0049618F" w:rsidRDefault="00FB2B69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TNF-a</w:t>
            </w:r>
          </w:p>
        </w:tc>
        <w:tc>
          <w:tcPr>
            <w:tcW w:w="3263" w:type="dxa"/>
          </w:tcPr>
          <w:p w14:paraId="3B1692F8" w14:textId="1FA00751" w:rsidR="00FB2B69" w:rsidRDefault="004C199A" w:rsidP="00F50676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26.1 </w:t>
            </w:r>
            <w:r w:rsidR="00FB2B6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5067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ng</w:t>
            </w:r>
            <w:proofErr w:type="gramEnd"/>
            <w:r w:rsidR="00F5067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/ml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B81A3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24.3 – 37.5 ng/ml)</w:t>
            </w:r>
          </w:p>
          <w:p w14:paraId="0E80CD25" w14:textId="229B4E46" w:rsidR="004C199A" w:rsidRDefault="004C199A" w:rsidP="00F50676">
            <w:pP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78" w:type="dxa"/>
          </w:tcPr>
          <w:p w14:paraId="7E4ABBE3" w14:textId="148CF965" w:rsidR="00FB2B69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7.6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pg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/ml median </w:t>
            </w:r>
            <w:r w:rsidR="00F2392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trauma centre admission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serum level associated with poor outcome</w:t>
            </w:r>
            <w:r w:rsidR="00911AD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7377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</w:t>
            </w:r>
            <w:r w:rsidR="004941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Stein 2011</w:t>
            </w:r>
            <w:r w:rsidR="0087377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severe TBI, n=24)</w:t>
            </w:r>
          </w:p>
        </w:tc>
      </w:tr>
      <w:tr w:rsidR="00F50676" w14:paraId="1E5883EA" w14:textId="77777777" w:rsidTr="00F2392A">
        <w:tc>
          <w:tcPr>
            <w:tcW w:w="846" w:type="dxa"/>
            <w:vMerge w:val="restart"/>
          </w:tcPr>
          <w:p w14:paraId="09946DA0" w14:textId="77777777" w:rsidR="00F50676" w:rsidRPr="0049618F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9618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C5a</w:t>
            </w:r>
          </w:p>
        </w:tc>
        <w:tc>
          <w:tcPr>
            <w:tcW w:w="3263" w:type="dxa"/>
            <w:vMerge w:val="restart"/>
          </w:tcPr>
          <w:p w14:paraId="1E3E4268" w14:textId="5945753B" w:rsidR="00F50676" w:rsidRDefault="00B81A3B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71.8</w:t>
            </w:r>
            <w:r w:rsidR="00F5067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ng/ml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(25.5 – 129.9 ng/ml)</w:t>
            </w:r>
          </w:p>
        </w:tc>
        <w:tc>
          <w:tcPr>
            <w:tcW w:w="9778" w:type="dxa"/>
          </w:tcPr>
          <w:p w14:paraId="55865ADC" w14:textId="736EE20C" w:rsidR="00F50676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6.86 ng/ml </w:t>
            </w:r>
            <w:r w:rsidR="00BE635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level at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d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ay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7-14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post stroke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Mocco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2006, ischaemic </w:t>
            </w:r>
            <w:proofErr w:type="gramStart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stroke  n</w:t>
            </w:r>
            <w:proofErr w:type="gramEnd"/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=15)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F50676" w14:paraId="43D25A1A" w14:textId="77777777" w:rsidTr="00F2392A">
        <w:tc>
          <w:tcPr>
            <w:tcW w:w="846" w:type="dxa"/>
            <w:vMerge/>
          </w:tcPr>
          <w:p w14:paraId="7B02A9B2" w14:textId="77777777" w:rsidR="00F50676" w:rsidRPr="0049618F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63" w:type="dxa"/>
            <w:vMerge/>
          </w:tcPr>
          <w:p w14:paraId="30350162" w14:textId="77777777" w:rsidR="00F50676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78" w:type="dxa"/>
          </w:tcPr>
          <w:p w14:paraId="7C82DFD8" w14:textId="58AF4B39" w:rsidR="00F50676" w:rsidRDefault="00F50676" w:rsidP="000F4B8F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10.58 </w:t>
            </w:r>
            <w:r w:rsidR="00BE635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ng/ml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early level</w:t>
            </w:r>
            <w:r w:rsidR="008769E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46C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(day 1 -3 post SAH)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and correlation with adverse functional outcome (Mack 2007, SAH n=52)</w:t>
            </w:r>
          </w:p>
        </w:tc>
      </w:tr>
    </w:tbl>
    <w:p w14:paraId="26DCD4F3" w14:textId="77777777" w:rsidR="00FB2B69" w:rsidRDefault="00FB2B69" w:rsidP="001550EB">
      <w:pPr>
        <w:rPr>
          <w:lang w:val="en-US"/>
        </w:rPr>
      </w:pPr>
    </w:p>
    <w:p w14:paraId="7E3A6495" w14:textId="44520F13" w:rsidR="000A3CCC" w:rsidRDefault="0049618F" w:rsidP="00F2392A">
      <w:pPr>
        <w:jc w:val="both"/>
      </w:pPr>
      <w:r>
        <w:t xml:space="preserve">Comparison of DB1 (admission levels) from study cohort with published levels </w:t>
      </w:r>
      <w:r w:rsidR="00E57CAD">
        <w:t xml:space="preserve">of brain injury markers </w:t>
      </w:r>
      <w:r>
        <w:t>associated with adverse outcome</w:t>
      </w:r>
      <w:r w:rsidR="00F2392A">
        <w:t xml:space="preserve"> following TBA, CVA, SAH or brain injury following cardiac arrest</w:t>
      </w:r>
      <w:r>
        <w:t xml:space="preserve">. </w:t>
      </w:r>
      <w:r w:rsidR="008769E3">
        <w:t>The</w:t>
      </w:r>
      <w:r>
        <w:t xml:space="preserve"> timing of sample DB1 </w:t>
      </w:r>
      <w:r w:rsidR="008769E3">
        <w:t xml:space="preserve">in our study cohort </w:t>
      </w:r>
      <w:r>
        <w:t xml:space="preserve">ranges from </w:t>
      </w:r>
      <w:r w:rsidR="00B81A3B">
        <w:t>2</w:t>
      </w:r>
      <w:r>
        <w:t xml:space="preserve">h to 220h </w:t>
      </w:r>
      <w:r w:rsidRPr="00F2392A">
        <w:rPr>
          <w:i/>
          <w:iCs/>
        </w:rPr>
        <w:t>prior to</w:t>
      </w:r>
      <w:r>
        <w:t xml:space="preserve"> </w:t>
      </w:r>
      <w:r w:rsidRPr="00F2392A">
        <w:rPr>
          <w:i/>
          <w:iCs/>
        </w:rPr>
        <w:t>confirmation</w:t>
      </w:r>
      <w:r>
        <w:t xml:space="preserve"> of brain death</w:t>
      </w:r>
      <w:r w:rsidR="008769E3">
        <w:t xml:space="preserve"> and represent the </w:t>
      </w:r>
      <w:r w:rsidR="00B81A3B">
        <w:t xml:space="preserve">ICU </w:t>
      </w:r>
      <w:r w:rsidR="008769E3">
        <w:t xml:space="preserve">admission sample for each donor; median and </w:t>
      </w:r>
      <w:r w:rsidR="00F2392A">
        <w:t>25% and 75% percentile are</w:t>
      </w:r>
      <w:r w:rsidR="008769E3">
        <w:t xml:space="preserve"> shown</w:t>
      </w:r>
      <w:r w:rsidR="008937E6">
        <w:t xml:space="preserve">. </w:t>
      </w:r>
      <w:r w:rsidR="00F46CEC">
        <w:t xml:space="preserve">For published studies </w:t>
      </w:r>
      <w:r w:rsidR="00F46CEC">
        <w:lastRenderedPageBreak/>
        <w:t xml:space="preserve">the indicated time point of sample collection is shown. </w:t>
      </w:r>
      <w:r w:rsidR="008769E3">
        <w:t xml:space="preserve">Abbreviations used: </w:t>
      </w:r>
      <w:r w:rsidR="008937E6">
        <w:t>Cerebral vascular accident (CVA), traumatic brain injury (TBI), Subarachnoid haemorrhage (SAH)</w:t>
      </w:r>
    </w:p>
    <w:sectPr w:rsidR="000A3CCC" w:rsidSect="00CE060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EB"/>
    <w:rsid w:val="00003A79"/>
    <w:rsid w:val="00053AD1"/>
    <w:rsid w:val="00097374"/>
    <w:rsid w:val="00107B66"/>
    <w:rsid w:val="00112138"/>
    <w:rsid w:val="00152A1D"/>
    <w:rsid w:val="001550EB"/>
    <w:rsid w:val="002300D8"/>
    <w:rsid w:val="0028684E"/>
    <w:rsid w:val="002C7C27"/>
    <w:rsid w:val="002D0866"/>
    <w:rsid w:val="003100FA"/>
    <w:rsid w:val="003228B1"/>
    <w:rsid w:val="00326FA3"/>
    <w:rsid w:val="00335AD1"/>
    <w:rsid w:val="003A1878"/>
    <w:rsid w:val="003A6363"/>
    <w:rsid w:val="003A6382"/>
    <w:rsid w:val="003C18A1"/>
    <w:rsid w:val="003D16A7"/>
    <w:rsid w:val="003E17DE"/>
    <w:rsid w:val="00423964"/>
    <w:rsid w:val="00423DEA"/>
    <w:rsid w:val="004643BA"/>
    <w:rsid w:val="00494198"/>
    <w:rsid w:val="0049618F"/>
    <w:rsid w:val="004C199A"/>
    <w:rsid w:val="004E1FD9"/>
    <w:rsid w:val="004E36F1"/>
    <w:rsid w:val="004E55BE"/>
    <w:rsid w:val="0053334E"/>
    <w:rsid w:val="00535F2F"/>
    <w:rsid w:val="00630AC8"/>
    <w:rsid w:val="00665D52"/>
    <w:rsid w:val="006A449A"/>
    <w:rsid w:val="0071392D"/>
    <w:rsid w:val="00736A09"/>
    <w:rsid w:val="00747854"/>
    <w:rsid w:val="007F519F"/>
    <w:rsid w:val="007F653F"/>
    <w:rsid w:val="00803167"/>
    <w:rsid w:val="0080799E"/>
    <w:rsid w:val="008459F0"/>
    <w:rsid w:val="0086195E"/>
    <w:rsid w:val="0087377C"/>
    <w:rsid w:val="008769E3"/>
    <w:rsid w:val="008937E6"/>
    <w:rsid w:val="008B15FA"/>
    <w:rsid w:val="008E5E8A"/>
    <w:rsid w:val="00911ADC"/>
    <w:rsid w:val="009F3718"/>
    <w:rsid w:val="00A51715"/>
    <w:rsid w:val="00A750DC"/>
    <w:rsid w:val="00A85C32"/>
    <w:rsid w:val="00AF0661"/>
    <w:rsid w:val="00B06ED4"/>
    <w:rsid w:val="00B25E6C"/>
    <w:rsid w:val="00B332C4"/>
    <w:rsid w:val="00B81A3B"/>
    <w:rsid w:val="00B864DD"/>
    <w:rsid w:val="00B90A5D"/>
    <w:rsid w:val="00BD48CA"/>
    <w:rsid w:val="00BE2F1E"/>
    <w:rsid w:val="00BE6350"/>
    <w:rsid w:val="00BF606B"/>
    <w:rsid w:val="00C213A1"/>
    <w:rsid w:val="00C43B3B"/>
    <w:rsid w:val="00C82E4D"/>
    <w:rsid w:val="00CE0603"/>
    <w:rsid w:val="00D573BC"/>
    <w:rsid w:val="00DA5600"/>
    <w:rsid w:val="00E0653A"/>
    <w:rsid w:val="00E57CAD"/>
    <w:rsid w:val="00E6012D"/>
    <w:rsid w:val="00E866A4"/>
    <w:rsid w:val="00EB4D8B"/>
    <w:rsid w:val="00EB4F5E"/>
    <w:rsid w:val="00F11AFA"/>
    <w:rsid w:val="00F1684A"/>
    <w:rsid w:val="00F2392A"/>
    <w:rsid w:val="00F35713"/>
    <w:rsid w:val="00F46CEC"/>
    <w:rsid w:val="00F50676"/>
    <w:rsid w:val="00F66D10"/>
    <w:rsid w:val="00F9250E"/>
    <w:rsid w:val="00F92E3E"/>
    <w:rsid w:val="00F93E27"/>
    <w:rsid w:val="00FB2B69"/>
    <w:rsid w:val="00FC5667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0EDF"/>
  <w15:chartTrackingRefBased/>
  <w15:docId w15:val="{8F710E15-B124-5E4F-81EB-DD569EB6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EB"/>
    <w:rPr>
      <w:sz w:val="20"/>
      <w:szCs w:val="20"/>
    </w:rPr>
  </w:style>
  <w:style w:type="table" w:styleId="TableGrid">
    <w:name w:val="Table Grid"/>
    <w:basedOn w:val="TableNormal"/>
    <w:uiPriority w:val="39"/>
    <w:rsid w:val="0015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Bera</dc:creator>
  <cp:keywords/>
  <dc:description/>
  <cp:lastModifiedBy>Bera, Kasia (RTH) OUH</cp:lastModifiedBy>
  <cp:revision>4</cp:revision>
  <dcterms:created xsi:type="dcterms:W3CDTF">2022-02-05T17:41:00Z</dcterms:created>
  <dcterms:modified xsi:type="dcterms:W3CDTF">2022-02-05T18:40:00Z</dcterms:modified>
</cp:coreProperties>
</file>