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D774" w14:textId="4A658DFC" w:rsidR="00A8576D" w:rsidRDefault="00C227B0" w:rsidP="00C227B0">
      <w:pPr>
        <w:pStyle w:val="Tabellen"/>
        <w:spacing w:after="240"/>
        <w:rPr>
          <w:rFonts w:cstheme="minorBidi"/>
          <w:b/>
          <w:szCs w:val="22"/>
        </w:rPr>
      </w:pPr>
      <w:r>
        <w:rPr>
          <w:rFonts w:cstheme="minorBidi"/>
          <w:b/>
          <w:szCs w:val="22"/>
        </w:rPr>
        <w:t>Electronic Supplementary Material</w:t>
      </w:r>
    </w:p>
    <w:p w14:paraId="7D185B3F" w14:textId="50EF5A29" w:rsidR="00A8576D" w:rsidRDefault="00527223" w:rsidP="00C227B0">
      <w:pPr>
        <w:pStyle w:val="berschrift2"/>
        <w:numPr>
          <w:ilvl w:val="0"/>
          <w:numId w:val="0"/>
        </w:numPr>
        <w:spacing w:after="120"/>
      </w:pPr>
      <w:bookmarkStart w:id="0" w:name="_Toc55826785"/>
      <w:r>
        <w:t xml:space="preserve">ESM 1: </w:t>
      </w:r>
      <w:r w:rsidR="00A8576D">
        <w:t>Measurement instruments</w:t>
      </w:r>
      <w:bookmarkEnd w:id="0"/>
    </w:p>
    <w:p w14:paraId="579B7B6C" w14:textId="02DABDFF" w:rsidR="00C227B0" w:rsidRDefault="00A8576D" w:rsidP="00A8576D">
      <w:pPr>
        <w:spacing w:after="240"/>
      </w:pPr>
      <w:r>
        <w:t>Measurement instruments including</w:t>
      </w:r>
      <w:r w:rsidRPr="00FD2140">
        <w:t xml:space="preserve"> </w:t>
      </w:r>
      <w:r>
        <w:t xml:space="preserve">all </w:t>
      </w:r>
      <w:r w:rsidRPr="00FD2140">
        <w:t xml:space="preserve">items used </w:t>
      </w:r>
      <w:r>
        <w:t xml:space="preserve">in this study </w:t>
      </w:r>
      <w:r w:rsidRPr="00FD2140">
        <w:t xml:space="preserve">can be found in </w:t>
      </w:r>
      <w:r>
        <w:t>Table S</w:t>
      </w:r>
      <w:r w:rsidR="00C227B0">
        <w:t>1</w:t>
      </w:r>
      <w:r w:rsidRPr="00FD2140">
        <w:t>. The internal consistency of all constructs</w:t>
      </w:r>
      <w:r w:rsidRPr="00FD2140">
        <w:rPr>
          <w:color w:val="FF0000"/>
        </w:rPr>
        <w:t xml:space="preserve"> </w:t>
      </w:r>
      <w:r w:rsidRPr="00FD2140">
        <w:t xml:space="preserve">was good, with Cronbach’s alpha values ranging between </w:t>
      </w:r>
      <w:r>
        <w:t>α = .82</w:t>
      </w:r>
      <w:r w:rsidRPr="00FD2140">
        <w:t xml:space="preserve"> and </w:t>
      </w:r>
      <w:r>
        <w:t>α = .95</w:t>
      </w:r>
      <w:r w:rsidRPr="00FD2140">
        <w:t xml:space="preserve">. </w:t>
      </w:r>
      <w:r w:rsidRPr="006E4068">
        <w:t xml:space="preserve"> </w:t>
      </w:r>
    </w:p>
    <w:tbl>
      <w:tblPr>
        <w:tblpPr w:leftFromText="141" w:rightFromText="141" w:vertAnchor="page" w:horzAnchor="margin" w:tblpY="4441"/>
        <w:tblW w:w="90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425"/>
        <w:gridCol w:w="4536"/>
        <w:gridCol w:w="1276"/>
        <w:gridCol w:w="47"/>
        <w:gridCol w:w="898"/>
        <w:gridCol w:w="308"/>
        <w:gridCol w:w="40"/>
      </w:tblGrid>
      <w:tr w:rsidR="00A8576D" w14:paraId="5928AC8A" w14:textId="77777777" w:rsidTr="00C227B0">
        <w:trPr>
          <w:gridAfter w:val="2"/>
          <w:wAfter w:w="348" w:type="dxa"/>
          <w:trHeight w:val="471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ABACA" w14:textId="77777777" w:rsidR="00A8576D" w:rsidRDefault="00A8576D" w:rsidP="00C227B0">
            <w:pPr>
              <w:pStyle w:val="Tabellen"/>
              <w:spacing w:line="256" w:lineRule="auto"/>
            </w:pPr>
            <w:r>
              <w:t>Construct and Items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CC1ED" w14:textId="77777777" w:rsidR="00A8576D" w:rsidRDefault="00A8576D" w:rsidP="00C227B0">
            <w:pPr>
              <w:pStyle w:val="Tabellen"/>
              <w:spacing w:line="256" w:lineRule="auto"/>
            </w:pPr>
          </w:p>
        </w:tc>
      </w:tr>
      <w:tr w:rsidR="00A8576D" w:rsidRPr="00F56767" w14:paraId="25D03E58" w14:textId="77777777" w:rsidTr="00C227B0">
        <w:trPr>
          <w:gridAfter w:val="2"/>
          <w:wAfter w:w="348" w:type="dxa"/>
          <w:trHeight w:val="584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00553" w14:textId="77777777" w:rsidR="00A8576D" w:rsidRPr="00F56767" w:rsidRDefault="00A8576D" w:rsidP="00C227B0">
            <w:pPr>
              <w:pStyle w:val="Tabellen"/>
              <w:spacing w:line="256" w:lineRule="auto"/>
              <w:rPr>
                <w:bCs/>
                <w:i/>
              </w:rPr>
            </w:pPr>
            <w:r w:rsidRPr="00F56767">
              <w:rPr>
                <w:bCs/>
                <w:i/>
              </w:rPr>
              <w:t>Positive Mental Health (9 Items)</w:t>
            </w:r>
          </w:p>
          <w:p w14:paraId="4C88F6CD" w14:textId="77777777" w:rsidR="00A8576D" w:rsidRPr="00FD2140" w:rsidRDefault="00A8576D" w:rsidP="00C227B0">
            <w:pPr>
              <w:pStyle w:val="Tabellen"/>
              <w:spacing w:line="256" w:lineRule="auto"/>
              <w:rPr>
                <w:bCs/>
              </w:rPr>
            </w:pPr>
            <w:r w:rsidRPr="00F56767">
              <w:rPr>
                <w:bCs/>
              </w:rPr>
              <w:t>I am ofte</w:t>
            </w:r>
            <w:r>
              <w:rPr>
                <w:bCs/>
              </w:rPr>
              <w:t xml:space="preserve">n carefree and in good spirits; I enjoy my life; </w:t>
            </w:r>
            <w:r w:rsidRPr="00F56767">
              <w:rPr>
                <w:bCs/>
              </w:rPr>
              <w:t>All in al</w:t>
            </w:r>
            <w:r>
              <w:rPr>
                <w:bCs/>
              </w:rPr>
              <w:t xml:space="preserve">l, I am satisfied with my life; In general, I am confident; </w:t>
            </w:r>
            <w:r w:rsidRPr="00F56767">
              <w:rPr>
                <w:bCs/>
              </w:rPr>
              <w:t>I m</w:t>
            </w:r>
            <w:r>
              <w:rPr>
                <w:bCs/>
              </w:rPr>
              <w:t xml:space="preserve">anage well to fulfil my needs; </w:t>
            </w:r>
            <w:r w:rsidRPr="00F56767">
              <w:rPr>
                <w:bCs/>
              </w:rPr>
              <w:t>I am in good ph</w:t>
            </w:r>
            <w:r>
              <w:rPr>
                <w:bCs/>
              </w:rPr>
              <w:t xml:space="preserve">ysical and emotional condition; </w:t>
            </w:r>
            <w:r w:rsidRPr="00F56767">
              <w:rPr>
                <w:bCs/>
              </w:rPr>
              <w:t>I feel that I am actually well equipped to deal wi</w:t>
            </w:r>
            <w:r>
              <w:rPr>
                <w:bCs/>
              </w:rPr>
              <w:t xml:space="preserve">th my life and its difficulties; </w:t>
            </w:r>
            <w:r w:rsidRPr="00F56767">
              <w:rPr>
                <w:bCs/>
              </w:rPr>
              <w:t>M</w:t>
            </w:r>
            <w:r>
              <w:rPr>
                <w:bCs/>
              </w:rPr>
              <w:t xml:space="preserve">uch of what I do brings me joy; </w:t>
            </w:r>
            <w:r w:rsidRPr="00F56767">
              <w:rPr>
                <w:bCs/>
              </w:rPr>
              <w:t>I am a calm, balanced human being.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D70F269" w14:textId="77777777" w:rsidR="00A8576D" w:rsidRDefault="00A8576D" w:rsidP="00C227B0">
            <w:pPr>
              <w:pStyle w:val="Tabellen"/>
              <w:spacing w:line="256" w:lineRule="auto"/>
              <w:jc w:val="center"/>
              <w:rPr>
                <w:bCs/>
                <w:i/>
              </w:rPr>
            </w:pPr>
          </w:p>
          <w:p w14:paraId="31107B1D" w14:textId="77777777" w:rsidR="00A8576D" w:rsidRDefault="00A8576D" w:rsidP="00C227B0">
            <w:pPr>
              <w:pStyle w:val="Tabellen"/>
              <w:spacing w:line="256" w:lineRule="auto"/>
              <w:jc w:val="center"/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.91</w:t>
            </w:r>
          </w:p>
          <w:p w14:paraId="604FE0A0" w14:textId="77777777" w:rsidR="00A8576D" w:rsidRDefault="00A8576D" w:rsidP="00C227B0">
            <w:pPr>
              <w:pStyle w:val="Tabellen"/>
              <w:spacing w:after="120" w:line="257" w:lineRule="auto"/>
              <w:jc w:val="center"/>
            </w:pPr>
            <w:r>
              <w:rPr>
                <w:i/>
              </w:rPr>
              <w:t xml:space="preserve">M </w:t>
            </w:r>
            <w:r>
              <w:t>= 2.88</w:t>
            </w:r>
          </w:p>
          <w:p w14:paraId="736932D6" w14:textId="77777777" w:rsidR="00A8576D" w:rsidRPr="00F56767" w:rsidRDefault="00A8576D" w:rsidP="00C227B0">
            <w:pPr>
              <w:pStyle w:val="Tabellen"/>
              <w:spacing w:before="0" w:line="257" w:lineRule="auto"/>
              <w:jc w:val="center"/>
              <w:rPr>
                <w:bCs/>
              </w:rPr>
            </w:pPr>
            <w:r>
              <w:rPr>
                <w:i/>
              </w:rPr>
              <w:t xml:space="preserve">SD </w:t>
            </w:r>
            <w:r>
              <w:t>= 0.66</w:t>
            </w:r>
          </w:p>
        </w:tc>
      </w:tr>
      <w:tr w:rsidR="00A8576D" w:rsidRPr="00F56767" w14:paraId="23DC349F" w14:textId="77777777" w:rsidTr="00C227B0">
        <w:trPr>
          <w:gridAfter w:val="2"/>
          <w:wAfter w:w="348" w:type="dxa"/>
          <w:trHeight w:val="584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48086" w14:textId="77777777" w:rsidR="00A8576D" w:rsidRDefault="00A8576D" w:rsidP="00C227B0">
            <w:pPr>
              <w:pStyle w:val="Tabellen"/>
              <w:spacing w:line="256" w:lineRule="auto"/>
              <w:rPr>
                <w:bCs/>
                <w:i/>
              </w:rPr>
            </w:pPr>
            <w:r>
              <w:rPr>
                <w:bCs/>
                <w:i/>
              </w:rPr>
              <w:t>Mental health disorder (4 Items)</w:t>
            </w:r>
          </w:p>
          <w:p w14:paraId="7EF36440" w14:textId="77777777" w:rsidR="00A8576D" w:rsidRPr="00FF337E" w:rsidRDefault="00A8576D" w:rsidP="00C227B0">
            <w:pPr>
              <w:pStyle w:val="Tabellen"/>
              <w:spacing w:line="256" w:lineRule="auto"/>
              <w:rPr>
                <w:bCs/>
              </w:rPr>
            </w:pPr>
            <w:r w:rsidRPr="00FF337E">
              <w:rPr>
                <w:bCs/>
              </w:rPr>
              <w:t>Little interest or pleasure in doing things; Feeling down, depressed or hopeless</w:t>
            </w:r>
            <w:r>
              <w:rPr>
                <w:bCs/>
              </w:rPr>
              <w:t>;</w:t>
            </w:r>
            <w:r w:rsidRPr="00FF337E">
              <w:rPr>
                <w:bCs/>
              </w:rPr>
              <w:t xml:space="preserve"> Feeling nervous, anxious or on edge; Not being able to stop or control worrying</w:t>
            </w:r>
            <w:r>
              <w:rPr>
                <w:bCs/>
              </w:rPr>
              <w:t>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5A59E7B4" w14:textId="77777777" w:rsidR="00A8576D" w:rsidRDefault="00A8576D" w:rsidP="00C227B0">
            <w:pPr>
              <w:pStyle w:val="Tabellen"/>
              <w:spacing w:line="256" w:lineRule="auto"/>
              <w:jc w:val="center"/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.82</w:t>
            </w:r>
          </w:p>
          <w:p w14:paraId="461AD95B" w14:textId="77777777" w:rsidR="00A8576D" w:rsidRDefault="00A8576D" w:rsidP="00C227B0">
            <w:pPr>
              <w:pStyle w:val="Tabellen"/>
              <w:spacing w:line="256" w:lineRule="auto"/>
              <w:jc w:val="center"/>
            </w:pPr>
            <w:r>
              <w:rPr>
                <w:i/>
              </w:rPr>
              <w:t xml:space="preserve">M </w:t>
            </w:r>
            <w:r>
              <w:t>= 1.84</w:t>
            </w:r>
          </w:p>
          <w:p w14:paraId="0F11404B" w14:textId="77777777" w:rsidR="00A8576D" w:rsidRPr="00C7739D" w:rsidRDefault="00A8576D" w:rsidP="00C227B0">
            <w:pPr>
              <w:pStyle w:val="Tabellen"/>
              <w:spacing w:line="256" w:lineRule="auto"/>
              <w:jc w:val="center"/>
            </w:pPr>
            <w:r>
              <w:rPr>
                <w:i/>
              </w:rPr>
              <w:t xml:space="preserve">SD </w:t>
            </w:r>
            <w:r>
              <w:t>= 0.64</w:t>
            </w:r>
          </w:p>
        </w:tc>
      </w:tr>
      <w:tr w:rsidR="00A8576D" w:rsidRPr="00F56767" w14:paraId="22FE43EC" w14:textId="77777777" w:rsidTr="00C227B0">
        <w:trPr>
          <w:gridAfter w:val="2"/>
          <w:wAfter w:w="348" w:type="dxa"/>
          <w:trHeight w:val="272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B7427" w14:textId="77777777" w:rsidR="00A8576D" w:rsidRDefault="00A8576D" w:rsidP="00C227B0">
            <w:pPr>
              <w:pStyle w:val="Tabellen"/>
              <w:spacing w:line="256" w:lineRule="auto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6B03E571" w14:textId="77777777" w:rsidR="00A8576D" w:rsidRDefault="00A8576D" w:rsidP="00C227B0">
            <w:pPr>
              <w:pStyle w:val="Tabellen"/>
              <w:spacing w:line="256" w:lineRule="auto"/>
              <w:jc w:val="center"/>
              <w:rPr>
                <w:bCs/>
                <w:i/>
              </w:rPr>
            </w:pPr>
            <w:r>
              <w:t>Need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0F8601C3" w14:textId="77777777" w:rsidR="00A8576D" w:rsidRPr="00AC751C" w:rsidRDefault="00A8576D" w:rsidP="00C227B0">
            <w:pPr>
              <w:pStyle w:val="Tabellen"/>
              <w:spacing w:line="256" w:lineRule="auto"/>
              <w:jc w:val="center"/>
              <w:rPr>
                <w:bCs/>
              </w:rPr>
            </w:pPr>
            <w:r w:rsidRPr="00AC751C">
              <w:rPr>
                <w:bCs/>
              </w:rPr>
              <w:t>Supply</w:t>
            </w:r>
          </w:p>
        </w:tc>
      </w:tr>
      <w:tr w:rsidR="00A8576D" w14:paraId="5CDA8E5D" w14:textId="77777777" w:rsidTr="00C227B0">
        <w:trPr>
          <w:gridAfter w:val="2"/>
          <w:wAfter w:w="348" w:type="dxa"/>
          <w:trHeight w:val="584"/>
        </w:trPr>
        <w:tc>
          <w:tcPr>
            <w:tcW w:w="6511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0836A" w14:textId="77777777" w:rsidR="00A8576D" w:rsidRPr="00F56767" w:rsidRDefault="00A8576D" w:rsidP="00C227B0">
            <w:pPr>
              <w:pStyle w:val="Tabellen"/>
              <w:spacing w:line="256" w:lineRule="auto"/>
              <w:rPr>
                <w:i/>
              </w:rPr>
            </w:pPr>
            <w:r>
              <w:rPr>
                <w:i/>
              </w:rPr>
              <w:t>Social relationships</w:t>
            </w:r>
            <w:r w:rsidRPr="00F56767">
              <w:rPr>
                <w:i/>
              </w:rPr>
              <w:t xml:space="preserve"> at work (4 Items)</w:t>
            </w:r>
          </w:p>
          <w:p w14:paraId="503E2258" w14:textId="77777777" w:rsidR="00A8576D" w:rsidRDefault="00A8576D" w:rsidP="00C227B0">
            <w:pPr>
              <w:pStyle w:val="Tabellen"/>
              <w:spacing w:line="256" w:lineRule="auto"/>
            </w:pPr>
            <w:r>
              <w:rPr>
                <w:iCs/>
              </w:rPr>
              <w:t xml:space="preserve">The opportunity to </w:t>
            </w:r>
            <w:r>
              <w:t>talk to others; The opportunity to make friends; being part of a social group; friendly contact with others.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86394" w14:textId="77777777" w:rsidR="00A8576D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.86</w:t>
            </w:r>
          </w:p>
          <w:p w14:paraId="0ED12E43" w14:textId="77777777" w:rsidR="00A8576D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i/>
              </w:rPr>
              <w:t xml:space="preserve">M </w:t>
            </w:r>
            <w:r>
              <w:t>= 3.69</w:t>
            </w:r>
          </w:p>
          <w:p w14:paraId="09E87FCF" w14:textId="77777777" w:rsidR="00A8576D" w:rsidRPr="00FB14B6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i/>
              </w:rPr>
              <w:t xml:space="preserve">SD </w:t>
            </w:r>
            <w:r>
              <w:t>= 0.89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77BD5E8" w14:textId="77777777" w:rsidR="00A8576D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.86</w:t>
            </w:r>
          </w:p>
          <w:p w14:paraId="24C9F77B" w14:textId="77777777" w:rsidR="00A8576D" w:rsidRDefault="00A8576D" w:rsidP="00C227B0">
            <w:pPr>
              <w:pStyle w:val="Tabellen"/>
              <w:spacing w:line="256" w:lineRule="auto"/>
            </w:pPr>
            <w:r>
              <w:rPr>
                <w:i/>
              </w:rPr>
              <w:t xml:space="preserve">M </w:t>
            </w:r>
            <w:r>
              <w:t>= 3.15</w:t>
            </w:r>
          </w:p>
          <w:p w14:paraId="7327E71F" w14:textId="77777777" w:rsidR="00A8576D" w:rsidRDefault="00A8576D" w:rsidP="00C227B0">
            <w:pPr>
              <w:pStyle w:val="Tabellen"/>
              <w:spacing w:line="256" w:lineRule="auto"/>
            </w:pPr>
            <w:r>
              <w:rPr>
                <w:i/>
              </w:rPr>
              <w:t>SD</w:t>
            </w:r>
            <w:r>
              <w:t>=1.08</w:t>
            </w:r>
          </w:p>
        </w:tc>
      </w:tr>
      <w:tr w:rsidR="00A8576D" w:rsidRPr="00CB348B" w14:paraId="044D0F46" w14:textId="77777777" w:rsidTr="00C227B0">
        <w:trPr>
          <w:gridAfter w:val="2"/>
          <w:wAfter w:w="348" w:type="dxa"/>
          <w:trHeight w:val="584"/>
        </w:trPr>
        <w:tc>
          <w:tcPr>
            <w:tcW w:w="6511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47A99" w14:textId="77777777" w:rsidR="00A8576D" w:rsidRPr="00F56767" w:rsidRDefault="00A8576D" w:rsidP="00C227B0">
            <w:pPr>
              <w:pStyle w:val="Tabellen"/>
              <w:spacing w:line="256" w:lineRule="auto"/>
              <w:rPr>
                <w:i/>
                <w:iCs/>
              </w:rPr>
            </w:pPr>
            <w:r w:rsidRPr="00F56767">
              <w:rPr>
                <w:i/>
              </w:rPr>
              <w:t>Social support at work</w:t>
            </w:r>
            <w:r>
              <w:rPr>
                <w:i/>
              </w:rPr>
              <w:t xml:space="preserve"> (4 Items)</w:t>
            </w:r>
          </w:p>
          <w:p w14:paraId="2630203E" w14:textId="77777777" w:rsidR="00A8576D" w:rsidRDefault="00A8576D" w:rsidP="00C227B0">
            <w:pPr>
              <w:pStyle w:val="Tabellen"/>
              <w:spacing w:line="256" w:lineRule="auto"/>
            </w:pPr>
            <w:r>
              <w:t>provide you with support on personal matters; offer you help on personal issues or challenges; offer to listen to a problem you may be having; go out of their way to help you with personal issues.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1AA24" w14:textId="77777777" w:rsidR="00A8576D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.95</w:t>
            </w:r>
          </w:p>
          <w:p w14:paraId="1AF8E2B9" w14:textId="77777777" w:rsidR="00A8576D" w:rsidRDefault="00A8576D" w:rsidP="00C227B0">
            <w:pPr>
              <w:pStyle w:val="Tabellen"/>
              <w:spacing w:line="256" w:lineRule="auto"/>
            </w:pPr>
            <w:r>
              <w:rPr>
                <w:i/>
              </w:rPr>
              <w:t xml:space="preserve">M </w:t>
            </w:r>
            <w:r>
              <w:t>= 3.25</w:t>
            </w:r>
          </w:p>
          <w:p w14:paraId="591E9D29" w14:textId="77777777" w:rsidR="00A8576D" w:rsidRPr="00FB14B6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i/>
              </w:rPr>
              <w:t xml:space="preserve">SD </w:t>
            </w:r>
            <w:r>
              <w:t>= 1.05</w:t>
            </w:r>
          </w:p>
        </w:tc>
        <w:tc>
          <w:tcPr>
            <w:tcW w:w="9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01274" w14:textId="77777777" w:rsidR="00A8576D" w:rsidRDefault="00A8576D" w:rsidP="00C227B0">
            <w:pPr>
              <w:pStyle w:val="Tabellen"/>
              <w:spacing w:line="256" w:lineRule="auto"/>
              <w:rPr>
                <w:bCs/>
              </w:rPr>
            </w:pPr>
            <w:r>
              <w:rPr>
                <w:bCs/>
                <w:i/>
              </w:rPr>
              <w:t xml:space="preserve">α </w:t>
            </w:r>
            <w:r>
              <w:rPr>
                <w:bCs/>
              </w:rPr>
              <w:t>= .92</w:t>
            </w:r>
          </w:p>
          <w:p w14:paraId="7A509679" w14:textId="77777777" w:rsidR="00A8576D" w:rsidRDefault="00A8576D" w:rsidP="00C227B0">
            <w:pPr>
              <w:pStyle w:val="Tabellen"/>
              <w:spacing w:line="256" w:lineRule="auto"/>
            </w:pPr>
            <w:r>
              <w:rPr>
                <w:i/>
              </w:rPr>
              <w:t xml:space="preserve">M </w:t>
            </w:r>
            <w:r>
              <w:t>= 2.81</w:t>
            </w:r>
          </w:p>
          <w:p w14:paraId="00A991DA" w14:textId="77777777" w:rsidR="00A8576D" w:rsidRPr="00FB14B6" w:rsidRDefault="00A8576D" w:rsidP="00C227B0">
            <w:pPr>
              <w:pStyle w:val="Tabellen"/>
              <w:spacing w:line="256" w:lineRule="auto"/>
            </w:pPr>
            <w:r>
              <w:rPr>
                <w:i/>
              </w:rPr>
              <w:t xml:space="preserve">SD </w:t>
            </w:r>
            <w:r>
              <w:t>=1.13</w:t>
            </w:r>
          </w:p>
        </w:tc>
      </w:tr>
      <w:tr w:rsidR="00A8576D" w:rsidRPr="001B2864" w14:paraId="0E3FE015" w14:textId="77777777" w:rsidTr="00C227B0">
        <w:trPr>
          <w:trHeight w:val="1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F90F4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8992B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8EDD5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21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8F96A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54D38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3E6044E5" w14:textId="77777777" w:rsidR="00A8576D" w:rsidRPr="001B2864" w:rsidRDefault="00A8576D" w:rsidP="00C227B0">
            <w:pPr>
              <w:pStyle w:val="Tabellen"/>
              <w:spacing w:line="256" w:lineRule="auto"/>
              <w:rPr>
                <w:sz w:val="10"/>
                <w:szCs w:val="10"/>
              </w:rPr>
            </w:pPr>
          </w:p>
        </w:tc>
      </w:tr>
    </w:tbl>
    <w:p w14:paraId="438445C5" w14:textId="57E929A8" w:rsidR="00A8576D" w:rsidRDefault="00A8576D" w:rsidP="00A8576D">
      <w:pPr>
        <w:spacing w:after="240"/>
      </w:pPr>
      <w:r w:rsidRPr="007F71C1">
        <w:rPr>
          <w:b/>
        </w:rPr>
        <w:t xml:space="preserve">Table </w:t>
      </w:r>
      <w:r>
        <w:rPr>
          <w:b/>
        </w:rPr>
        <w:t>S</w:t>
      </w:r>
      <w:r w:rsidR="00C227B0">
        <w:rPr>
          <w:b/>
        </w:rPr>
        <w:t>1</w:t>
      </w:r>
      <w:r>
        <w:t xml:space="preserve"> Measurement Instruments</w:t>
      </w:r>
    </w:p>
    <w:p w14:paraId="44755CA0" w14:textId="77777777" w:rsidR="00A8576D" w:rsidRDefault="00A8576D" w:rsidP="00A8576D">
      <w:pPr>
        <w:pStyle w:val="Tabellen"/>
        <w:spacing w:line="256" w:lineRule="auto"/>
      </w:pPr>
      <w:r>
        <w:rPr>
          <w:i/>
        </w:rPr>
        <w:t>Note.</w:t>
      </w:r>
      <w:r>
        <w:t xml:space="preserve"> </w:t>
      </w:r>
      <w:r>
        <w:rPr>
          <w:i/>
        </w:rPr>
        <w:t xml:space="preserve">α </w:t>
      </w:r>
      <w:r>
        <w:t xml:space="preserve">= Cronbach’s alpha, </w:t>
      </w:r>
      <w:r>
        <w:rPr>
          <w:i/>
        </w:rPr>
        <w:t xml:space="preserve">M </w:t>
      </w:r>
      <w:r>
        <w:t xml:space="preserve">= Mean, </w:t>
      </w:r>
      <w:r>
        <w:rPr>
          <w:i/>
        </w:rPr>
        <w:t xml:space="preserve">SD </w:t>
      </w:r>
      <w:r>
        <w:t>= Standard Deviation</w:t>
      </w:r>
    </w:p>
    <w:p w14:paraId="656F3998" w14:textId="77777777" w:rsidR="00A8576D" w:rsidRPr="00C3682C" w:rsidRDefault="00A8576D" w:rsidP="00A8576D">
      <w:pPr>
        <w:spacing w:before="0" w:after="160" w:line="259" w:lineRule="auto"/>
        <w:jc w:val="left"/>
        <w:rPr>
          <w:rFonts w:cs="Times New Roman"/>
          <w:b/>
          <w:szCs w:val="24"/>
        </w:rPr>
      </w:pPr>
    </w:p>
    <w:p w14:paraId="28F7FB6C" w14:textId="77777777" w:rsidR="00A8576D" w:rsidRDefault="00A8576D" w:rsidP="00A8576D">
      <w:pPr>
        <w:spacing w:before="0" w:after="160"/>
        <w:jc w:val="left"/>
        <w:rPr>
          <w:rFonts w:cs="Times New Roman"/>
          <w:b/>
          <w:szCs w:val="24"/>
        </w:rPr>
      </w:pPr>
    </w:p>
    <w:p w14:paraId="632ABDCE" w14:textId="77777777" w:rsidR="00527223" w:rsidRDefault="00527223" w:rsidP="00A8576D">
      <w:pPr>
        <w:spacing w:before="0" w:after="160"/>
        <w:jc w:val="left"/>
        <w:rPr>
          <w:rFonts w:cs="Times New Roman"/>
          <w:b/>
          <w:szCs w:val="24"/>
        </w:rPr>
      </w:pPr>
    </w:p>
    <w:p w14:paraId="4D6015E5" w14:textId="77777777" w:rsidR="00527223" w:rsidRDefault="00527223" w:rsidP="00A8576D">
      <w:pPr>
        <w:spacing w:before="0" w:after="160"/>
        <w:jc w:val="left"/>
        <w:rPr>
          <w:rFonts w:cs="Times New Roman"/>
          <w:b/>
          <w:szCs w:val="24"/>
        </w:rPr>
      </w:pPr>
    </w:p>
    <w:p w14:paraId="2303402F" w14:textId="77777777" w:rsidR="00527223" w:rsidRDefault="00527223" w:rsidP="000A2ED0">
      <w:pPr>
        <w:pStyle w:val="berschrift2"/>
        <w:numPr>
          <w:ilvl w:val="0"/>
          <w:numId w:val="0"/>
        </w:numPr>
        <w:ind w:left="720" w:hanging="360"/>
        <w:rPr>
          <w:rStyle w:val="berschrift2Zchn"/>
          <w:b/>
        </w:rPr>
      </w:pPr>
      <w:r w:rsidRPr="000A2ED0">
        <w:rPr>
          <w:rFonts w:cs="Times New Roman"/>
          <w:szCs w:val="24"/>
        </w:rPr>
        <w:lastRenderedPageBreak/>
        <w:t>ESM 2: Respon</w:t>
      </w:r>
      <w:r w:rsidRPr="000A2ED0">
        <w:rPr>
          <w:rStyle w:val="berschrift2Zchn"/>
          <w:b/>
        </w:rPr>
        <w:t>se Surface Analysis</w:t>
      </w:r>
    </w:p>
    <w:p w14:paraId="1CD9FE8C" w14:textId="1446344F" w:rsidR="000836D3" w:rsidRPr="00E27C39" w:rsidRDefault="000836D3" w:rsidP="000836D3">
      <w:pPr>
        <w:rPr>
          <w:rFonts w:cs="Times New Roman"/>
        </w:rPr>
      </w:pPr>
      <w:r w:rsidRPr="00E27C39">
        <w:rPr>
          <w:rFonts w:cs="Times New Roman"/>
        </w:rPr>
        <w:t>Since the application of RSA is still rare (</w:t>
      </w:r>
      <w:proofErr w:type="spellStart"/>
      <w:r w:rsidRPr="00E27C39">
        <w:rPr>
          <w:rFonts w:cs="Times New Roman"/>
        </w:rPr>
        <w:t>Milatz</w:t>
      </w:r>
      <w:proofErr w:type="spellEnd"/>
      <w:r w:rsidRPr="00E27C39">
        <w:rPr>
          <w:rFonts w:cs="Times New Roman"/>
        </w:rPr>
        <w:t xml:space="preserve"> et al., 2015), a short overview of the RSA methodology </w:t>
      </w:r>
      <w:r>
        <w:rPr>
          <w:rFonts w:cs="Times New Roman"/>
        </w:rPr>
        <w:t xml:space="preserve">and our analytical process </w:t>
      </w:r>
      <w:r w:rsidRPr="00E27C39">
        <w:rPr>
          <w:rFonts w:cs="Times New Roman"/>
        </w:rPr>
        <w:t>is given below. The RSA consists of two steps (</w:t>
      </w:r>
      <w:proofErr w:type="spellStart"/>
      <w:r w:rsidRPr="00E27C39">
        <w:rPr>
          <w:rFonts w:cs="Times New Roman"/>
        </w:rPr>
        <w:t>Humberg</w:t>
      </w:r>
      <w:proofErr w:type="spellEnd"/>
      <w:r w:rsidRPr="00E27C39">
        <w:rPr>
          <w:rFonts w:cs="Times New Roman"/>
        </w:rPr>
        <w:t xml:space="preserve"> et al., 2019). In the first step, the following unconstrained polynomial regression model of second-degree, including the two predictor variables (</w:t>
      </w:r>
      <w:r w:rsidRPr="00E27C39">
        <w:rPr>
          <w:rFonts w:cs="Times New Roman"/>
          <w:i/>
        </w:rPr>
        <w:t>X</w:t>
      </w:r>
      <w:r w:rsidRPr="00E27C39">
        <w:rPr>
          <w:rFonts w:cs="Times New Roman"/>
        </w:rPr>
        <w:t xml:space="preserve"> and </w:t>
      </w:r>
      <w:r w:rsidRPr="00E27C39">
        <w:rPr>
          <w:rFonts w:cs="Times New Roman"/>
          <w:i/>
        </w:rPr>
        <w:t>Y</w:t>
      </w:r>
      <w:r w:rsidRPr="00E27C39">
        <w:rPr>
          <w:rFonts w:cs="Times New Roman"/>
        </w:rPr>
        <w:t xml:space="preserve">), their squared terms </w:t>
      </w:r>
      <w:r w:rsidRPr="00E27C39">
        <w:rPr>
          <w:rFonts w:cs="Times New Roman"/>
          <w:i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E27C39">
        <w:rPr>
          <w:rFonts w:cs="Times New Roman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E27C39">
        <w:rPr>
          <w:rFonts w:cs="Times New Roman"/>
        </w:rPr>
        <w:t>)</w:t>
      </w:r>
      <w:r>
        <w:rPr>
          <w:rFonts w:cs="Times New Roman"/>
        </w:rPr>
        <w:t>,</w:t>
      </w:r>
      <w:r w:rsidRPr="00E27C39">
        <w:rPr>
          <w:rFonts w:cs="Times New Roman"/>
        </w:rPr>
        <w:t xml:space="preserve"> and the interaction of both predictors (</w:t>
      </w:r>
      <w:r w:rsidRPr="00E27C39">
        <w:rPr>
          <w:rFonts w:cs="Times New Roman"/>
          <w:i/>
        </w:rPr>
        <w:t>X*Y</w:t>
      </w:r>
      <w:r w:rsidRPr="00E27C39">
        <w:rPr>
          <w:rFonts w:cs="Times New Roman"/>
        </w:rPr>
        <w:t>) is calculated (</w:t>
      </w:r>
      <w:proofErr w:type="spellStart"/>
      <w:r w:rsidRPr="00E27C39">
        <w:rPr>
          <w:rFonts w:cs="Times New Roman"/>
        </w:rPr>
        <w:t>Milatz</w:t>
      </w:r>
      <w:proofErr w:type="spellEnd"/>
      <w:r w:rsidRPr="00E27C39">
        <w:rPr>
          <w:rFonts w:cs="Times New Roman"/>
        </w:rPr>
        <w:t xml:space="preserve"> et al., 2015; </w:t>
      </w:r>
      <w:proofErr w:type="spellStart"/>
      <w:r w:rsidRPr="00E27C39">
        <w:rPr>
          <w:rFonts w:cs="Times New Roman"/>
        </w:rPr>
        <w:t>Nestler</w:t>
      </w:r>
      <w:proofErr w:type="spellEnd"/>
      <w:r w:rsidRPr="00E27C39">
        <w:rPr>
          <w:rFonts w:cs="Times New Roman"/>
        </w:rPr>
        <w:t xml:space="preserve"> et al., 2019): </w:t>
      </w:r>
    </w:p>
    <w:p w14:paraId="72070F75" w14:textId="77777777" w:rsidR="000836D3" w:rsidRPr="00E27C39" w:rsidRDefault="000836D3" w:rsidP="000836D3">
      <w:pPr>
        <w:rPr>
          <w:rFonts w:eastAsiaTheme="minorEastAsia" w:cs="Times New Roman"/>
        </w:rPr>
      </w:pPr>
      <m:oMathPara>
        <m:oMath>
          <m:r>
            <w:rPr>
              <w:rFonts w:ascii="Cambria Math" w:hAnsi="Cambria Math" w:cs="Times New Roman"/>
            </w:rPr>
            <m:t>Z=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X+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Y+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+b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XY+ε</m:t>
          </m:r>
        </m:oMath>
      </m:oMathPara>
    </w:p>
    <w:p w14:paraId="13E8EA1A" w14:textId="77777777" w:rsidR="000836D3" w:rsidRDefault="000836D3" w:rsidP="000836D3">
      <w:r>
        <w:t>In the second step of the RSA, a three-dimensional graph of the regression model is created. The graph in combination with the regression coefficients and surface parameters</w:t>
      </w:r>
      <w:r>
        <w:rPr>
          <w:rFonts w:eastAsiaTheme="minorEastAsia"/>
        </w:rPr>
        <w:t xml:space="preserve"> </w:t>
      </w:r>
      <w:r>
        <w:t xml:space="preserve">is used to interpret the estimated polynomial regression model and to investigate the </w:t>
      </w:r>
      <w:r w:rsidRPr="001F647E">
        <w:t>meani</w:t>
      </w:r>
      <w:r>
        <w:t xml:space="preserve">ng of the effects </w:t>
      </w:r>
      <w:r w:rsidRPr="001F647E">
        <w:t>more closely</w:t>
      </w:r>
      <w:r>
        <w:t>. (</w:t>
      </w:r>
      <w:proofErr w:type="spellStart"/>
      <w:r>
        <w:t>Humberg</w:t>
      </w:r>
      <w:proofErr w:type="spellEnd"/>
      <w:r>
        <w:t xml:space="preserve"> et al., 2019; </w:t>
      </w:r>
      <w:proofErr w:type="spellStart"/>
      <w:r>
        <w:t>Milatz</w:t>
      </w:r>
      <w:proofErr w:type="spellEnd"/>
      <w:r>
        <w:t xml:space="preserve"> et al., 2015). </w:t>
      </w:r>
    </w:p>
    <w:p w14:paraId="69699ED1" w14:textId="00F4FBD5" w:rsidR="000836D3" w:rsidRPr="00E27C39" w:rsidRDefault="000836D3" w:rsidP="000836D3">
      <w:pPr>
        <w:rPr>
          <w:rFonts w:eastAsiaTheme="minorEastAsia" w:cs="Times New Roman"/>
        </w:rPr>
      </w:pPr>
      <w:r>
        <w:rPr>
          <w:rFonts w:eastAsiaTheme="minorEastAsia"/>
        </w:rPr>
        <w:t xml:space="preserve">To further guide the interpretation, the </w:t>
      </w:r>
      <w:r>
        <w:t xml:space="preserve">checklist of </w:t>
      </w:r>
      <w:proofErr w:type="spellStart"/>
      <w:r>
        <w:t>Humberg</w:t>
      </w:r>
      <w:proofErr w:type="spellEnd"/>
      <w:r>
        <w:t xml:space="preserve"> et al. (2019) was used </w:t>
      </w:r>
      <w:r>
        <w:rPr>
          <w:rFonts w:eastAsiaTheme="minorEastAsia"/>
        </w:rPr>
        <w:t>to identify fit effects (also called congruence effects).</w:t>
      </w:r>
      <w:r>
        <w:t xml:space="preserve"> To detect fit effects, three features of the response surface are especially important: The ridge of the surface (called First Principal Axis; FPA), the </w:t>
      </w:r>
      <w:r w:rsidRPr="001F647E">
        <w:t xml:space="preserve">line on the XY plane that contains all congruent predictor combinations </w:t>
      </w:r>
      <w:r w:rsidRPr="00FA6629">
        <w:rPr>
          <w:i/>
        </w:rPr>
        <w:t xml:space="preserve">Y = X </w:t>
      </w:r>
      <w:r w:rsidRPr="001F647E">
        <w:t>(called Line of Congruence; LOC</w:t>
      </w:r>
      <w:r>
        <w:t xml:space="preserve">), and the </w:t>
      </w:r>
      <w:r w:rsidRPr="001F647E">
        <w:t xml:space="preserve">line </w:t>
      </w:r>
      <w:r>
        <w:t xml:space="preserve">on the XY plane </w:t>
      </w:r>
      <w:r w:rsidRPr="001F647E">
        <w:t xml:space="preserve">that contains all </w:t>
      </w:r>
      <w:r>
        <w:t>in</w:t>
      </w:r>
      <w:r w:rsidRPr="001F647E">
        <w:t xml:space="preserve">congruent predictor combinations </w:t>
      </w:r>
      <w:r w:rsidRPr="00FA6629">
        <w:rPr>
          <w:i/>
        </w:rPr>
        <w:t xml:space="preserve">Y = -X </w:t>
      </w:r>
      <w:r>
        <w:t>(called Line of Inc</w:t>
      </w:r>
      <w:r w:rsidRPr="001F647E">
        <w:t>ongruence; LO</w:t>
      </w:r>
      <w:r>
        <w:t>I</w:t>
      </w:r>
      <w:r w:rsidRPr="001F647E">
        <w:t>C</w:t>
      </w:r>
      <w:r>
        <w:t>) (</w:t>
      </w:r>
      <w:proofErr w:type="spellStart"/>
      <w:r>
        <w:t>Humberg</w:t>
      </w:r>
      <w:proofErr w:type="spellEnd"/>
      <w:r>
        <w:t xml:space="preserve"> et al., 2019; </w:t>
      </w:r>
      <w:proofErr w:type="spellStart"/>
      <w:r>
        <w:t>Nestler</w:t>
      </w:r>
      <w:proofErr w:type="spellEnd"/>
      <w:r>
        <w:t xml:space="preserve"> et al., 2019). These features must be considered jointly (</w:t>
      </w:r>
      <w:proofErr w:type="spellStart"/>
      <w:r>
        <w:t>Nestler</w:t>
      </w:r>
      <w:proofErr w:type="spellEnd"/>
      <w:r>
        <w:t xml:space="preserve"> et al., 2019) and have to satisfy at least four conditions to reflect a fit effect (</w:t>
      </w:r>
      <w:proofErr w:type="spellStart"/>
      <w:r>
        <w:t>Humberg</w:t>
      </w:r>
      <w:proofErr w:type="spellEnd"/>
      <w:r>
        <w:t xml:space="preserve"> et al., 2019). To represent a fit effect,</w:t>
      </w:r>
      <w:r w:rsidRPr="001F647E">
        <w:t xml:space="preserve"> the </w:t>
      </w:r>
      <w:r>
        <w:t>response surface</w:t>
      </w:r>
      <w:r w:rsidRPr="001F647E">
        <w:t xml:space="preserve"> </w:t>
      </w:r>
      <w:r>
        <w:t xml:space="preserve">needs to </w:t>
      </w:r>
      <w:r w:rsidRPr="001F647E">
        <w:t>predict the highest outcome for people with congruent predictors</w:t>
      </w:r>
      <w:r>
        <w:t xml:space="preserve"> (</w:t>
      </w:r>
      <w:proofErr w:type="spellStart"/>
      <w:r>
        <w:t>Schönbrodt</w:t>
      </w:r>
      <w:proofErr w:type="spellEnd"/>
      <w:r>
        <w:t>, 2016). For this</w:t>
      </w:r>
      <w:r w:rsidRPr="00E27C39">
        <w:rPr>
          <w:rFonts w:cs="Times New Roman"/>
        </w:rPr>
        <w:t>, the FPA must not differ significantly from the LOC (</w:t>
      </w:r>
      <w:proofErr w:type="spellStart"/>
      <w:r w:rsidRPr="00E27C39">
        <w:rPr>
          <w:rFonts w:cs="Times New Roman"/>
        </w:rPr>
        <w:t>Humberg</w:t>
      </w:r>
      <w:proofErr w:type="spellEnd"/>
      <w:r w:rsidRPr="00E27C39">
        <w:rPr>
          <w:rFonts w:cs="Times New Roman"/>
        </w:rPr>
        <w:t xml:space="preserve"> et</w:t>
      </w:r>
      <w:r>
        <w:rPr>
          <w:rFonts w:cs="Times New Roman"/>
        </w:rPr>
        <w:t> </w:t>
      </w:r>
      <w:r w:rsidRPr="00E27C39">
        <w:rPr>
          <w:rFonts w:cs="Times New Roman"/>
        </w:rPr>
        <w:t>al., 2019). This is the case when the intercept of the FPA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 w:rsidRPr="00E27C39">
        <w:rPr>
          <w:rFonts w:cs="Times New Roman"/>
        </w:rPr>
        <w:t>) is not significantly different from 0 (condition 1) and the slope of the FPA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11</m:t>
            </m:r>
          </m:sub>
        </m:sSub>
      </m:oMath>
      <w:r w:rsidRPr="00E27C39">
        <w:rPr>
          <w:rFonts w:cs="Times New Roman"/>
        </w:rPr>
        <w:t>) is not significantly differ</w:t>
      </w:r>
      <w:proofErr w:type="spellStart"/>
      <w:r w:rsidRPr="00E27C39">
        <w:rPr>
          <w:rFonts w:cs="Times New Roman"/>
        </w:rPr>
        <w:t>ent</w:t>
      </w:r>
      <w:proofErr w:type="spellEnd"/>
      <w:r w:rsidRPr="00E27C39">
        <w:rPr>
          <w:rFonts w:cs="Times New Roman"/>
        </w:rPr>
        <w:t xml:space="preserve"> from 1 (i.e. the confidence interval of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11</m:t>
            </m:r>
          </m:sub>
        </m:sSub>
      </m:oMath>
      <w:r w:rsidRPr="00E27C39">
        <w:rPr>
          <w:rFonts w:cs="Times New Roman"/>
        </w:rPr>
        <w:t xml:space="preserve"> should in</w:t>
      </w:r>
      <w:proofErr w:type="spellStart"/>
      <w:r w:rsidRPr="00E27C39">
        <w:rPr>
          <w:rFonts w:cs="Times New Roman"/>
        </w:rPr>
        <w:t>clude</w:t>
      </w:r>
      <w:proofErr w:type="spellEnd"/>
      <w:r w:rsidRPr="00E27C39">
        <w:rPr>
          <w:rFonts w:cs="Times New Roman"/>
        </w:rPr>
        <w:t xml:space="preserve"> 1; condition 2) (</w:t>
      </w:r>
      <w:proofErr w:type="spellStart"/>
      <w:r w:rsidRPr="00E27C39">
        <w:rPr>
          <w:rFonts w:cs="Times New Roman"/>
        </w:rPr>
        <w:t>Humberg</w:t>
      </w:r>
      <w:proofErr w:type="spellEnd"/>
      <w:r w:rsidRPr="00E27C39">
        <w:rPr>
          <w:rFonts w:cs="Times New Roman"/>
        </w:rPr>
        <w:t xml:space="preserve"> et al., 2019). Additionally, people with increasingly incongruent predictors need to have significantly lower outcome values (</w:t>
      </w:r>
      <w:proofErr w:type="spellStart"/>
      <w:r w:rsidRPr="00E27C39">
        <w:rPr>
          <w:rFonts w:cs="Times New Roman"/>
        </w:rPr>
        <w:t>Schönbrodt</w:t>
      </w:r>
      <w:proofErr w:type="spellEnd"/>
      <w:r w:rsidRPr="00E27C39">
        <w:rPr>
          <w:rFonts w:cs="Times New Roman"/>
        </w:rPr>
        <w:t>, 2016). This is the case when the slope of the LOIC at the origin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E27C39">
        <w:rPr>
          <w:rFonts w:cs="Times New Roman"/>
        </w:rPr>
        <w:t>) does not significantly differ from 0 (condition 3) and the quadratic term coefficient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</m:sSub>
      </m:oMath>
      <w:r w:rsidRPr="00E27C39">
        <w:rPr>
          <w:rFonts w:cs="Times New Roman"/>
        </w:rPr>
        <w:t>) is significantly n</w:t>
      </w:r>
      <w:proofErr w:type="spellStart"/>
      <w:r w:rsidRPr="00E27C39">
        <w:rPr>
          <w:rFonts w:cs="Times New Roman"/>
        </w:rPr>
        <w:t>egative</w:t>
      </w:r>
      <w:proofErr w:type="spellEnd"/>
      <w:r w:rsidRPr="00E27C39">
        <w:rPr>
          <w:rFonts w:cs="Times New Roman"/>
        </w:rPr>
        <w:t xml:space="preserve"> (condition 4) (</w:t>
      </w:r>
      <w:proofErr w:type="spellStart"/>
      <w:r w:rsidRPr="00E27C39">
        <w:rPr>
          <w:rFonts w:cs="Times New Roman"/>
        </w:rPr>
        <w:t>Humberg</w:t>
      </w:r>
      <w:proofErr w:type="spellEnd"/>
      <w:r w:rsidRPr="00E27C39">
        <w:rPr>
          <w:rFonts w:cs="Times New Roman"/>
        </w:rPr>
        <w:t xml:space="preserve"> et al., 2019). </w:t>
      </w:r>
      <w:r>
        <w:rPr>
          <w:rFonts w:cs="Times New Roman"/>
        </w:rPr>
        <w:t>In sum</w:t>
      </w:r>
      <w:r w:rsidRPr="00E27C39">
        <w:rPr>
          <w:rFonts w:cs="Times New Roman"/>
        </w:rPr>
        <w:t xml:space="preserve">, the </w:t>
      </w:r>
      <w:r w:rsidR="002E71BB">
        <w:rPr>
          <w:rFonts w:cs="Times New Roman"/>
        </w:rPr>
        <w:t>four conditions for fit effects</w:t>
      </w:r>
      <w:bookmarkStart w:id="1" w:name="_GoBack"/>
      <w:bookmarkEnd w:id="1"/>
      <w:r w:rsidR="002E71BB">
        <w:rPr>
          <w:rFonts w:cs="Times New Roman"/>
        </w:rPr>
        <w:t xml:space="preserve"> are: </w:t>
      </w:r>
      <w:r w:rsidRPr="00E27C39">
        <w:rPr>
          <w:rFonts w:cs="Times New Roman"/>
        </w:rPr>
        <w:t xml:space="preserve">(1)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 w:rsidRPr="00E27C39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≈ </m:t>
        </m:r>
      </m:oMath>
      <w:r w:rsidRPr="00E27C39">
        <w:rPr>
          <w:rFonts w:cs="Times New Roman"/>
        </w:rPr>
        <w:t xml:space="preserve">0, (2)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11</m:t>
            </m:r>
          </m:sub>
        </m:sSub>
        <m:r>
          <w:rPr>
            <w:rFonts w:ascii="Cambria Math" w:hAnsi="Cambria Math" w:cs="Times New Roman"/>
          </w:rPr>
          <m:t> ≈ </m:t>
        </m:r>
      </m:oMath>
      <w:r w:rsidRPr="00E27C39">
        <w:rPr>
          <w:rFonts w:cs="Times New Roman"/>
        </w:rPr>
        <w:t>1, (3)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</m:oMath>
      <w:r w:rsidRPr="00E27C39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&lt;</m:t>
        </m:r>
      </m:oMath>
      <w:r w:rsidRPr="00E27C39">
        <w:rPr>
          <w:rFonts w:cs="Times New Roman"/>
        </w:rPr>
        <w:t xml:space="preserve"> 0, and (4)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E27C39">
        <w:rPr>
          <w:rFonts w:eastAsiaTheme="minorEastAsia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≈ </m:t>
        </m:r>
      </m:oMath>
      <w:r w:rsidRPr="00E27C39">
        <w:rPr>
          <w:rFonts w:cs="Times New Roman"/>
        </w:rPr>
        <w:t xml:space="preserve">0 (Humberg et al., 2019). If one of the four conditions </w:t>
      </w:r>
      <w:proofErr w:type="gramStart"/>
      <w:r w:rsidRPr="00E27C39">
        <w:rPr>
          <w:rFonts w:cs="Times New Roman"/>
        </w:rPr>
        <w:t>is</w:t>
      </w:r>
      <w:proofErr w:type="gramEnd"/>
      <w:r w:rsidRPr="00E27C39">
        <w:rPr>
          <w:rFonts w:cs="Times New Roman"/>
        </w:rPr>
        <w:t xml:space="preserve"> violated, the fit hypothesis must be rejected (</w:t>
      </w:r>
      <w:proofErr w:type="spellStart"/>
      <w:r w:rsidRPr="00E27C39">
        <w:rPr>
          <w:rFonts w:cs="Times New Roman"/>
        </w:rPr>
        <w:t>Humberg</w:t>
      </w:r>
      <w:proofErr w:type="spellEnd"/>
      <w:r w:rsidRPr="00E27C39">
        <w:rPr>
          <w:rFonts w:cs="Times New Roman"/>
        </w:rPr>
        <w:t xml:space="preserve"> et al., 2019). </w:t>
      </w:r>
    </w:p>
    <w:p w14:paraId="77016364" w14:textId="4EC2131E" w:rsidR="000836D3" w:rsidRPr="000836D3" w:rsidRDefault="000836D3" w:rsidP="000836D3">
      <w:pPr>
        <w:sectPr w:rsidR="000836D3" w:rsidRPr="000836D3" w:rsidSect="00376F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pgNumType w:fmt="upperRoman" w:start="4"/>
          <w:cols w:space="708"/>
          <w:docGrid w:linePitch="360"/>
        </w:sectPr>
      </w:pPr>
    </w:p>
    <w:p w14:paraId="0B4EF81B" w14:textId="7772D0A1" w:rsidR="00A8576D" w:rsidRDefault="00527223" w:rsidP="00A8576D">
      <w:pPr>
        <w:pStyle w:val="berschrift2"/>
        <w:numPr>
          <w:ilvl w:val="0"/>
          <w:numId w:val="0"/>
        </w:numPr>
        <w:spacing w:after="120"/>
        <w:ind w:left="714" w:hanging="357"/>
      </w:pPr>
      <w:bookmarkStart w:id="2" w:name="_Toc55826786"/>
      <w:r>
        <w:lastRenderedPageBreak/>
        <w:t xml:space="preserve">ESM 3: </w:t>
      </w:r>
      <w:r w:rsidR="00A8576D">
        <w:t>Sensitivity analysis</w:t>
      </w:r>
      <w:bookmarkEnd w:id="2"/>
    </w:p>
    <w:p w14:paraId="6F90D230" w14:textId="21FFAA82" w:rsidR="00A8576D" w:rsidRPr="00AC1CD5" w:rsidRDefault="00A8576D" w:rsidP="00A8576D">
      <w:r>
        <w:t>Results of the sensitivity analysis can be found in Table S</w:t>
      </w:r>
      <w:r w:rsidR="00C227B0">
        <w:t>2</w:t>
      </w:r>
      <w:r>
        <w:t xml:space="preserve"> and Table S</w:t>
      </w:r>
      <w:r w:rsidR="00C227B0">
        <w:t>3</w:t>
      </w:r>
      <w:r>
        <w:t>.</w:t>
      </w:r>
    </w:p>
    <w:p w14:paraId="21DC65FD" w14:textId="0A125FB5" w:rsidR="00A8576D" w:rsidRPr="001F647E" w:rsidRDefault="00A8576D" w:rsidP="00A8576D">
      <w:pPr>
        <w:spacing w:before="0" w:line="240" w:lineRule="auto"/>
      </w:pPr>
      <w:r w:rsidRPr="00C26054">
        <w:rPr>
          <w:b/>
        </w:rPr>
        <w:t>Table</w:t>
      </w:r>
      <w:r>
        <w:rPr>
          <w:b/>
        </w:rPr>
        <w:t xml:space="preserve"> S</w:t>
      </w:r>
      <w:r w:rsidR="00C227B0">
        <w:rPr>
          <w:b/>
        </w:rPr>
        <w:t>2</w:t>
      </w:r>
      <w:r>
        <w:t xml:space="preserve"> Sensitivity analysis one: Re-e</w:t>
      </w:r>
      <w:r w:rsidRPr="001F647E">
        <w:t xml:space="preserve">stimated </w:t>
      </w:r>
      <w:r>
        <w:t xml:space="preserve">polynomial </w:t>
      </w:r>
      <w:r w:rsidRPr="001F647E">
        <w:t xml:space="preserve">regression model </w:t>
      </w:r>
      <w:r>
        <w:t>with the full sample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6"/>
        <w:gridCol w:w="1789"/>
        <w:gridCol w:w="1789"/>
        <w:gridCol w:w="1789"/>
        <w:gridCol w:w="1789"/>
        <w:gridCol w:w="1789"/>
        <w:gridCol w:w="1786"/>
      </w:tblGrid>
      <w:tr w:rsidR="00A8576D" w:rsidRPr="001F647E" w14:paraId="2F4AD4D7" w14:textId="77777777" w:rsidTr="003B6618">
        <w:trPr>
          <w:trHeight w:val="233"/>
        </w:trPr>
        <w:tc>
          <w:tcPr>
            <w:tcW w:w="123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159C7" w14:textId="77777777" w:rsidR="00A8576D" w:rsidRPr="001F647E" w:rsidRDefault="00A8576D" w:rsidP="003B6618">
            <w:pPr>
              <w:pStyle w:val="Tabellen"/>
            </w:pP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291DE9FB" w14:textId="77777777" w:rsidR="00A8576D" w:rsidRPr="001F647E" w:rsidRDefault="00EB03FE" w:rsidP="003B6618">
            <w:pPr>
              <w:pStyle w:val="Tabellen"/>
              <w:spacing w:befor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7BA60EFB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2C99BA5B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208F029D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2963F470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7AA53763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A8576D" w:rsidRPr="001F647E" w14:paraId="39F833BA" w14:textId="77777777" w:rsidTr="003B6618">
        <w:trPr>
          <w:trHeight w:val="340"/>
        </w:trPr>
        <w:tc>
          <w:tcPr>
            <w:tcW w:w="1239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409F4" w14:textId="77777777" w:rsidR="00A8576D" w:rsidRPr="001F647E" w:rsidRDefault="00A8576D" w:rsidP="003B6618">
            <w:pPr>
              <w:pStyle w:val="Tabellen"/>
              <w:spacing w:before="0"/>
              <w:jc w:val="left"/>
            </w:pPr>
            <w:r>
              <w:t>a) Social interaction and positive mental health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58ECB47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3.00</w:t>
            </w:r>
            <w:r w:rsidRPr="001F647E">
              <w:t>*</w:t>
            </w:r>
          </w:p>
          <w:p w14:paraId="42194360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E3A98E2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0.20</w:t>
            </w:r>
            <w:r w:rsidRPr="001F647E">
              <w:t>*</w:t>
            </w:r>
          </w:p>
          <w:p w14:paraId="0907FC3C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2642D04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-0.05</w:t>
            </w:r>
          </w:p>
          <w:p w14:paraId="281FB42B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34F948F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-0.03</w:t>
            </w:r>
          </w:p>
          <w:p w14:paraId="7F0321F7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63AEFC6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0.02</w:t>
            </w:r>
          </w:p>
          <w:p w14:paraId="0E0D6044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232C24F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-0.06</w:t>
            </w:r>
          </w:p>
          <w:p w14:paraId="60550D9D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</w:tr>
      <w:tr w:rsidR="00A8576D" w:rsidRPr="001F647E" w14:paraId="7533212F" w14:textId="77777777" w:rsidTr="003B6618">
        <w:trPr>
          <w:trHeight w:val="340"/>
        </w:trPr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52B6F" w14:textId="77777777" w:rsidR="00A8576D" w:rsidRDefault="00A8576D" w:rsidP="003B6618">
            <w:pPr>
              <w:pStyle w:val="Tabellen"/>
              <w:spacing w:before="0"/>
              <w:jc w:val="left"/>
            </w:pPr>
            <w:r>
              <w:t>b) Social interaction and mental health disorders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FBFF207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1.73</w:t>
            </w:r>
            <w:r w:rsidRPr="001F647E">
              <w:t>*</w:t>
            </w:r>
          </w:p>
          <w:p w14:paraId="11B4D2EF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10CE3E1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-0.19</w:t>
            </w:r>
            <w:r w:rsidRPr="001F647E">
              <w:t>*</w:t>
            </w:r>
          </w:p>
          <w:p w14:paraId="468F0C66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0.00]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8DB80D7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0.08</w:t>
            </w:r>
            <w:r w:rsidRPr="001F647E">
              <w:t>*</w:t>
            </w:r>
          </w:p>
          <w:p w14:paraId="17EAA581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0.00]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FDC00D6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0.02</w:t>
            </w:r>
          </w:p>
          <w:p w14:paraId="5618C358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F0AEA41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0.00</w:t>
            </w:r>
          </w:p>
          <w:p w14:paraId="30C96694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-0.02]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97100A0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0.05</w:t>
            </w:r>
          </w:p>
          <w:p w14:paraId="3F31D131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+0.01]</w:t>
            </w:r>
          </w:p>
        </w:tc>
      </w:tr>
      <w:tr w:rsidR="00A8576D" w:rsidRPr="001F647E" w14:paraId="47EAF393" w14:textId="77777777" w:rsidTr="003B6618">
        <w:trPr>
          <w:trHeight w:val="340"/>
        </w:trPr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D06DA" w14:textId="77777777" w:rsidR="00A8576D" w:rsidRDefault="00A8576D" w:rsidP="003B6618">
            <w:pPr>
              <w:pStyle w:val="Tabellen"/>
              <w:spacing w:before="0"/>
              <w:jc w:val="left"/>
            </w:pPr>
            <w:r>
              <w:t>c) Social support and positive mental health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E4CBFEC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2.96</w:t>
            </w:r>
            <w:r w:rsidRPr="001F647E">
              <w:t>*</w:t>
            </w:r>
          </w:p>
          <w:p w14:paraId="716B9BB2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840E922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0.18</w:t>
            </w:r>
            <w:r w:rsidRPr="001F647E">
              <w:t>*</w:t>
            </w:r>
          </w:p>
          <w:p w14:paraId="7D3CA5B9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AAEAB63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-0.12</w:t>
            </w:r>
            <w:r w:rsidRPr="001F647E">
              <w:t>*</w:t>
            </w:r>
          </w:p>
          <w:p w14:paraId="39F1AE23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7B23EE6" w14:textId="77777777" w:rsidR="00A8576D" w:rsidRPr="007B48D8" w:rsidRDefault="00A8576D" w:rsidP="003B6618">
            <w:pPr>
              <w:pStyle w:val="Tabellen"/>
              <w:spacing w:before="0"/>
              <w:jc w:val="center"/>
              <w:rPr>
                <w:b/>
              </w:rPr>
            </w:pPr>
            <w:r w:rsidRPr="007B48D8">
              <w:rPr>
                <w:b/>
              </w:rPr>
              <w:t>-0.07</w:t>
            </w:r>
            <w:r w:rsidRPr="001F647E">
              <w:t>*</w:t>
            </w:r>
          </w:p>
          <w:p w14:paraId="5C23AA49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F489D37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0.07</w:t>
            </w:r>
            <w:r w:rsidRPr="001F647E">
              <w:t>*</w:t>
            </w:r>
          </w:p>
          <w:p w14:paraId="7FC439FE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5F1BE82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0.01</w:t>
            </w:r>
          </w:p>
          <w:p w14:paraId="4626572B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</w:tr>
      <w:tr w:rsidR="00A8576D" w:rsidRPr="001F647E" w14:paraId="0FCFB72D" w14:textId="77777777" w:rsidTr="003B6618">
        <w:trPr>
          <w:trHeight w:val="490"/>
        </w:trPr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F17E9" w14:textId="77777777" w:rsidR="00A8576D" w:rsidRDefault="00A8576D" w:rsidP="003B6618">
            <w:pPr>
              <w:pStyle w:val="Tabellen"/>
              <w:spacing w:before="0"/>
              <w:jc w:val="left"/>
            </w:pPr>
            <w:r>
              <w:t>d) Social support and mental health disorders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5B950063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1.77</w:t>
            </w:r>
            <w:r w:rsidRPr="001F647E">
              <w:t>*</w:t>
            </w:r>
          </w:p>
          <w:p w14:paraId="7E3CBF63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7B87289B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-0.15</w:t>
            </w:r>
            <w:r w:rsidRPr="001F647E">
              <w:t>*</w:t>
            </w:r>
          </w:p>
          <w:p w14:paraId="0B2DB507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7386849D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0.10</w:t>
            </w:r>
            <w:r w:rsidRPr="001F647E">
              <w:t>*</w:t>
            </w:r>
          </w:p>
          <w:p w14:paraId="0A9A6849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-0.02]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609F65B3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0.05</w:t>
            </w:r>
          </w:p>
          <w:p w14:paraId="5E0D722C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-0.31]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44E1DC46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-0.08</w:t>
            </w:r>
            <w:r w:rsidRPr="001F647E">
              <w:t>*</w:t>
            </w:r>
          </w:p>
          <w:p w14:paraId="27CC3E8D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+0.01]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618867E2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0.03</w:t>
            </w:r>
          </w:p>
          <w:p w14:paraId="49063FF0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</w:tr>
    </w:tbl>
    <w:p w14:paraId="2EB2FCC9" w14:textId="77777777" w:rsidR="00A8576D" w:rsidRPr="000A4938" w:rsidRDefault="00A8576D" w:rsidP="00A8576D">
      <w:pPr>
        <w:pStyle w:val="Tabellen"/>
        <w:rPr>
          <w:rFonts w:cs="Times New Roman"/>
        </w:rPr>
      </w:pPr>
      <w:r w:rsidRPr="000A4938">
        <w:rPr>
          <w:rFonts w:cs="Times New Roman"/>
          <w:i/>
        </w:rPr>
        <w:t>Note.</w:t>
      </w:r>
      <w:r w:rsidRPr="000A4938">
        <w:rPr>
          <w:rFonts w:cs="Times New Roman"/>
        </w:rPr>
        <w:t xml:space="preserve"> Full polynomial regression model </w:t>
      </w:r>
      <m:oMath>
        <m:r>
          <w:rPr>
            <w:rFonts w:ascii="Cambria Math" w:hAnsi="Cambria Math" w:cs="Times New Roman"/>
          </w:rPr>
          <m:t xml:space="preserve"> Z=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*X+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*Y+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*XY+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0A4938">
        <w:rPr>
          <w:rFonts w:eastAsiaTheme="minorEastAsia" w:cs="Times New Roman"/>
        </w:rPr>
        <w:t xml:space="preserve">; </w:t>
      </w:r>
      <w:r w:rsidRPr="000A4938">
        <w:rPr>
          <w:rFonts w:cs="Times New Roman"/>
          <w:i/>
        </w:rPr>
        <w:t>X</w:t>
      </w:r>
      <w:r w:rsidRPr="000A4938">
        <w:rPr>
          <w:rFonts w:cs="Times New Roman"/>
        </w:rPr>
        <w:t xml:space="preserve"> = supplies; </w:t>
      </w:r>
      <w:r w:rsidRPr="000A4938">
        <w:rPr>
          <w:rFonts w:cs="Times New Roman"/>
          <w:i/>
        </w:rPr>
        <w:t>Y</w:t>
      </w:r>
      <w:r w:rsidRPr="000A4938">
        <w:rPr>
          <w:rFonts w:cs="Times New Roman"/>
        </w:rPr>
        <w:t xml:space="preserve"> = needs; Columns show regression coefficient estimates and coefficient changes in comparison to the original model [in parenthesis]; significance changes are indicated in </w:t>
      </w:r>
      <w:r w:rsidRPr="000A4938">
        <w:rPr>
          <w:rFonts w:cs="Times New Roman"/>
          <w:b/>
        </w:rPr>
        <w:t>bold</w:t>
      </w:r>
      <w:r w:rsidRPr="000A4938">
        <w:rPr>
          <w:rFonts w:cs="Times New Roman"/>
        </w:rPr>
        <w:t xml:space="preserve">; * </w:t>
      </w:r>
      <w:r w:rsidRPr="000A4938">
        <w:rPr>
          <w:rFonts w:cs="Times New Roman"/>
          <w:i/>
        </w:rPr>
        <w:t>p</w:t>
      </w:r>
      <w:r w:rsidRPr="000A4938">
        <w:rPr>
          <w:rFonts w:cs="Times New Roman"/>
        </w:rPr>
        <w:t> &lt; .05</w:t>
      </w:r>
    </w:p>
    <w:p w14:paraId="239870C8" w14:textId="77777777" w:rsidR="00A8576D" w:rsidRPr="007B48D8" w:rsidRDefault="00A8576D" w:rsidP="00A8576D">
      <w:pPr>
        <w:pStyle w:val="Tabellen"/>
        <w:rPr>
          <w:color w:val="FF0000"/>
        </w:rPr>
      </w:pPr>
    </w:p>
    <w:p w14:paraId="2A2B6041" w14:textId="399A5C30" w:rsidR="00A8576D" w:rsidRPr="001F647E" w:rsidRDefault="00A8576D" w:rsidP="00A8576D">
      <w:pPr>
        <w:spacing w:before="0" w:line="240" w:lineRule="auto"/>
      </w:pPr>
      <w:r w:rsidRPr="00C26054">
        <w:rPr>
          <w:b/>
        </w:rPr>
        <w:t>Table</w:t>
      </w:r>
      <w:r>
        <w:rPr>
          <w:b/>
        </w:rPr>
        <w:t xml:space="preserve"> S</w:t>
      </w:r>
      <w:r w:rsidR="00C227B0">
        <w:rPr>
          <w:b/>
        </w:rPr>
        <w:t>3</w:t>
      </w:r>
      <w:r>
        <w:t xml:space="preserve"> Sensitivity analysis two: Re-e</w:t>
      </w:r>
      <w:r w:rsidRPr="001F647E">
        <w:t xml:space="preserve">stimated </w:t>
      </w:r>
      <w:r>
        <w:t xml:space="preserve">polynomial </w:t>
      </w:r>
      <w:r w:rsidRPr="001F647E">
        <w:t xml:space="preserve">regression model </w:t>
      </w:r>
      <w:r>
        <w:t>using the PHQ-2 to assess mental health disorders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6"/>
        <w:gridCol w:w="1789"/>
        <w:gridCol w:w="1789"/>
        <w:gridCol w:w="1789"/>
        <w:gridCol w:w="1789"/>
        <w:gridCol w:w="1789"/>
        <w:gridCol w:w="1786"/>
      </w:tblGrid>
      <w:tr w:rsidR="00A8576D" w:rsidRPr="001F647E" w14:paraId="6AD3C4C3" w14:textId="77777777" w:rsidTr="003B6618">
        <w:trPr>
          <w:trHeight w:val="233"/>
        </w:trPr>
        <w:tc>
          <w:tcPr>
            <w:tcW w:w="123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86EE9" w14:textId="77777777" w:rsidR="00A8576D" w:rsidRPr="001F647E" w:rsidRDefault="00A8576D" w:rsidP="003B6618">
            <w:pPr>
              <w:pStyle w:val="Tabellen"/>
            </w:pP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0D63BD8F" w14:textId="77777777" w:rsidR="00A8576D" w:rsidRPr="001F647E" w:rsidRDefault="00EB03FE" w:rsidP="003B6618">
            <w:pPr>
              <w:pStyle w:val="Tabellen"/>
              <w:spacing w:befor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466BD36B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319A79C0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0E3D9857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6C09F00F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544B60F7" w14:textId="77777777" w:rsidR="00A8576D" w:rsidRPr="001F647E" w:rsidRDefault="00EB03FE" w:rsidP="003B6618">
            <w:pPr>
              <w:pStyle w:val="Tabellen"/>
              <w:spacing w:before="0"/>
              <w:jc w:val="center"/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A8576D" w:rsidRPr="001F647E" w14:paraId="18CDB0D7" w14:textId="77777777" w:rsidTr="003B6618">
        <w:trPr>
          <w:trHeight w:val="340"/>
        </w:trPr>
        <w:tc>
          <w:tcPr>
            <w:tcW w:w="1239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4F4B" w14:textId="77777777" w:rsidR="00A8576D" w:rsidRDefault="00A8576D" w:rsidP="003B6618">
            <w:pPr>
              <w:pStyle w:val="Tabellen"/>
              <w:spacing w:before="0"/>
              <w:jc w:val="left"/>
            </w:pPr>
            <w:r>
              <w:t>b) Social interaction and mental health disorders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5EE429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1.82</w:t>
            </w:r>
            <w:r w:rsidRPr="001F647E">
              <w:t>*</w:t>
            </w:r>
          </w:p>
          <w:p w14:paraId="2C63D2A9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+0.08]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C95681A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-0.21</w:t>
            </w:r>
            <w:r w:rsidRPr="001F647E">
              <w:t>*</w:t>
            </w:r>
          </w:p>
          <w:p w14:paraId="5AC76497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-0.02]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E6AE912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0.10</w:t>
            </w:r>
            <w:r w:rsidRPr="001F647E">
              <w:t>*</w:t>
            </w:r>
          </w:p>
          <w:p w14:paraId="567C26D0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3E9DA24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0.00</w:t>
            </w:r>
          </w:p>
          <w:p w14:paraId="6D629C73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0.00]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B18CDE7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-0.02</w:t>
            </w:r>
          </w:p>
          <w:p w14:paraId="01A006F1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0.00]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336EDF1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0.03</w:t>
            </w:r>
          </w:p>
          <w:p w14:paraId="1D531EB4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</w:tr>
      <w:tr w:rsidR="00A8576D" w:rsidRPr="001F647E" w14:paraId="7475E513" w14:textId="77777777" w:rsidTr="003B6618">
        <w:trPr>
          <w:trHeight w:val="490"/>
        </w:trPr>
        <w:tc>
          <w:tcPr>
            <w:tcW w:w="123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5EC98" w14:textId="77777777" w:rsidR="00A8576D" w:rsidRDefault="00A8576D" w:rsidP="003B6618">
            <w:pPr>
              <w:pStyle w:val="Tabellen"/>
              <w:spacing w:before="0"/>
              <w:jc w:val="left"/>
            </w:pPr>
            <w:r>
              <w:t>d) Social support and mental health disorders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4C523771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1.86</w:t>
            </w:r>
            <w:r w:rsidRPr="001F647E">
              <w:t>*</w:t>
            </w:r>
          </w:p>
          <w:p w14:paraId="0925DB0C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+0.08]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0C510B8B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-0.15</w:t>
            </w:r>
            <w:r w:rsidRPr="001F647E">
              <w:t>*</w:t>
            </w:r>
          </w:p>
          <w:p w14:paraId="1C347F1B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24FCFDB6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0.14</w:t>
            </w:r>
            <w:r w:rsidRPr="001F647E">
              <w:t>*</w:t>
            </w:r>
          </w:p>
          <w:p w14:paraId="189DECDC" w14:textId="77777777" w:rsidR="00A8576D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+0.02]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7D94812B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0.36</w:t>
            </w:r>
          </w:p>
          <w:p w14:paraId="452C593D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-0.00]</w:t>
            </w:r>
          </w:p>
        </w:tc>
        <w:tc>
          <w:tcPr>
            <w:tcW w:w="62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5168547F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-0.10</w:t>
            </w:r>
            <w:r w:rsidRPr="001F647E">
              <w:t>*</w:t>
            </w:r>
          </w:p>
          <w:p w14:paraId="2A7E7616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-0.01]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5084FDB0" w14:textId="77777777" w:rsidR="00A8576D" w:rsidRDefault="00A8576D" w:rsidP="003B6618">
            <w:pPr>
              <w:pStyle w:val="Tabellen"/>
              <w:spacing w:before="0"/>
              <w:jc w:val="center"/>
            </w:pPr>
            <w:r>
              <w:t>0.01</w:t>
            </w:r>
          </w:p>
          <w:p w14:paraId="19051EA8" w14:textId="77777777" w:rsidR="00A8576D" w:rsidRPr="001F647E" w:rsidRDefault="00A8576D" w:rsidP="003B6618">
            <w:pPr>
              <w:pStyle w:val="Tabellen"/>
              <w:spacing w:before="0"/>
              <w:jc w:val="center"/>
            </w:pPr>
            <w:r w:rsidRPr="00E90A7E">
              <w:t>[</w:t>
            </w:r>
            <w:r>
              <w:t>0.00]</w:t>
            </w:r>
          </w:p>
        </w:tc>
      </w:tr>
    </w:tbl>
    <w:p w14:paraId="45258716" w14:textId="1752F51A" w:rsidR="00850B7D" w:rsidRDefault="00A8576D" w:rsidP="00A8576D">
      <w:pPr>
        <w:pStyle w:val="Tabellen"/>
        <w:sectPr w:rsidR="00850B7D" w:rsidSect="00850B7D">
          <w:type w:val="continuous"/>
          <w:pgSz w:w="16838" w:h="11906" w:orient="landscape"/>
          <w:pgMar w:top="1417" w:right="1134" w:bottom="1417" w:left="1417" w:header="708" w:footer="708" w:gutter="0"/>
          <w:pgNumType w:fmt="upperRoman" w:start="6"/>
          <w:cols w:space="708"/>
          <w:docGrid w:linePitch="360"/>
        </w:sectPr>
      </w:pPr>
      <w:r w:rsidRPr="000A4938">
        <w:rPr>
          <w:i/>
        </w:rPr>
        <w:t>Note.</w:t>
      </w:r>
      <w:r w:rsidRPr="000A4938">
        <w:t xml:space="preserve"> Full polynomial regression model </w:t>
      </w:r>
      <m:oMath>
        <m:r>
          <w:rPr>
            <w:rFonts w:ascii="Cambria Math" w:hAnsi="Cambria Math"/>
          </w:rPr>
          <m:t xml:space="preserve"> Z=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*Y+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*XY+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0A4938">
        <w:rPr>
          <w:rFonts w:eastAsiaTheme="minorEastAsia"/>
        </w:rPr>
        <w:t xml:space="preserve">; </w:t>
      </w:r>
      <w:r w:rsidRPr="000A4938">
        <w:rPr>
          <w:i/>
        </w:rPr>
        <w:t>X</w:t>
      </w:r>
      <w:r w:rsidRPr="000A4938">
        <w:t xml:space="preserve"> = supplies; </w:t>
      </w:r>
      <w:r w:rsidRPr="000A4938">
        <w:rPr>
          <w:i/>
        </w:rPr>
        <w:t>Y</w:t>
      </w:r>
      <w:r w:rsidRPr="000A4938">
        <w:t xml:space="preserve"> = needs; Columns show regression coefficient estimates and coefficient changes in comparison to the original model [in parenthesis]; significance changes are indicated in </w:t>
      </w:r>
      <w:r w:rsidRPr="000A4938">
        <w:rPr>
          <w:b/>
        </w:rPr>
        <w:t>bold</w:t>
      </w:r>
      <w:r w:rsidRPr="000A4938">
        <w:t xml:space="preserve">; * </w:t>
      </w:r>
      <w:r w:rsidRPr="000A4938">
        <w:rPr>
          <w:i/>
        </w:rPr>
        <w:t>p</w:t>
      </w:r>
      <w:r w:rsidRPr="000A4938">
        <w:t> &lt; </w:t>
      </w:r>
      <w:r>
        <w:t>.0</w:t>
      </w:r>
      <w:r w:rsidR="00850B7D">
        <w:t>5</w:t>
      </w:r>
    </w:p>
    <w:p w14:paraId="11E13D0C" w14:textId="77777777" w:rsidR="007F6D43" w:rsidRDefault="007F6D43" w:rsidP="00850B7D"/>
    <w:sectPr w:rsidR="007F6D43" w:rsidSect="00AF59F8">
      <w:pgSz w:w="11906" w:h="16838"/>
      <w:pgMar w:top="1134" w:right="1417" w:bottom="1417" w:left="1417" w:header="708" w:footer="708" w:gutter="0"/>
      <w:pgNumType w:fmt="upp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80CF" w14:textId="77777777" w:rsidR="00EB03FE" w:rsidRDefault="00EB03FE">
      <w:pPr>
        <w:spacing w:before="0" w:after="0" w:line="240" w:lineRule="auto"/>
      </w:pPr>
      <w:r>
        <w:separator/>
      </w:r>
    </w:p>
  </w:endnote>
  <w:endnote w:type="continuationSeparator" w:id="0">
    <w:p w14:paraId="0E46F461" w14:textId="77777777" w:rsidR="00EB03FE" w:rsidRDefault="00EB03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1E8A" w14:textId="77777777" w:rsidR="00C227B0" w:rsidRDefault="00C227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DE5" w14:textId="77777777" w:rsidR="00C227B0" w:rsidRDefault="00C227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5C7A" w14:textId="77777777" w:rsidR="00C227B0" w:rsidRDefault="00C227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C771" w14:textId="77777777" w:rsidR="00EB03FE" w:rsidRDefault="00EB03FE">
      <w:pPr>
        <w:spacing w:before="0" w:after="0" w:line="240" w:lineRule="auto"/>
      </w:pPr>
      <w:r>
        <w:separator/>
      </w:r>
    </w:p>
  </w:footnote>
  <w:footnote w:type="continuationSeparator" w:id="0">
    <w:p w14:paraId="73ADCCAE" w14:textId="77777777" w:rsidR="00EB03FE" w:rsidRDefault="00EB03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756D" w14:textId="77777777" w:rsidR="00C227B0" w:rsidRDefault="00C227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3E9D" w14:textId="126BFBC2" w:rsidR="00A262C8" w:rsidRDefault="00EB03FE">
    <w:pPr>
      <w:pStyle w:val="Kopfzeile"/>
      <w:jc w:val="right"/>
    </w:pPr>
  </w:p>
  <w:p w14:paraId="457DBF2A" w14:textId="77777777" w:rsidR="00A262C8" w:rsidRDefault="00A8576D" w:rsidP="00E51B1D">
    <w:pPr>
      <w:pStyle w:val="Kopfzeile"/>
      <w:tabs>
        <w:tab w:val="clear" w:pos="4536"/>
        <w:tab w:val="clear" w:pos="9072"/>
        <w:tab w:val="left" w:pos="52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67B1" w14:textId="77777777" w:rsidR="00C227B0" w:rsidRDefault="00C227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85078"/>
    <w:multiLevelType w:val="hybridMultilevel"/>
    <w:tmpl w:val="5EFE8DA6"/>
    <w:lvl w:ilvl="0" w:tplc="170A25BA">
      <w:start w:val="1"/>
      <w:numFmt w:val="decimal"/>
      <w:pStyle w:val="berschrift2"/>
      <w:lvlText w:val="5.%1"/>
      <w:lvlJc w:val="center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A7"/>
    <w:rsid w:val="000836D3"/>
    <w:rsid w:val="000A2ED0"/>
    <w:rsid w:val="002E71BB"/>
    <w:rsid w:val="00527223"/>
    <w:rsid w:val="007F6D43"/>
    <w:rsid w:val="00850B7D"/>
    <w:rsid w:val="008D3AB5"/>
    <w:rsid w:val="00A8576D"/>
    <w:rsid w:val="00C227B0"/>
    <w:rsid w:val="00D81ABC"/>
    <w:rsid w:val="00EB03FE"/>
    <w:rsid w:val="00EC454A"/>
    <w:rsid w:val="00E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92A7"/>
  <w15:chartTrackingRefBased/>
  <w15:docId w15:val="{C215CDD7-1F71-4EB2-B6FF-4B918269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576D"/>
    <w:pPr>
      <w:spacing w:before="120" w:after="12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576D"/>
    <w:pPr>
      <w:keepNext/>
      <w:keepLines/>
      <w:numPr>
        <w:numId w:val="1"/>
      </w:numPr>
      <w:spacing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8576D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GB"/>
    </w:rPr>
  </w:style>
  <w:style w:type="character" w:customStyle="1" w:styleId="TabellenZchn">
    <w:name w:val="Tabellen Zchn"/>
    <w:basedOn w:val="Absatz-Standardschriftart"/>
    <w:link w:val="Tabellen"/>
    <w:locked/>
    <w:rsid w:val="00A8576D"/>
    <w:rPr>
      <w:rFonts w:ascii="Times New Roman" w:hAnsi="Times New Roman" w:cstheme="minorHAnsi"/>
      <w:sz w:val="24"/>
      <w:szCs w:val="24"/>
      <w:lang w:val="en-GB"/>
    </w:rPr>
  </w:style>
  <w:style w:type="paragraph" w:customStyle="1" w:styleId="Tabellen">
    <w:name w:val="Tabellen"/>
    <w:basedOn w:val="Standard"/>
    <w:link w:val="TabellenZchn"/>
    <w:qFormat/>
    <w:rsid w:val="00A8576D"/>
    <w:pPr>
      <w:spacing w:after="0" w:line="240" w:lineRule="auto"/>
    </w:pPr>
    <w:rPr>
      <w:rFonts w:cstheme="minorHAnsi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857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76D"/>
    <w:rPr>
      <w:rFonts w:ascii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227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7B0"/>
    <w:rPr>
      <w:rFonts w:ascii="Times New Roman" w:hAnsi="Times New Roman"/>
      <w:sz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36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36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36D3"/>
    <w:rPr>
      <w:rFonts w:ascii="Times New Roman" w:hAnsi="Times New Roman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6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6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Hamburg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Breetzke</dc:creator>
  <cp:keywords/>
  <dc:description/>
  <cp:lastModifiedBy>Jonas Breetzke</cp:lastModifiedBy>
  <cp:revision>11</cp:revision>
  <dcterms:created xsi:type="dcterms:W3CDTF">2021-07-08T08:27:00Z</dcterms:created>
  <dcterms:modified xsi:type="dcterms:W3CDTF">2021-08-03T13:46:00Z</dcterms:modified>
</cp:coreProperties>
</file>