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BE94" w14:textId="31BDB84D" w:rsidR="00BB538E" w:rsidRPr="00940192" w:rsidRDefault="00093BF0">
      <w:pPr>
        <w:rPr>
          <w:rFonts w:ascii="Times New Roman" w:hAnsi="Times New Roman" w:cs="Times New Roman"/>
          <w:b/>
          <w:bCs/>
          <w:szCs w:val="24"/>
        </w:rPr>
      </w:pPr>
      <w:bookmarkStart w:id="0" w:name="_Hlk94883503"/>
      <w:r w:rsidRPr="00940192">
        <w:rPr>
          <w:rFonts w:ascii="Times New Roman" w:hAnsi="Times New Roman" w:cs="Times New Roman"/>
          <w:b/>
          <w:bCs/>
          <w:szCs w:val="24"/>
        </w:rPr>
        <w:t xml:space="preserve">Supplementary </w:t>
      </w:r>
      <w:r w:rsidR="00396228" w:rsidRPr="00940192">
        <w:rPr>
          <w:rFonts w:ascii="Times New Roman" w:hAnsi="Times New Roman" w:cs="Times New Roman"/>
          <w:b/>
          <w:bCs/>
          <w:szCs w:val="24"/>
        </w:rPr>
        <w:t>Material</w:t>
      </w:r>
    </w:p>
    <w:p w14:paraId="7174E271" w14:textId="4CDAE4FA" w:rsidR="00093BF0" w:rsidRPr="00940192" w:rsidRDefault="00B15E00">
      <w:pPr>
        <w:rPr>
          <w:rFonts w:ascii="Times New Roman" w:hAnsi="Times New Roman" w:cs="Times New Roman"/>
          <w:b/>
          <w:bCs/>
          <w:szCs w:val="24"/>
        </w:rPr>
      </w:pPr>
      <w:r w:rsidRPr="00940192">
        <w:rPr>
          <w:rFonts w:ascii="Times New Roman" w:hAnsi="Times New Roman" w:cs="Times New Roman"/>
          <w:b/>
          <w:bCs/>
          <w:szCs w:val="24"/>
        </w:rPr>
        <w:t xml:space="preserve">Inclusion </w:t>
      </w:r>
      <w:r w:rsidR="00A868BF" w:rsidRPr="00940192">
        <w:rPr>
          <w:rFonts w:ascii="Times New Roman" w:hAnsi="Times New Roman" w:cs="Times New Roman"/>
          <w:b/>
          <w:bCs/>
          <w:szCs w:val="24"/>
        </w:rPr>
        <w:t>Criteria</w:t>
      </w:r>
    </w:p>
    <w:p w14:paraId="048F1A8C" w14:textId="5B5EB41D" w:rsidR="005425E7" w:rsidRPr="00940192" w:rsidRDefault="005425E7">
      <w:pPr>
        <w:rPr>
          <w:rFonts w:ascii="Times New Roman" w:hAnsi="Times New Roman" w:cs="Times New Roman"/>
          <w:szCs w:val="24"/>
        </w:rPr>
      </w:pPr>
      <w:r w:rsidRPr="00940192">
        <w:rPr>
          <w:rFonts w:ascii="Times New Roman" w:hAnsi="Times New Roman" w:cs="Times New Roman"/>
          <w:szCs w:val="24"/>
        </w:rPr>
        <w:t xml:space="preserve">Subjects were enrolled in the study </w:t>
      </w:r>
      <w:r w:rsidR="00A040B9" w:rsidRPr="00940192">
        <w:rPr>
          <w:rFonts w:ascii="Times New Roman" w:hAnsi="Times New Roman" w:cs="Times New Roman"/>
          <w:szCs w:val="24"/>
        </w:rPr>
        <w:t xml:space="preserve">based on the following inclusion </w:t>
      </w:r>
      <w:r w:rsidR="00C0647E" w:rsidRPr="00940192">
        <w:rPr>
          <w:rFonts w:ascii="Times New Roman" w:hAnsi="Times New Roman" w:cs="Times New Roman"/>
          <w:szCs w:val="24"/>
        </w:rPr>
        <w:t>criteria</w:t>
      </w:r>
      <w:r w:rsidR="00A040B9" w:rsidRPr="00940192">
        <w:rPr>
          <w:rFonts w:ascii="Times New Roman" w:hAnsi="Times New Roman" w:cs="Times New Roman"/>
          <w:szCs w:val="24"/>
        </w:rPr>
        <w:t>.</w:t>
      </w:r>
      <w:r w:rsidRPr="00940192">
        <w:rPr>
          <w:rFonts w:ascii="Times New Roman" w:hAnsi="Times New Roman" w:cs="Times New Roman"/>
          <w:szCs w:val="24"/>
        </w:rPr>
        <w:t xml:space="preserve"> </w:t>
      </w:r>
    </w:p>
    <w:p w14:paraId="5FA55E4B"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Participants of either gender between ≥18 to ≤55 years of age at </w:t>
      </w:r>
      <w:proofErr w:type="gramStart"/>
      <w:r w:rsidRPr="00940192">
        <w:rPr>
          <w:rFonts w:ascii="Times New Roman" w:eastAsia="Times New Roman" w:hAnsi="Times New Roman" w:cs="Times New Roman"/>
          <w:szCs w:val="24"/>
          <w:lang w:val="en-GB"/>
        </w:rPr>
        <w:t>phase</w:t>
      </w:r>
      <w:proofErr w:type="gramEnd"/>
      <w:r w:rsidRPr="00940192">
        <w:rPr>
          <w:rFonts w:ascii="Times New Roman" w:eastAsia="Times New Roman" w:hAnsi="Times New Roman" w:cs="Times New Roman"/>
          <w:szCs w:val="24"/>
          <w:lang w:val="en-GB"/>
        </w:rPr>
        <w:t>-I and ≥18 to ≤65 years of age at phase-II at the time of 1</w:t>
      </w:r>
      <w:r w:rsidRPr="00940192">
        <w:rPr>
          <w:rFonts w:ascii="Times New Roman" w:eastAsia="Times New Roman" w:hAnsi="Times New Roman" w:cs="Times New Roman"/>
          <w:szCs w:val="24"/>
          <w:vertAlign w:val="superscript"/>
          <w:lang w:val="en-GB"/>
        </w:rPr>
        <w:t>st</w:t>
      </w:r>
      <w:r w:rsidRPr="00940192">
        <w:rPr>
          <w:rFonts w:ascii="Times New Roman" w:eastAsia="Times New Roman" w:hAnsi="Times New Roman" w:cs="Times New Roman"/>
          <w:szCs w:val="24"/>
          <w:lang w:val="en-GB"/>
        </w:rPr>
        <w:t xml:space="preserve"> vaccination.</w:t>
      </w:r>
    </w:p>
    <w:p w14:paraId="661F4EFE"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bookmarkStart w:id="1" w:name="_Hlk90294301"/>
      <w:r w:rsidRPr="00940192">
        <w:rPr>
          <w:rFonts w:ascii="Times New Roman" w:eastAsia="Times New Roman" w:hAnsi="Times New Roman" w:cs="Times New Roman"/>
          <w:szCs w:val="24"/>
          <w:lang w:val="en-GB"/>
        </w:rPr>
        <w:t>Participants virologically seronegative to SARS-CoV-2 infection by RT-PCR and anti-SARS-CoV-2 antibody prior to enrolment.</w:t>
      </w:r>
    </w:p>
    <w:p w14:paraId="5A2647C1"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Participants seronegative to HIV 1 &amp; 2, HBV and HCV infection prior to enrolmen</w:t>
      </w:r>
      <w:bookmarkEnd w:id="1"/>
      <w:r w:rsidRPr="00940192">
        <w:rPr>
          <w:rFonts w:ascii="Times New Roman" w:eastAsia="Times New Roman" w:hAnsi="Times New Roman" w:cs="Times New Roman"/>
          <w:szCs w:val="24"/>
          <w:lang w:val="en-GB"/>
        </w:rPr>
        <w:t>t.</w:t>
      </w:r>
    </w:p>
    <w:p w14:paraId="099B9D05"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i/>
          <w:sz w:val="22"/>
          <w:szCs w:val="24"/>
          <w:lang w:val="en-GB"/>
        </w:rPr>
      </w:pPr>
      <w:r w:rsidRPr="00940192">
        <w:rPr>
          <w:rFonts w:ascii="Times New Roman" w:eastAsia="Times New Roman" w:hAnsi="Times New Roman" w:cs="Times New Roman"/>
          <w:szCs w:val="24"/>
          <w:lang w:val="en-GB"/>
        </w:rPr>
        <w:t xml:space="preserve">Participants considered of stable health as judged by the investigator, determined by medical history and physical examination with normal vital signs as defined in the protocol. </w:t>
      </w:r>
      <w:r w:rsidRPr="00940192">
        <w:rPr>
          <w:rFonts w:ascii="Times New Roman" w:eastAsia="Times New Roman" w:hAnsi="Times New Roman" w:cs="Times New Roman"/>
          <w:i/>
          <w:szCs w:val="24"/>
          <w:lang w:val="en-GB"/>
        </w:rPr>
        <w:t>[</w:t>
      </w:r>
      <w:r w:rsidRPr="00940192">
        <w:rPr>
          <w:rFonts w:ascii="Times New Roman" w:eastAsia="Times New Roman" w:hAnsi="Times New Roman" w:cs="Times New Roman"/>
          <w:i/>
          <w:sz w:val="22"/>
          <w:szCs w:val="24"/>
          <w:lang w:val="en-GB"/>
        </w:rPr>
        <w:t>Normal vital signs defined as pulse rate of ≥60 to ≤100 bpm; blood pressure systolic of ≥90 mm Hg and &lt;140 mm Hg; diastolic ≥ 60 mm Hg and &lt;90 mm Hg; body temperature &lt;100.4ºF prior to enrolment].</w:t>
      </w:r>
    </w:p>
    <w:p w14:paraId="31E37D7E" w14:textId="692DAE6C"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Female participants of </w:t>
      </w:r>
      <w:r w:rsidR="001B29F5" w:rsidRPr="00940192">
        <w:rPr>
          <w:rFonts w:ascii="Times New Roman" w:eastAsia="Times New Roman" w:hAnsi="Times New Roman" w:cs="Times New Roman"/>
          <w:szCs w:val="24"/>
          <w:lang w:val="en-GB"/>
        </w:rPr>
        <w:t>childbearing</w:t>
      </w:r>
      <w:r w:rsidRPr="00940192">
        <w:rPr>
          <w:rFonts w:ascii="Times New Roman" w:eastAsia="Times New Roman" w:hAnsi="Times New Roman" w:cs="Times New Roman"/>
          <w:szCs w:val="24"/>
          <w:lang w:val="en-GB"/>
        </w:rPr>
        <w:t xml:space="preserve"> potential negative to urine pregnancy test and willingness to avoid becoming pregnant through use of an effective method of contraception or abstinence from the time of study enrolment until six weeks after the last dose of </w:t>
      </w:r>
      <w:r w:rsidR="004A4036" w:rsidRPr="00940192">
        <w:rPr>
          <w:rFonts w:ascii="Times New Roman" w:eastAsia="Times New Roman" w:hAnsi="Times New Roman" w:cs="Times New Roman"/>
          <w:szCs w:val="24"/>
          <w:lang w:val="en-GB"/>
        </w:rPr>
        <w:t>vaccination.</w:t>
      </w:r>
    </w:p>
    <w:p w14:paraId="7F5218D8"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Agrees not to participate in another clinical trial at any time during the total study period.</w:t>
      </w:r>
    </w:p>
    <w:p w14:paraId="0B902104" w14:textId="77777777" w:rsidR="009F0B90" w:rsidRPr="00940192" w:rsidRDefault="009F0B90" w:rsidP="009F0B90">
      <w:pPr>
        <w:numPr>
          <w:ilvl w:val="0"/>
          <w:numId w:val="3"/>
        </w:numPr>
        <w:spacing w:after="12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Agrees to refrain from blood donation during the course of the study.</w:t>
      </w:r>
    </w:p>
    <w:p w14:paraId="334F4463"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Agrees to remain in the town where the study centre is located, for the entire duration of the study. </w:t>
      </w:r>
    </w:p>
    <w:p w14:paraId="02FF4AB5" w14:textId="77777777" w:rsidR="009F0B90" w:rsidRPr="00940192" w:rsidRDefault="009F0B90" w:rsidP="009F0B90">
      <w:pPr>
        <w:numPr>
          <w:ilvl w:val="0"/>
          <w:numId w:val="3"/>
        </w:numPr>
        <w:spacing w:after="240" w:line="24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Willing to allow storage and future use of collected biological samples for future research in an anonymised form.</w:t>
      </w:r>
    </w:p>
    <w:p w14:paraId="16E1B2D6" w14:textId="6B8294D1" w:rsidR="009F0B90" w:rsidRPr="00940192" w:rsidRDefault="009F0B90" w:rsidP="009F0B90">
      <w:pPr>
        <w:keepNext/>
        <w:numPr>
          <w:ilvl w:val="1"/>
          <w:numId w:val="0"/>
        </w:numPr>
        <w:spacing w:before="240" w:after="60" w:line="240" w:lineRule="auto"/>
        <w:ind w:left="630" w:hanging="360"/>
        <w:outlineLvl w:val="2"/>
        <w:rPr>
          <w:rFonts w:ascii="Times New Roman" w:eastAsia="Times New Roman" w:hAnsi="Times New Roman" w:cs="Times New Roman"/>
          <w:b/>
          <w:bCs/>
          <w:sz w:val="28"/>
          <w:szCs w:val="28"/>
          <w:lang w:val="en-GB"/>
        </w:rPr>
      </w:pPr>
      <w:bookmarkStart w:id="2" w:name="_Toc51946125"/>
      <w:r w:rsidRPr="00940192">
        <w:rPr>
          <w:rFonts w:ascii="Times New Roman" w:eastAsia="Times New Roman" w:hAnsi="Times New Roman" w:cs="Times New Roman"/>
          <w:b/>
          <w:bCs/>
          <w:sz w:val="28"/>
          <w:szCs w:val="28"/>
          <w:lang w:val="en-GB"/>
        </w:rPr>
        <w:t>Exclusion Criteria</w:t>
      </w:r>
      <w:bookmarkEnd w:id="2"/>
    </w:p>
    <w:p w14:paraId="0B93FEAE" w14:textId="388F824C" w:rsidR="007E0948" w:rsidRPr="00940192" w:rsidRDefault="007E0948" w:rsidP="009F0B90">
      <w:pPr>
        <w:keepNext/>
        <w:numPr>
          <w:ilvl w:val="1"/>
          <w:numId w:val="0"/>
        </w:numPr>
        <w:spacing w:before="240" w:after="60" w:line="240" w:lineRule="auto"/>
        <w:ind w:left="630" w:hanging="360"/>
        <w:outlineLvl w:val="2"/>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Subjects were excluded </w:t>
      </w:r>
      <w:r w:rsidR="005425E7" w:rsidRPr="00940192">
        <w:rPr>
          <w:rFonts w:ascii="Times New Roman" w:eastAsia="Times New Roman" w:hAnsi="Times New Roman" w:cs="Times New Roman"/>
          <w:szCs w:val="24"/>
          <w:lang w:val="en-GB"/>
        </w:rPr>
        <w:t>from the study based on the following exclusion criteria:</w:t>
      </w:r>
    </w:p>
    <w:p w14:paraId="1E3C0267" w14:textId="77777777" w:rsidR="001B29F5" w:rsidRPr="00940192" w:rsidRDefault="001B29F5" w:rsidP="00B15E00">
      <w:pPr>
        <w:spacing w:after="120" w:line="240" w:lineRule="auto"/>
        <w:jc w:val="both"/>
        <w:rPr>
          <w:rFonts w:ascii="Times New Roman" w:eastAsia="Times New Roman" w:hAnsi="Times New Roman" w:cs="Times New Roman"/>
          <w:szCs w:val="24"/>
          <w:lang w:val="en-GB"/>
        </w:rPr>
      </w:pPr>
      <w:bookmarkStart w:id="3" w:name="_Toc520647008"/>
      <w:bookmarkStart w:id="4" w:name="_Hlk90294519"/>
      <w:bookmarkEnd w:id="3"/>
    </w:p>
    <w:p w14:paraId="051041B4" w14:textId="2FFE5EC6" w:rsidR="009F0B90" w:rsidRPr="00940192" w:rsidRDefault="009F0B90" w:rsidP="005425E7">
      <w:pPr>
        <w:pStyle w:val="ListParagraph"/>
        <w:numPr>
          <w:ilvl w:val="0"/>
          <w:numId w:val="5"/>
        </w:numPr>
        <w:spacing w:after="12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History of vaccination with any investigational vaccine against COVID-19 </w:t>
      </w:r>
      <w:r w:rsidR="001B29F5" w:rsidRPr="00940192">
        <w:rPr>
          <w:rFonts w:ascii="Times New Roman" w:eastAsia="Times New Roman" w:hAnsi="Times New Roman" w:cs="Times New Roman"/>
          <w:szCs w:val="24"/>
          <w:lang w:val="en-GB"/>
        </w:rPr>
        <w:t>disease.</w:t>
      </w:r>
    </w:p>
    <w:bookmarkEnd w:id="4"/>
    <w:p w14:paraId="5BB54F8F" w14:textId="77777777"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Seropositive to IgG antibodies against SARS CoV-2</w:t>
      </w:r>
    </w:p>
    <w:p w14:paraId="55BA117E" w14:textId="65AC33E9"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Living in the same household of any COVID-19 positive </w:t>
      </w:r>
      <w:r w:rsidR="001B29F5" w:rsidRPr="00940192">
        <w:rPr>
          <w:rFonts w:ascii="Times New Roman" w:eastAsia="Times New Roman" w:hAnsi="Times New Roman" w:cs="Times New Roman"/>
          <w:szCs w:val="24"/>
          <w:lang w:val="en-GB"/>
        </w:rPr>
        <w:t>person.</w:t>
      </w:r>
      <w:r w:rsidRPr="00940192">
        <w:rPr>
          <w:rFonts w:ascii="Times New Roman" w:eastAsia="Times New Roman" w:hAnsi="Times New Roman" w:cs="Times New Roman"/>
          <w:szCs w:val="24"/>
          <w:lang w:val="en-GB"/>
        </w:rPr>
        <w:t xml:space="preserve"> </w:t>
      </w:r>
    </w:p>
    <w:p w14:paraId="5E3DE1DE" w14:textId="78445AB2"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Pregnant women, nursing women or women of childbearing potential who are not actively avoiding pregnancy during clinical trials</w:t>
      </w:r>
      <w:r w:rsidR="001B29F5" w:rsidRPr="00940192">
        <w:rPr>
          <w:rFonts w:ascii="Times New Roman" w:eastAsia="Times New Roman" w:hAnsi="Times New Roman" w:cs="Times New Roman"/>
          <w:szCs w:val="24"/>
          <w:lang w:val="en-GB"/>
        </w:rPr>
        <w:t>.</w:t>
      </w:r>
    </w:p>
    <w:p w14:paraId="070EEC5A" w14:textId="66983841"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lastRenderedPageBreak/>
        <w:t>Seriously overweight (</w:t>
      </w:r>
      <w:bookmarkStart w:id="5" w:name="_Hlk90294566"/>
      <w:r w:rsidRPr="00940192">
        <w:rPr>
          <w:rFonts w:ascii="Times New Roman" w:eastAsia="Times New Roman" w:hAnsi="Times New Roman" w:cs="Times New Roman"/>
          <w:szCs w:val="24"/>
          <w:lang w:val="en-GB"/>
        </w:rPr>
        <w:t>BMI ≥ 40 Kg/m2</w:t>
      </w:r>
      <w:bookmarkEnd w:id="5"/>
      <w:r w:rsidRPr="00940192">
        <w:rPr>
          <w:rFonts w:ascii="Times New Roman" w:eastAsia="Times New Roman" w:hAnsi="Times New Roman" w:cs="Times New Roman"/>
          <w:szCs w:val="24"/>
          <w:lang w:val="en-GB"/>
        </w:rPr>
        <w:t>)</w:t>
      </w:r>
      <w:r w:rsidR="001B29F5" w:rsidRPr="00940192">
        <w:rPr>
          <w:rFonts w:ascii="Times New Roman" w:eastAsia="Times New Roman" w:hAnsi="Times New Roman" w:cs="Times New Roman"/>
          <w:szCs w:val="24"/>
          <w:lang w:val="en-GB"/>
        </w:rPr>
        <w:t>.</w:t>
      </w:r>
    </w:p>
    <w:p w14:paraId="628DDEFB" w14:textId="07D1D631"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Use of any investigational or non-registered product other than the study vaccine during the trial period or 3 months prior to </w:t>
      </w:r>
      <w:r w:rsidR="001B29F5" w:rsidRPr="00940192">
        <w:rPr>
          <w:rFonts w:ascii="Times New Roman" w:eastAsia="Times New Roman" w:hAnsi="Times New Roman" w:cs="Times New Roman"/>
          <w:szCs w:val="24"/>
          <w:lang w:val="en-GB"/>
        </w:rPr>
        <w:t>enrolment.</w:t>
      </w:r>
    </w:p>
    <w:p w14:paraId="77B03C6A" w14:textId="77777777"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History of receipt of any licensed vaccine within 1 month prior to screening, likely to impact on interpretation of the trial data (e.g., influenza vaccines);</w:t>
      </w:r>
    </w:p>
    <w:p w14:paraId="3F0AAAAA" w14:textId="77777777"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Current or planned participation in prophylactic drug trials for the duration of the study.</w:t>
      </w:r>
    </w:p>
    <w:p w14:paraId="174214DA" w14:textId="217614D9"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Any clinically significant abnormal haematology and biochemical laboratory parameters tested at screening as judged by the </w:t>
      </w:r>
      <w:r w:rsidR="001B29F5" w:rsidRPr="00940192">
        <w:rPr>
          <w:rFonts w:ascii="Times New Roman" w:eastAsia="Times New Roman" w:hAnsi="Times New Roman" w:cs="Times New Roman"/>
          <w:szCs w:val="24"/>
          <w:lang w:val="en-GB"/>
        </w:rPr>
        <w:t>investigator.</w:t>
      </w:r>
      <w:r w:rsidRPr="00940192">
        <w:rPr>
          <w:rFonts w:ascii="Times New Roman" w:eastAsia="Times New Roman" w:hAnsi="Times New Roman" w:cs="Times New Roman"/>
          <w:szCs w:val="24"/>
          <w:lang w:val="en-GB"/>
        </w:rPr>
        <w:t xml:space="preserve"> </w:t>
      </w:r>
    </w:p>
    <w:p w14:paraId="5D26A18C" w14:textId="147FB8A0"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Body temperature of ≥100.4°F (&gt;38.0°C) or symptoms of an acute illness at the time of screening or prior to vaccination</w:t>
      </w:r>
      <w:r w:rsidR="001B29F5" w:rsidRPr="00940192">
        <w:rPr>
          <w:rFonts w:ascii="Times New Roman" w:eastAsia="Times New Roman" w:hAnsi="Times New Roman" w:cs="Times New Roman"/>
          <w:szCs w:val="24"/>
          <w:lang w:val="en-GB"/>
        </w:rPr>
        <w:t>.</w:t>
      </w:r>
    </w:p>
    <w:p w14:paraId="2E105419" w14:textId="16551ED3"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History of severe psychiatric conditions likely to affect participation in the </w:t>
      </w:r>
      <w:r w:rsidR="001B29F5" w:rsidRPr="00940192">
        <w:rPr>
          <w:rFonts w:ascii="Times New Roman" w:eastAsia="Times New Roman" w:hAnsi="Times New Roman" w:cs="Times New Roman"/>
          <w:szCs w:val="24"/>
          <w:lang w:val="en-GB"/>
        </w:rPr>
        <w:t>study.</w:t>
      </w:r>
    </w:p>
    <w:p w14:paraId="43770D90" w14:textId="2621C6BE"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History of any bleeding disorder (</w:t>
      </w:r>
      <w:r w:rsidR="003D0824" w:rsidRPr="00940192">
        <w:rPr>
          <w:rFonts w:ascii="Times New Roman" w:eastAsia="Times New Roman" w:hAnsi="Times New Roman" w:cs="Times New Roman"/>
          <w:szCs w:val="24"/>
          <w:lang w:val="en-GB"/>
        </w:rPr>
        <w:t>e.g.,</w:t>
      </w:r>
      <w:r w:rsidRPr="00940192">
        <w:rPr>
          <w:rFonts w:ascii="Times New Roman" w:eastAsia="Times New Roman" w:hAnsi="Times New Roman" w:cs="Times New Roman"/>
          <w:szCs w:val="24"/>
          <w:lang w:val="en-GB"/>
        </w:rPr>
        <w:t xml:space="preserve"> factor deficiency, </w:t>
      </w:r>
      <w:r w:rsidR="003D0824" w:rsidRPr="00940192">
        <w:rPr>
          <w:rFonts w:ascii="Times New Roman" w:eastAsia="Times New Roman" w:hAnsi="Times New Roman" w:cs="Times New Roman"/>
          <w:szCs w:val="24"/>
          <w:lang w:val="en-GB"/>
        </w:rPr>
        <w:t>coagulopathy,</w:t>
      </w:r>
      <w:r w:rsidRPr="00940192">
        <w:rPr>
          <w:rFonts w:ascii="Times New Roman" w:eastAsia="Times New Roman" w:hAnsi="Times New Roman" w:cs="Times New Roman"/>
          <w:szCs w:val="24"/>
          <w:lang w:val="en-GB"/>
        </w:rPr>
        <w:t xml:space="preserve"> or platelet disorder)</w:t>
      </w:r>
      <w:r w:rsidR="001B29F5" w:rsidRPr="00940192">
        <w:rPr>
          <w:rFonts w:ascii="Times New Roman" w:eastAsia="Times New Roman" w:hAnsi="Times New Roman" w:cs="Times New Roman"/>
          <w:szCs w:val="24"/>
          <w:lang w:val="en-GB"/>
        </w:rPr>
        <w:t>.</w:t>
      </w:r>
    </w:p>
    <w:p w14:paraId="495015EB" w14:textId="0F399D87"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History of allergic disease or reactions likely to be exacerbated by any component of the Biological E’s four COVID-19 vaccine formulations</w:t>
      </w:r>
      <w:r w:rsidR="003D0824" w:rsidRPr="00940192">
        <w:rPr>
          <w:rFonts w:ascii="Times New Roman" w:eastAsia="Times New Roman" w:hAnsi="Times New Roman" w:cs="Times New Roman"/>
          <w:szCs w:val="24"/>
          <w:lang w:val="en-GB"/>
        </w:rPr>
        <w:t>.</w:t>
      </w:r>
    </w:p>
    <w:p w14:paraId="2065B296" w14:textId="79797C05"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Chronic respiratory diseases, including </w:t>
      </w:r>
      <w:r w:rsidR="003D0824" w:rsidRPr="00940192">
        <w:rPr>
          <w:rFonts w:ascii="Times New Roman" w:eastAsia="Times New Roman" w:hAnsi="Times New Roman" w:cs="Times New Roman"/>
          <w:szCs w:val="24"/>
          <w:lang w:val="en-GB"/>
        </w:rPr>
        <w:t>asthma.</w:t>
      </w:r>
      <w:r w:rsidRPr="00940192">
        <w:rPr>
          <w:rFonts w:ascii="Times New Roman" w:eastAsia="Times New Roman" w:hAnsi="Times New Roman" w:cs="Times New Roman"/>
          <w:szCs w:val="24"/>
          <w:lang w:val="en-GB"/>
        </w:rPr>
        <w:t xml:space="preserve"> </w:t>
      </w:r>
    </w:p>
    <w:p w14:paraId="7880F2A4" w14:textId="72D39DCC"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Chronic cardiovascular disease, gastrointestinal disease, liver disease, renal disease, endocrine </w:t>
      </w:r>
      <w:r w:rsidR="00EB4348" w:rsidRPr="00940192">
        <w:rPr>
          <w:rFonts w:ascii="Times New Roman" w:eastAsia="Times New Roman" w:hAnsi="Times New Roman" w:cs="Times New Roman"/>
          <w:szCs w:val="24"/>
          <w:lang w:val="en-GB"/>
        </w:rPr>
        <w:t>disorder,</w:t>
      </w:r>
      <w:r w:rsidRPr="00940192">
        <w:rPr>
          <w:rFonts w:ascii="Times New Roman" w:eastAsia="Times New Roman" w:hAnsi="Times New Roman" w:cs="Times New Roman"/>
          <w:szCs w:val="24"/>
          <w:lang w:val="en-GB"/>
        </w:rPr>
        <w:t xml:space="preserve"> and neurological illness</w:t>
      </w:r>
      <w:r w:rsidR="003D0824" w:rsidRPr="00940192">
        <w:rPr>
          <w:rFonts w:ascii="Times New Roman" w:eastAsia="Times New Roman" w:hAnsi="Times New Roman" w:cs="Times New Roman"/>
          <w:szCs w:val="24"/>
          <w:lang w:val="en-GB"/>
        </w:rPr>
        <w:t>.</w:t>
      </w:r>
      <w:r w:rsidRPr="00940192">
        <w:rPr>
          <w:rFonts w:ascii="Times New Roman" w:eastAsia="Times New Roman" w:hAnsi="Times New Roman" w:cs="Times New Roman"/>
          <w:szCs w:val="24"/>
          <w:lang w:val="en-GB"/>
        </w:rPr>
        <w:t xml:space="preserve"> </w:t>
      </w:r>
    </w:p>
    <w:p w14:paraId="05E968BB" w14:textId="15AD19C7"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Any other serious chronic illness requiring hospital specialist </w:t>
      </w:r>
      <w:r w:rsidR="003D0824" w:rsidRPr="00940192">
        <w:rPr>
          <w:rFonts w:ascii="Times New Roman" w:eastAsia="Times New Roman" w:hAnsi="Times New Roman" w:cs="Times New Roman"/>
          <w:szCs w:val="24"/>
          <w:lang w:val="en-GB"/>
        </w:rPr>
        <w:t>supervision.</w:t>
      </w:r>
      <w:r w:rsidRPr="00940192">
        <w:rPr>
          <w:rFonts w:ascii="Times New Roman" w:eastAsia="Times New Roman" w:hAnsi="Times New Roman" w:cs="Times New Roman"/>
          <w:szCs w:val="24"/>
          <w:lang w:val="en-GB"/>
        </w:rPr>
        <w:t xml:space="preserve"> </w:t>
      </w:r>
    </w:p>
    <w:p w14:paraId="666377D1" w14:textId="310A1E42"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Suspected or known current alcohol abuse as defined by an alcohol intake of greater than 42 units every week for at least one </w:t>
      </w:r>
      <w:r w:rsidR="003D0824" w:rsidRPr="00940192">
        <w:rPr>
          <w:rFonts w:ascii="Times New Roman" w:eastAsia="Times New Roman" w:hAnsi="Times New Roman" w:cs="Times New Roman"/>
          <w:szCs w:val="24"/>
          <w:lang w:val="en-GB"/>
        </w:rPr>
        <w:t>year.</w:t>
      </w:r>
    </w:p>
    <w:p w14:paraId="10F87B60" w14:textId="39AD5668" w:rsidR="009F0B90" w:rsidRPr="00940192" w:rsidRDefault="003D0824"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Chronic </w:t>
      </w:r>
      <w:r w:rsidR="009F0B90" w:rsidRPr="00940192">
        <w:rPr>
          <w:rFonts w:ascii="Times New Roman" w:eastAsia="Times New Roman" w:hAnsi="Times New Roman" w:cs="Times New Roman"/>
          <w:szCs w:val="24"/>
          <w:lang w:val="en-GB"/>
        </w:rPr>
        <w:t>administration (defined as more than 14 days in total) of immunosuppressant (</w:t>
      </w:r>
      <w:r w:rsidRPr="00940192">
        <w:rPr>
          <w:rFonts w:ascii="Times New Roman" w:eastAsia="Times New Roman" w:hAnsi="Times New Roman" w:cs="Times New Roman"/>
          <w:szCs w:val="24"/>
          <w:lang w:val="en-GB"/>
        </w:rPr>
        <w:t>e.g.,</w:t>
      </w:r>
      <w:r w:rsidR="009F0B90" w:rsidRPr="00940192">
        <w:rPr>
          <w:rFonts w:ascii="Times New Roman" w:eastAsia="Times New Roman" w:hAnsi="Times New Roman" w:cs="Times New Roman"/>
          <w:szCs w:val="24"/>
          <w:lang w:val="en-GB"/>
        </w:rPr>
        <w:t xml:space="preserve"> corticosteroids, cytotoxic drugs or antimetabolites, etc.) or other immune-modifying drugs (</w:t>
      </w:r>
      <w:r w:rsidRPr="00940192">
        <w:rPr>
          <w:rFonts w:ascii="Times New Roman" w:eastAsia="Times New Roman" w:hAnsi="Times New Roman" w:cs="Times New Roman"/>
          <w:szCs w:val="24"/>
          <w:lang w:val="en-GB"/>
        </w:rPr>
        <w:t>e.g.,</w:t>
      </w:r>
      <w:r w:rsidR="009F0B90" w:rsidRPr="00940192">
        <w:rPr>
          <w:rFonts w:ascii="Times New Roman" w:eastAsia="Times New Roman" w:hAnsi="Times New Roman" w:cs="Times New Roman"/>
          <w:szCs w:val="24"/>
          <w:lang w:val="en-GB"/>
        </w:rPr>
        <w:t xml:space="preserve"> interferons) during the period starting six months prior to the first vaccine dose including use of any blood products. For corticosteroids, this will mean prednisone ≥0.5 mg/kg/day, or equivalent. Inhaled and topical steroids are </w:t>
      </w:r>
      <w:r w:rsidR="00B15E00" w:rsidRPr="00940192">
        <w:rPr>
          <w:rFonts w:ascii="Times New Roman" w:eastAsia="Times New Roman" w:hAnsi="Times New Roman" w:cs="Times New Roman"/>
          <w:szCs w:val="24"/>
          <w:lang w:val="en-GB"/>
        </w:rPr>
        <w:t>allowed.</w:t>
      </w:r>
      <w:r w:rsidR="009F0B90" w:rsidRPr="00940192">
        <w:rPr>
          <w:rFonts w:ascii="Times New Roman" w:eastAsia="Times New Roman" w:hAnsi="Times New Roman" w:cs="Times New Roman"/>
          <w:szCs w:val="24"/>
          <w:lang w:val="en-GB"/>
        </w:rPr>
        <w:t xml:space="preserve"> </w:t>
      </w:r>
    </w:p>
    <w:p w14:paraId="27A1BB50" w14:textId="30329C05" w:rsidR="009F0B90" w:rsidRPr="00940192" w:rsidRDefault="003D0824"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Any confirmed</w:t>
      </w:r>
      <w:r w:rsidR="009F0B90" w:rsidRPr="00940192">
        <w:rPr>
          <w:rFonts w:ascii="Times New Roman" w:eastAsia="Times New Roman" w:hAnsi="Times New Roman" w:cs="Times New Roman"/>
          <w:szCs w:val="24"/>
          <w:lang w:val="en-GB"/>
        </w:rPr>
        <w:t xml:space="preserve"> or suspected immunosuppressive or immunodeficient condition, based on medical history and physical examination (no laboratory testing required</w:t>
      </w:r>
      <w:r w:rsidRPr="00940192">
        <w:rPr>
          <w:rFonts w:ascii="Times New Roman" w:eastAsia="Times New Roman" w:hAnsi="Times New Roman" w:cs="Times New Roman"/>
          <w:szCs w:val="24"/>
          <w:lang w:val="en-GB"/>
        </w:rPr>
        <w:t>).</w:t>
      </w:r>
    </w:p>
    <w:p w14:paraId="029BB0B3" w14:textId="2E3B0600"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 xml:space="preserve">Any </w:t>
      </w:r>
      <w:r w:rsidR="003D0824" w:rsidRPr="00940192">
        <w:rPr>
          <w:rFonts w:ascii="Times New Roman" w:eastAsia="Times New Roman" w:hAnsi="Times New Roman" w:cs="Times New Roman"/>
          <w:szCs w:val="24"/>
          <w:lang w:val="en-GB"/>
        </w:rPr>
        <w:t>medical</w:t>
      </w:r>
      <w:r w:rsidRPr="00940192">
        <w:rPr>
          <w:rFonts w:ascii="Times New Roman" w:eastAsia="Times New Roman" w:hAnsi="Times New Roman" w:cs="Times New Roman"/>
          <w:szCs w:val="24"/>
          <w:lang w:val="en-GB"/>
        </w:rPr>
        <w:t xml:space="preserve"> condition that in the judgment of the investigator would make study participation unsafe.</w:t>
      </w:r>
    </w:p>
    <w:p w14:paraId="29D68531" w14:textId="20804E92" w:rsidR="009F0B90" w:rsidRPr="00940192" w:rsidRDefault="009F0B90" w:rsidP="005425E7">
      <w:pPr>
        <w:pStyle w:val="ListParagraph"/>
        <w:numPr>
          <w:ilvl w:val="0"/>
          <w:numId w:val="5"/>
        </w:numPr>
        <w:spacing w:after="240" w:line="480" w:lineRule="auto"/>
        <w:jc w:val="both"/>
        <w:rPr>
          <w:rFonts w:ascii="Times New Roman" w:eastAsia="Times New Roman" w:hAnsi="Times New Roman" w:cs="Times New Roman"/>
          <w:szCs w:val="24"/>
          <w:lang w:val="en-GB"/>
        </w:rPr>
      </w:pPr>
      <w:r w:rsidRPr="00940192">
        <w:rPr>
          <w:rFonts w:ascii="Times New Roman" w:eastAsia="Times New Roman" w:hAnsi="Times New Roman" w:cs="Times New Roman"/>
          <w:szCs w:val="24"/>
          <w:lang w:val="en-GB"/>
        </w:rPr>
        <w:t>Indivi</w:t>
      </w:r>
      <w:r w:rsidR="00545D01" w:rsidRPr="00940192">
        <w:rPr>
          <w:rFonts w:ascii="Times New Roman" w:eastAsia="Times New Roman" w:hAnsi="Times New Roman" w:cs="Times New Roman"/>
          <w:szCs w:val="24"/>
          <w:lang w:val="en-GB"/>
        </w:rPr>
        <w:t>d</w:t>
      </w:r>
      <w:r w:rsidRPr="00940192">
        <w:rPr>
          <w:rFonts w:ascii="Times New Roman" w:eastAsia="Times New Roman" w:hAnsi="Times New Roman" w:cs="Times New Roman"/>
          <w:szCs w:val="24"/>
          <w:lang w:val="en-GB"/>
        </w:rPr>
        <w:t>uals who are part of the study team or close family members of individuals conducting the study.</w:t>
      </w:r>
    </w:p>
    <w:p w14:paraId="57B6D032" w14:textId="77777777" w:rsidR="00A868BF" w:rsidRPr="00940192" w:rsidRDefault="00A868BF" w:rsidP="005425E7">
      <w:pPr>
        <w:spacing w:line="480" w:lineRule="auto"/>
        <w:rPr>
          <w:rFonts w:ascii="Times New Roman" w:hAnsi="Times New Roman" w:cs="Times New Roman"/>
          <w:b/>
          <w:bCs/>
          <w:szCs w:val="24"/>
        </w:rPr>
      </w:pPr>
    </w:p>
    <w:p w14:paraId="641E8A6B" w14:textId="209845CF" w:rsidR="003D0824" w:rsidRPr="00940192" w:rsidRDefault="003D0824" w:rsidP="005425E7">
      <w:pPr>
        <w:spacing w:line="480" w:lineRule="auto"/>
        <w:rPr>
          <w:rFonts w:ascii="Times New Roman" w:hAnsi="Times New Roman" w:cs="Times New Roman"/>
          <w:b/>
          <w:bCs/>
          <w:szCs w:val="24"/>
        </w:rPr>
      </w:pPr>
      <w:r w:rsidRPr="00940192">
        <w:rPr>
          <w:rFonts w:ascii="Times New Roman" w:hAnsi="Times New Roman" w:cs="Times New Roman"/>
          <w:b/>
          <w:bCs/>
          <w:szCs w:val="24"/>
        </w:rPr>
        <w:br w:type="page"/>
      </w:r>
    </w:p>
    <w:p w14:paraId="0CBACF73" w14:textId="77777777" w:rsidR="00A868BF" w:rsidRPr="00940192" w:rsidRDefault="00A868BF">
      <w:pPr>
        <w:rPr>
          <w:rFonts w:ascii="Times New Roman" w:hAnsi="Times New Roman" w:cs="Times New Roman"/>
          <w:b/>
          <w:bCs/>
          <w:szCs w:val="24"/>
        </w:rPr>
      </w:pPr>
    </w:p>
    <w:p w14:paraId="6343BD77" w14:textId="589EE276" w:rsidR="00093BF0" w:rsidRPr="00940192" w:rsidRDefault="00093BF0">
      <w:pPr>
        <w:rPr>
          <w:rFonts w:ascii="Times New Roman" w:hAnsi="Times New Roman" w:cs="Times New Roman"/>
          <w:b/>
          <w:bCs/>
          <w:szCs w:val="24"/>
        </w:rPr>
      </w:pPr>
      <w:r w:rsidRPr="00940192">
        <w:rPr>
          <w:rFonts w:ascii="Times New Roman" w:hAnsi="Times New Roman" w:cs="Times New Roman"/>
          <w:b/>
          <w:bCs/>
          <w:szCs w:val="24"/>
        </w:rPr>
        <w:t>Methodology</w:t>
      </w:r>
    </w:p>
    <w:p w14:paraId="6CDF3049" w14:textId="76468558" w:rsidR="00B874F8" w:rsidRPr="00940192" w:rsidRDefault="00B874F8" w:rsidP="00B874F8">
      <w:pPr>
        <w:spacing w:line="480" w:lineRule="auto"/>
        <w:ind w:firstLine="720"/>
        <w:jc w:val="both"/>
        <w:rPr>
          <w:rFonts w:ascii="Times New Roman" w:hAnsi="Times New Roman" w:cs="Times New Roman"/>
          <w:color w:val="000000"/>
          <w:szCs w:val="24"/>
          <w:lang w:val="en-GB"/>
        </w:rPr>
      </w:pPr>
      <w:r w:rsidRPr="00940192">
        <w:rPr>
          <w:rFonts w:ascii="Times New Roman" w:hAnsi="Times New Roman" w:cs="Times New Roman"/>
          <w:color w:val="000000"/>
          <w:szCs w:val="24"/>
          <w:lang w:val="en-GB"/>
        </w:rPr>
        <w:t>As per the kit manufacturer, subjects with antibody concentrations below 12 Antibody Units/mL were designated as sero</w:t>
      </w:r>
      <w:r w:rsidR="00AA2EF8" w:rsidRPr="00940192">
        <w:rPr>
          <w:rFonts w:ascii="Times New Roman" w:hAnsi="Times New Roman" w:cs="Times New Roman"/>
          <w:color w:val="000000"/>
          <w:szCs w:val="24"/>
          <w:lang w:val="en-GB"/>
        </w:rPr>
        <w:t>-negative</w:t>
      </w:r>
      <w:r w:rsidRPr="00940192">
        <w:rPr>
          <w:rFonts w:ascii="Times New Roman" w:hAnsi="Times New Roman" w:cs="Times New Roman"/>
          <w:color w:val="000000"/>
          <w:szCs w:val="24"/>
          <w:lang w:val="en-GB"/>
        </w:rPr>
        <w:t xml:space="preserve"> and were selected in the trial (</w:t>
      </w:r>
      <w:proofErr w:type="spellStart"/>
      <w:r w:rsidR="002D3801" w:rsidRPr="00940192">
        <w:rPr>
          <w:rFonts w:ascii="Times New Roman" w:hAnsi="Times New Roman" w:cs="Times New Roman"/>
          <w:bCs/>
          <w:color w:val="000000"/>
          <w:szCs w:val="24"/>
          <w:lang w:val="en-GB"/>
        </w:rPr>
        <w:t>Diasorin</w:t>
      </w:r>
      <w:proofErr w:type="spellEnd"/>
      <w:r w:rsidR="002D3801" w:rsidRPr="00940192">
        <w:rPr>
          <w:rFonts w:ascii="Times New Roman" w:hAnsi="Times New Roman" w:cs="Times New Roman"/>
          <w:bCs/>
          <w:color w:val="000000"/>
          <w:szCs w:val="24"/>
          <w:lang w:val="en-GB"/>
        </w:rPr>
        <w:t xml:space="preserve"> kit</w:t>
      </w:r>
      <w:r w:rsidRPr="00940192">
        <w:rPr>
          <w:rFonts w:ascii="Times New Roman" w:hAnsi="Times New Roman" w:cs="Times New Roman"/>
          <w:color w:val="000000"/>
          <w:szCs w:val="24"/>
          <w:lang w:val="en-GB"/>
        </w:rPr>
        <w:t xml:space="preserve">). </w:t>
      </w:r>
      <w:r w:rsidRPr="00940192">
        <w:rPr>
          <w:rFonts w:ascii="Times New Roman" w:hAnsi="Times New Roman" w:cs="Times New Roman"/>
          <w:color w:val="000000"/>
          <w:szCs w:val="24"/>
        </w:rPr>
        <w:t>Health status assessed during the screening period was based on medical history and clinical laboratory findings, vital signs, and physical examination. All those who were part of any other clinical trial, with a h</w:t>
      </w:r>
      <w:proofErr w:type="spellStart"/>
      <w:r w:rsidRPr="00940192">
        <w:rPr>
          <w:rFonts w:ascii="Times New Roman" w:hAnsi="Times New Roman" w:cs="Times New Roman"/>
          <w:color w:val="000000"/>
          <w:szCs w:val="24"/>
          <w:lang w:val="en-GB"/>
        </w:rPr>
        <w:t>istory</w:t>
      </w:r>
      <w:proofErr w:type="spellEnd"/>
      <w:r w:rsidRPr="00940192">
        <w:rPr>
          <w:rFonts w:ascii="Times New Roman" w:hAnsi="Times New Roman" w:cs="Times New Roman"/>
          <w:color w:val="000000"/>
          <w:szCs w:val="24"/>
          <w:lang w:val="en-GB"/>
        </w:rPr>
        <w:t xml:space="preserve"> of vaccination with any investigational vaccine against Covid-19 disease, BMI ≥ 40 Kg/m</w:t>
      </w:r>
      <w:r w:rsidRPr="00940192">
        <w:rPr>
          <w:rFonts w:ascii="Times New Roman" w:hAnsi="Times New Roman" w:cs="Times New Roman"/>
          <w:color w:val="000000"/>
          <w:szCs w:val="24"/>
          <w:vertAlign w:val="superscript"/>
          <w:lang w:val="en-GB"/>
        </w:rPr>
        <w:t>2</w:t>
      </w:r>
      <w:r w:rsidRPr="00940192">
        <w:rPr>
          <w:rFonts w:ascii="Times New Roman" w:hAnsi="Times New Roman" w:cs="Times New Roman"/>
          <w:color w:val="000000"/>
          <w:szCs w:val="24"/>
          <w:lang w:val="en-GB"/>
        </w:rPr>
        <w:t>, any other health issues, or were on immunosuppressants, immunodeficient conditions or sero</w:t>
      </w:r>
      <w:r w:rsidR="00AA2EF8" w:rsidRPr="00940192">
        <w:rPr>
          <w:rFonts w:ascii="Times New Roman" w:hAnsi="Times New Roman" w:cs="Times New Roman"/>
          <w:color w:val="000000"/>
          <w:szCs w:val="24"/>
          <w:lang w:val="en-GB"/>
        </w:rPr>
        <w:t>-positive</w:t>
      </w:r>
      <w:r w:rsidRPr="00940192">
        <w:rPr>
          <w:rFonts w:ascii="Times New Roman" w:hAnsi="Times New Roman" w:cs="Times New Roman"/>
          <w:color w:val="000000"/>
          <w:szCs w:val="24"/>
          <w:lang w:val="en-GB"/>
        </w:rPr>
        <w:t xml:space="preserve"> for SARS-COV-2 were excluded from the study.</w:t>
      </w:r>
    </w:p>
    <w:p w14:paraId="641A6B6B" w14:textId="77777777" w:rsidR="00F71314" w:rsidRPr="00940192" w:rsidRDefault="00F71314" w:rsidP="00F71314">
      <w:pPr>
        <w:spacing w:after="240" w:line="480" w:lineRule="auto"/>
        <w:jc w:val="both"/>
        <w:rPr>
          <w:rFonts w:ascii="Times New Roman" w:hAnsi="Times New Roman" w:cs="Times New Roman"/>
          <w:b/>
          <w:bCs/>
          <w:szCs w:val="24"/>
        </w:rPr>
      </w:pPr>
      <w:r w:rsidRPr="00940192">
        <w:rPr>
          <w:rFonts w:ascii="Times New Roman" w:hAnsi="Times New Roman" w:cs="Times New Roman"/>
          <w:b/>
          <w:bCs/>
          <w:szCs w:val="24"/>
        </w:rPr>
        <w:t>Procedure</w:t>
      </w:r>
    </w:p>
    <w:p w14:paraId="6497C109" w14:textId="4429766D" w:rsidR="00F71314" w:rsidRPr="00940192" w:rsidRDefault="00F71314" w:rsidP="00F71314">
      <w:pPr>
        <w:spacing w:after="0" w:line="480" w:lineRule="auto"/>
        <w:ind w:firstLine="720"/>
        <w:jc w:val="both"/>
        <w:rPr>
          <w:rFonts w:ascii="Times New Roman" w:hAnsi="Times New Roman" w:cs="Times New Roman"/>
          <w:szCs w:val="24"/>
        </w:rPr>
      </w:pPr>
      <w:r w:rsidRPr="00940192">
        <w:rPr>
          <w:rFonts w:ascii="Times New Roman" w:hAnsi="Times New Roman" w:cs="Times New Roman"/>
          <w:szCs w:val="24"/>
        </w:rPr>
        <w:t xml:space="preserve">The number and percentage of subjects with </w:t>
      </w:r>
      <w:r w:rsidR="00870561" w:rsidRPr="00940192">
        <w:rPr>
          <w:rFonts w:ascii="Times New Roman" w:hAnsi="Times New Roman" w:cs="Times New Roman"/>
          <w:szCs w:val="24"/>
        </w:rPr>
        <w:t>Adverse events (</w:t>
      </w:r>
      <w:r w:rsidRPr="00940192">
        <w:rPr>
          <w:rFonts w:ascii="Times New Roman" w:hAnsi="Times New Roman" w:cs="Times New Roman"/>
          <w:szCs w:val="24"/>
        </w:rPr>
        <w:t>AEs</w:t>
      </w:r>
      <w:r w:rsidR="00870561" w:rsidRPr="00940192">
        <w:rPr>
          <w:rFonts w:ascii="Times New Roman" w:hAnsi="Times New Roman" w:cs="Times New Roman"/>
          <w:szCs w:val="24"/>
        </w:rPr>
        <w:t>)</w:t>
      </w:r>
      <w:r w:rsidRPr="00940192">
        <w:rPr>
          <w:rFonts w:ascii="Times New Roman" w:hAnsi="Times New Roman" w:cs="Times New Roman"/>
          <w:szCs w:val="24"/>
        </w:rPr>
        <w:t xml:space="preserve"> and severe adverse events (SAEs) were presented overall by system organ class (SOC) &amp; preferred term</w:t>
      </w:r>
      <w:r w:rsidR="00DD3543" w:rsidRPr="00940192">
        <w:rPr>
          <w:rFonts w:ascii="Times New Roman" w:hAnsi="Times New Roman" w:cs="Times New Roman"/>
          <w:szCs w:val="24"/>
        </w:rPr>
        <w:t xml:space="preserve"> </w:t>
      </w:r>
      <w:r w:rsidRPr="00940192">
        <w:rPr>
          <w:rFonts w:ascii="Times New Roman" w:hAnsi="Times New Roman" w:cs="Times New Roman"/>
          <w:szCs w:val="24"/>
        </w:rPr>
        <w:t>(PT). The percentage of subjects with at least one local AE (solicited and unsolicited), with at least one systemic AE (solicited and unsolicited) and with any AE during the solicited follow-up period were tabulated with exact 95% confidence interval (CI). The same calculations were performed for symptoms rated as Grade 3 and above. Systemic and local tolerability, recorded in subject diaries, were summarized in a frequency table with percentages based on the number of observed values.</w:t>
      </w:r>
      <w:r w:rsidRPr="00940192">
        <w:rPr>
          <w:rFonts w:ascii="Times New Roman" w:hAnsi="Times New Roman" w:cs="Times New Roman"/>
          <w:szCs w:val="24"/>
          <w:lang w:val="en-GB"/>
        </w:rPr>
        <w:t xml:space="preserve"> Serious adverse events, related AEs, AEs leading to death or withdrawal, solicited AEs, and MAAEs were summarized separately.</w:t>
      </w:r>
    </w:p>
    <w:p w14:paraId="2CD555F4" w14:textId="75B5198F" w:rsidR="003D0824" w:rsidRPr="00940192" w:rsidRDefault="003D0824">
      <w:pPr>
        <w:rPr>
          <w:rFonts w:ascii="Times New Roman" w:hAnsi="Times New Roman" w:cs="Times New Roman"/>
          <w:szCs w:val="24"/>
        </w:rPr>
      </w:pPr>
      <w:r w:rsidRPr="00940192">
        <w:rPr>
          <w:rFonts w:ascii="Times New Roman" w:hAnsi="Times New Roman" w:cs="Times New Roman"/>
          <w:szCs w:val="24"/>
        </w:rPr>
        <w:br w:type="page"/>
      </w:r>
    </w:p>
    <w:p w14:paraId="3FA2784A" w14:textId="77777777" w:rsidR="008A740C" w:rsidRPr="00940192" w:rsidRDefault="008A740C">
      <w:pPr>
        <w:rPr>
          <w:rFonts w:ascii="Times New Roman" w:hAnsi="Times New Roman" w:cs="Times New Roman"/>
          <w:szCs w:val="24"/>
        </w:rPr>
      </w:pPr>
    </w:p>
    <w:p w14:paraId="05F5E545" w14:textId="77777777" w:rsidR="00F71314" w:rsidRPr="00940192" w:rsidRDefault="00F71314" w:rsidP="00F71314">
      <w:pPr>
        <w:spacing w:line="480" w:lineRule="auto"/>
        <w:rPr>
          <w:rFonts w:ascii="Times New Roman" w:hAnsi="Times New Roman" w:cs="Times New Roman"/>
          <w:b/>
          <w:bCs/>
          <w:szCs w:val="24"/>
          <w:lang w:val="en-GB"/>
        </w:rPr>
      </w:pPr>
      <w:r w:rsidRPr="00940192">
        <w:rPr>
          <w:rFonts w:ascii="Times New Roman" w:hAnsi="Times New Roman" w:cs="Times New Roman"/>
          <w:b/>
          <w:bCs/>
          <w:szCs w:val="24"/>
          <w:lang w:val="en-GB"/>
        </w:rPr>
        <w:t>Immunogenicity Analysis</w:t>
      </w:r>
    </w:p>
    <w:p w14:paraId="6FCD6254" w14:textId="53AF44F9" w:rsidR="00F71314" w:rsidRPr="00940192" w:rsidRDefault="00F71314" w:rsidP="00F71314">
      <w:pPr>
        <w:spacing w:line="480" w:lineRule="auto"/>
        <w:rPr>
          <w:rFonts w:ascii="Times New Roman" w:hAnsi="Times New Roman" w:cs="Times New Roman"/>
          <w:b/>
          <w:bCs/>
          <w:szCs w:val="24"/>
          <w:lang w:val="en-GB"/>
        </w:rPr>
      </w:pPr>
      <w:r w:rsidRPr="00940192">
        <w:rPr>
          <w:rFonts w:ascii="Times New Roman" w:hAnsi="Times New Roman" w:cs="Times New Roman"/>
          <w:szCs w:val="24"/>
          <w:lang w:val="en-GB"/>
        </w:rPr>
        <w:t>Humoral immune responses were evaluated by following methods:</w:t>
      </w:r>
    </w:p>
    <w:p w14:paraId="35421BF7" w14:textId="5F5D5D44" w:rsidR="00F71314" w:rsidRPr="00940192" w:rsidRDefault="00F71314" w:rsidP="00F71314">
      <w:pPr>
        <w:pStyle w:val="BodyText12"/>
        <w:numPr>
          <w:ilvl w:val="0"/>
          <w:numId w:val="1"/>
        </w:numPr>
        <w:spacing w:line="480" w:lineRule="auto"/>
        <w:rPr>
          <w:szCs w:val="24"/>
          <w:lang w:val="en-GB"/>
        </w:rPr>
      </w:pPr>
      <w:r w:rsidRPr="00940192">
        <w:rPr>
          <w:szCs w:val="24"/>
          <w:lang w:val="en-GB"/>
        </w:rPr>
        <w:t xml:space="preserve">Anti-RBD Antibody response: Anti-RBD IgG concentration in the subject sera samples were measured at pre-vaccination (Day-0), post first dose (Day-28) and at multiple time-points post second dose (Day-42, Day-56, Day-208) using a validated </w:t>
      </w:r>
      <w:r w:rsidR="00D529A1" w:rsidRPr="00940192">
        <w:rPr>
          <w:szCs w:val="24"/>
          <w:lang w:val="en-GB"/>
        </w:rPr>
        <w:t>enzyme linked immunosorbent assay (</w:t>
      </w:r>
      <w:r w:rsidRPr="00940192">
        <w:rPr>
          <w:szCs w:val="24"/>
          <w:lang w:val="en-GB"/>
        </w:rPr>
        <w:t>ELISA</w:t>
      </w:r>
      <w:r w:rsidR="00D529A1" w:rsidRPr="00940192">
        <w:rPr>
          <w:szCs w:val="24"/>
          <w:lang w:val="en-GB"/>
        </w:rPr>
        <w:t>)</w:t>
      </w:r>
      <w:r w:rsidRPr="00940192">
        <w:rPr>
          <w:szCs w:val="24"/>
          <w:lang w:val="en-GB"/>
        </w:rPr>
        <w:t xml:space="preserve"> method executed at </w:t>
      </w:r>
      <w:proofErr w:type="spellStart"/>
      <w:r w:rsidRPr="00940192">
        <w:rPr>
          <w:szCs w:val="24"/>
          <w:lang w:val="en-GB"/>
        </w:rPr>
        <w:t>Dang’s</w:t>
      </w:r>
      <w:proofErr w:type="spellEnd"/>
      <w:r w:rsidRPr="00940192">
        <w:rPr>
          <w:szCs w:val="24"/>
          <w:lang w:val="en-GB"/>
        </w:rPr>
        <w:t xml:space="preserve"> Lab, New Delhi, India. A monoclonal antibody, CR-3022 supplied by Lake Pharma Inc, CA, USA, that binds specifically to the RBD protein was used to generate standard curve of ELISA OD response vs. antibody concentrations. ELISA concentration equivalent to 1 ng/mL of CR-3022 antibody binding concentration was assigned concentration of </w:t>
      </w:r>
      <w:r w:rsidR="006B1CCA" w:rsidRPr="00940192">
        <w:rPr>
          <w:szCs w:val="24"/>
          <w:lang w:val="en-GB"/>
        </w:rPr>
        <w:t>1</w:t>
      </w:r>
      <w:r w:rsidRPr="00940192">
        <w:rPr>
          <w:szCs w:val="24"/>
          <w:lang w:val="en-GB"/>
        </w:rPr>
        <w:t xml:space="preserve"> anti-RBD ELISA Unit/mL and thus anti-RBD IgG concentration in the sera samples were reported in EU/mL. </w:t>
      </w:r>
      <w:r w:rsidR="00227195" w:rsidRPr="00940192">
        <w:rPr>
          <w:szCs w:val="24"/>
          <w:lang w:val="en-GB"/>
        </w:rPr>
        <w:t xml:space="preserve">The </w:t>
      </w:r>
      <w:r w:rsidR="001A3451" w:rsidRPr="00940192">
        <w:rPr>
          <w:szCs w:val="24"/>
        </w:rPr>
        <w:t xml:space="preserve">National Institute for Biological Standards and Control, UK </w:t>
      </w:r>
      <w:r w:rsidRPr="00940192">
        <w:rPr>
          <w:szCs w:val="24"/>
          <w:lang w:val="en-GB"/>
        </w:rPr>
        <w:t>plasma reference standard 20/130 was used as a positive control on all the plates with a control range of (</w:t>
      </w:r>
      <w:r w:rsidR="00227195" w:rsidRPr="00940192">
        <w:rPr>
          <w:b/>
          <w:bCs/>
          <w:szCs w:val="24"/>
          <w:lang w:val="en-IN"/>
        </w:rPr>
        <w:t>8151</w:t>
      </w:r>
      <w:r w:rsidR="00227195" w:rsidRPr="00940192">
        <w:rPr>
          <w:szCs w:val="24"/>
          <w:lang w:val="en-IN"/>
        </w:rPr>
        <w:t xml:space="preserve"> to </w:t>
      </w:r>
      <w:r w:rsidR="00227195" w:rsidRPr="00940192">
        <w:rPr>
          <w:b/>
          <w:bCs/>
          <w:szCs w:val="24"/>
          <w:lang w:val="en-IN"/>
        </w:rPr>
        <w:t>15137</w:t>
      </w:r>
      <w:r w:rsidR="00227195" w:rsidRPr="00940192">
        <w:rPr>
          <w:szCs w:val="24"/>
          <w:lang w:val="en-IN"/>
        </w:rPr>
        <w:t xml:space="preserve"> </w:t>
      </w:r>
      <w:r w:rsidRPr="00940192">
        <w:rPr>
          <w:szCs w:val="24"/>
          <w:lang w:val="en-GB"/>
        </w:rPr>
        <w:t>EU/mL) for validity consideration</w:t>
      </w:r>
      <w:r w:rsidR="001A3451" w:rsidRPr="00940192">
        <w:rPr>
          <w:szCs w:val="24"/>
          <w:lang w:val="en-GB"/>
        </w:rPr>
        <w:fldChar w:fldCharType="begin"/>
      </w:r>
      <w:r w:rsidR="00112728" w:rsidRPr="00940192">
        <w:rPr>
          <w:szCs w:val="24"/>
          <w:lang w:val="en-GB"/>
        </w:rPr>
        <w:instrText xml:space="preserve"> ADDIN EN.CITE &lt;EndNote&gt;&lt;Cite&gt;&lt;Author&gt;NIBSC&lt;/Author&gt;&lt;RecNum&gt;5446&lt;/RecNum&gt;&lt;DisplayText&gt;&lt;style face="superscript"&gt;1&lt;/style&gt;&lt;/DisplayText&gt;&lt;record&gt;&lt;rec-number&gt;5446&lt;/rec-number&gt;&lt;foreign-keys&gt;&lt;key app="EN" db-id="xf55vvz2df590tepzscvfsr10exf5pvww2zz" timestamp="1643964534" guid="eae69788-0c68-4dd8-b1bd-c1e3d388e107"&gt;5446&lt;/key&gt;&lt;/foreign-keys&gt;&lt;ref-type name="Pamphlet"&gt;24&lt;/ref-type&gt;&lt;contributors&gt;&lt;authors&gt;&lt;author&gt;NIBSC&lt;/author&gt;&lt;/authors&gt;&lt;/contributors&gt;&lt;titles&gt;&lt;title&gt;Data Sheet -Research reagent for anti-SARS-CoV-2 Ab NIBSC code 20/130&lt;/title&gt;&lt;/titles&gt;&lt;dates&gt;&lt;/dates&gt;&lt;urls&gt;&lt;related-urls&gt;&lt;url&gt;https://www.nibsc.org/documents/ifu/20-130.pdf&lt;/url&gt;&lt;/related-urls&gt;&lt;/urls&gt;&lt;/record&gt;&lt;/Cite&gt;&lt;/EndNote&gt;</w:instrText>
      </w:r>
      <w:r w:rsidR="001A3451" w:rsidRPr="00940192">
        <w:rPr>
          <w:szCs w:val="24"/>
          <w:lang w:val="en-GB"/>
        </w:rPr>
        <w:fldChar w:fldCharType="separate"/>
      </w:r>
      <w:r w:rsidR="00112728" w:rsidRPr="00940192">
        <w:rPr>
          <w:noProof/>
          <w:szCs w:val="24"/>
          <w:vertAlign w:val="superscript"/>
          <w:lang w:val="en-GB"/>
        </w:rPr>
        <w:t>1</w:t>
      </w:r>
      <w:r w:rsidR="001A3451" w:rsidRPr="00940192">
        <w:rPr>
          <w:szCs w:val="24"/>
          <w:lang w:val="en-GB"/>
        </w:rPr>
        <w:fldChar w:fldCharType="end"/>
      </w:r>
      <w:r w:rsidRPr="00940192">
        <w:rPr>
          <w:szCs w:val="24"/>
          <w:lang w:val="en-GB"/>
        </w:rPr>
        <w:t>. Geometric means were calculated for various subject cohorts at specific time-points and fold</w:t>
      </w:r>
      <w:r w:rsidR="00656560" w:rsidRPr="00940192">
        <w:rPr>
          <w:szCs w:val="24"/>
          <w:lang w:val="en-GB"/>
        </w:rPr>
        <w:t xml:space="preserve"> rise</w:t>
      </w:r>
      <w:r w:rsidRPr="00940192">
        <w:rPr>
          <w:szCs w:val="24"/>
          <w:lang w:val="en-GB"/>
        </w:rPr>
        <w:t xml:space="preserve"> in anti-RBD concentrations for all time-points post start of vaccination were calculated in relation to the pre-vaccination concentrations and then </w:t>
      </w:r>
      <w:r w:rsidR="009A543D" w:rsidRPr="00940192">
        <w:rPr>
          <w:szCs w:val="24"/>
          <w:lang w:val="en-GB"/>
        </w:rPr>
        <w:t>geometric mean fold rise</w:t>
      </w:r>
      <w:r w:rsidRPr="00940192">
        <w:rPr>
          <w:szCs w:val="24"/>
          <w:lang w:val="en-GB"/>
        </w:rPr>
        <w:t xml:space="preserve"> (GMFR) were calculated for each cohort. </w:t>
      </w:r>
    </w:p>
    <w:p w14:paraId="4437987D" w14:textId="5BC53FEF" w:rsidR="00F71314" w:rsidRPr="00940192" w:rsidRDefault="00F71314" w:rsidP="00F71314">
      <w:pPr>
        <w:pStyle w:val="BodyText12"/>
        <w:numPr>
          <w:ilvl w:val="0"/>
          <w:numId w:val="1"/>
        </w:numPr>
        <w:spacing w:line="480" w:lineRule="auto"/>
        <w:rPr>
          <w:szCs w:val="24"/>
          <w:lang w:val="en-GB"/>
        </w:rPr>
      </w:pPr>
      <w:r w:rsidRPr="00940192">
        <w:rPr>
          <w:szCs w:val="24"/>
          <w:lang w:val="en-GB"/>
        </w:rPr>
        <w:t xml:space="preserve">Anti-RBD IgG subclass response: Anti-RBD IgG1 and IgG4 subclass </w:t>
      </w:r>
      <w:proofErr w:type="spellStart"/>
      <w:r w:rsidRPr="00940192">
        <w:rPr>
          <w:szCs w:val="24"/>
          <w:lang w:val="en-GB"/>
        </w:rPr>
        <w:t>titers</w:t>
      </w:r>
      <w:proofErr w:type="spellEnd"/>
      <w:r w:rsidRPr="00940192">
        <w:rPr>
          <w:szCs w:val="24"/>
          <w:lang w:val="en-GB"/>
        </w:rPr>
        <w:t xml:space="preserve"> were measured in the sera samples at pre-vaccination (Day-0), post first dose (Day-28) and at multiple time-points post second dose (Day-42, Day-56) using a validated ELISA method executed at </w:t>
      </w:r>
      <w:proofErr w:type="spellStart"/>
      <w:r w:rsidRPr="00940192">
        <w:rPr>
          <w:szCs w:val="24"/>
          <w:lang w:val="en-GB"/>
        </w:rPr>
        <w:t>Dang’s</w:t>
      </w:r>
      <w:proofErr w:type="spellEnd"/>
      <w:r w:rsidRPr="00940192">
        <w:rPr>
          <w:szCs w:val="24"/>
          <w:lang w:val="en-GB"/>
        </w:rPr>
        <w:t xml:space="preserve"> Lab, New Delhi, India. A pool of sera was prepared with very low anti-RBD IgG concentration from pre-vaccination samples and the threshold ELISA OD for assignment of tit</w:t>
      </w:r>
      <w:r w:rsidR="00AA2EF8" w:rsidRPr="00940192">
        <w:rPr>
          <w:szCs w:val="24"/>
          <w:lang w:val="en-GB"/>
        </w:rPr>
        <w:t>er</w:t>
      </w:r>
      <w:r w:rsidRPr="00940192">
        <w:rPr>
          <w:szCs w:val="24"/>
          <w:lang w:val="en-GB"/>
        </w:rPr>
        <w:t xml:space="preserve"> was calculated as </w:t>
      </w:r>
      <w:r w:rsidR="009A543D" w:rsidRPr="00940192">
        <w:rPr>
          <w:szCs w:val="24"/>
          <w:lang w:val="en-GB"/>
        </w:rPr>
        <w:t>threshold OD</w:t>
      </w:r>
      <w:r w:rsidRPr="00940192">
        <w:rPr>
          <w:szCs w:val="24"/>
          <w:lang w:val="en-GB"/>
        </w:rPr>
        <w:t xml:space="preserve"> = Average of blank pool OD + 5.56*standard deviation. Each sera sample was tested as a series of two-fold dilutions (starting from 50-Fold) and the dilution that resulted in OD higher than the threshold OD was assigned as the IgG1 or IgG4 titer. Geometric means were calculated for various subject cohorts at specific time-points and fold</w:t>
      </w:r>
      <w:r w:rsidR="00656560" w:rsidRPr="00940192">
        <w:rPr>
          <w:szCs w:val="24"/>
          <w:lang w:val="en-GB"/>
        </w:rPr>
        <w:t xml:space="preserve"> rise</w:t>
      </w:r>
      <w:r w:rsidRPr="00940192">
        <w:rPr>
          <w:szCs w:val="24"/>
          <w:lang w:val="en-GB"/>
        </w:rPr>
        <w:t xml:space="preserve"> and GMFR in anti-RBD IgG1 and IgG4 </w:t>
      </w:r>
      <w:proofErr w:type="spellStart"/>
      <w:r w:rsidRPr="00940192">
        <w:rPr>
          <w:szCs w:val="24"/>
          <w:lang w:val="en-GB"/>
        </w:rPr>
        <w:t>titers</w:t>
      </w:r>
      <w:proofErr w:type="spellEnd"/>
      <w:r w:rsidRPr="00940192">
        <w:rPr>
          <w:szCs w:val="24"/>
          <w:lang w:val="en-GB"/>
        </w:rPr>
        <w:t xml:space="preserve"> for all time-points post vaccination were calculated in relation to the pre-vaccination </w:t>
      </w:r>
      <w:proofErr w:type="spellStart"/>
      <w:r w:rsidRPr="00940192">
        <w:rPr>
          <w:szCs w:val="24"/>
          <w:lang w:val="en-GB"/>
        </w:rPr>
        <w:t>titers</w:t>
      </w:r>
      <w:proofErr w:type="spellEnd"/>
      <w:r w:rsidRPr="00940192">
        <w:rPr>
          <w:szCs w:val="24"/>
          <w:lang w:val="en-GB"/>
        </w:rPr>
        <w:t xml:space="preserve">. </w:t>
      </w:r>
    </w:p>
    <w:p w14:paraId="70C927B3" w14:textId="77777777" w:rsidR="00674F5C" w:rsidRDefault="00F71314" w:rsidP="00680B0D">
      <w:pPr>
        <w:pStyle w:val="BodyText12"/>
        <w:numPr>
          <w:ilvl w:val="0"/>
          <w:numId w:val="1"/>
        </w:numPr>
        <w:spacing w:line="480" w:lineRule="auto"/>
        <w:rPr>
          <w:szCs w:val="24"/>
        </w:rPr>
      </w:pPr>
      <w:r w:rsidRPr="00674F5C">
        <w:rPr>
          <w:szCs w:val="24"/>
          <w:lang w:val="en-GB"/>
        </w:rPr>
        <w:t xml:space="preserve">SARS-COV-2 Virus Neutralization: SARS-COV-2 neutralizing antibody </w:t>
      </w:r>
      <w:proofErr w:type="spellStart"/>
      <w:r w:rsidRPr="00674F5C">
        <w:rPr>
          <w:szCs w:val="24"/>
          <w:lang w:val="en-GB"/>
        </w:rPr>
        <w:t>titers</w:t>
      </w:r>
      <w:proofErr w:type="spellEnd"/>
      <w:r w:rsidRPr="00674F5C">
        <w:rPr>
          <w:szCs w:val="24"/>
          <w:lang w:val="en-GB"/>
        </w:rPr>
        <w:t xml:space="preserve"> (</w:t>
      </w:r>
      <w:proofErr w:type="spellStart"/>
      <w:r w:rsidRPr="00674F5C">
        <w:rPr>
          <w:szCs w:val="24"/>
          <w:lang w:val="en-GB"/>
        </w:rPr>
        <w:t>nAb</w:t>
      </w:r>
      <w:proofErr w:type="spellEnd"/>
      <w:r w:rsidRPr="00674F5C">
        <w:rPr>
          <w:szCs w:val="24"/>
          <w:lang w:val="en-GB"/>
        </w:rPr>
        <w:t xml:space="preserve"> </w:t>
      </w:r>
      <w:proofErr w:type="spellStart"/>
      <w:r w:rsidRPr="00674F5C">
        <w:rPr>
          <w:szCs w:val="24"/>
          <w:lang w:val="en-GB"/>
        </w:rPr>
        <w:t>titers</w:t>
      </w:r>
      <w:proofErr w:type="spellEnd"/>
      <w:r w:rsidRPr="00674F5C">
        <w:rPr>
          <w:szCs w:val="24"/>
          <w:lang w:val="en-GB"/>
        </w:rPr>
        <w:t xml:space="preserve">) were measured via </w:t>
      </w:r>
      <w:r w:rsidR="006B1CCA" w:rsidRPr="00674F5C">
        <w:rPr>
          <w:szCs w:val="24"/>
          <w:lang w:val="en-GB"/>
        </w:rPr>
        <w:t>2</w:t>
      </w:r>
      <w:r w:rsidRPr="00674F5C">
        <w:rPr>
          <w:szCs w:val="24"/>
          <w:lang w:val="en-GB"/>
        </w:rPr>
        <w:t xml:space="preserve"> different methods</w:t>
      </w:r>
      <w:r w:rsidR="00D40189" w:rsidRPr="00674F5C">
        <w:rPr>
          <w:szCs w:val="24"/>
          <w:lang w:val="en-GB"/>
        </w:rPr>
        <w:fldChar w:fldCharType="begin"/>
      </w:r>
      <w:r w:rsidR="00D40189" w:rsidRPr="00674F5C">
        <w:rPr>
          <w:szCs w:val="24"/>
          <w:lang w:val="en-GB"/>
        </w:rPr>
        <w:instrText xml:space="preserve"> ADDIN EN.CITE &lt;EndNote&gt;&lt;Cite&gt;&lt;Author&gt;Bewley&lt;/Author&gt;&lt;Year&gt;2021&lt;/Year&gt;&lt;RecNum&gt;2537&lt;/RecNum&gt;&lt;DisplayText&gt;&lt;style face="superscript"&gt;2&lt;/style&gt;&lt;/DisplayText&gt;&lt;record&gt;&lt;rec-number&gt;2537&lt;/rec-number&gt;&lt;foreign-keys&gt;&lt;key app="EN" db-id="xf55vvz2df590tepzscvfsr10exf5pvww2zz" timestamp="1643093774" guid="57a8f45f-56bd-4b92-99b3-ef138950bdda"&gt;2537&lt;/key&gt;&lt;/foreign-keys&gt;&lt;ref-type name="Journal Article"&gt;17&lt;/ref-type&gt;&lt;contributors&gt;&lt;authors&gt;&lt;author&gt;Bewley, Kevin R.&lt;/author&gt;&lt;author&gt;Coombes, Naomi S.&lt;/author&gt;&lt;author&gt;Gagnon, Luc&lt;/author&gt;&lt;author&gt;McInroy, Lorna&lt;/author&gt;&lt;author&gt;Baker, Natalie&lt;/author&gt;&lt;author&gt;Shaik, Imam&lt;/author&gt;&lt;author&gt;St-Jean, Julien R.&lt;/author&gt;&lt;author&gt;St-Amant, Natalie&lt;/author&gt;&lt;author&gt;Buttigieg, Karen R.&lt;/author&gt;&lt;author&gt;Humphries, Holly E.&lt;/author&gt;&lt;author&gt;Godwin, Kerry J.&lt;/author&gt;&lt;author&gt;Brunt, Emily&lt;/author&gt;&lt;author&gt;Allen, Lauren&lt;/author&gt;&lt;author&gt;Leung, Stephanie&lt;/author&gt;&lt;author&gt;Brown, Phillip J.&lt;/author&gt;&lt;author&gt;Penn, Elizabeth J.&lt;/author&gt;&lt;author&gt;Thomas, Kelly&lt;/author&gt;&lt;author&gt;Kulnis, Greg&lt;/author&gt;&lt;author&gt;Hallis, Bassam&lt;/author&gt;&lt;author&gt;Carroll, Miles&lt;/author&gt;&lt;author&gt;Funnell, Simon&lt;/author&gt;&lt;author&gt;Charlton, Sue&lt;/author&gt;&lt;/authors&gt;&lt;/contributors&gt;&lt;titles&gt;&lt;title&gt;Quantification of SARS-CoV-2 neutralizing antibody by wild-type plaque reduction neutralization, microneutralization and pseudotyped virus neutralization assays&lt;/title&gt;&lt;secondary-title&gt;Nature Protocols&lt;/secondary-title&gt;&lt;/titles&gt;&lt;periodical&gt;&lt;full-title&gt;Nature Protocols&lt;/full-title&gt;&lt;abbr-1&gt;Nat. Protoc.&lt;/abbr-1&gt;&lt;abbr-2&gt;Nat Protoc&lt;/abbr-2&gt;&lt;/periodical&gt;&lt;pages&gt;3114-3140&lt;/pages&gt;&lt;volume&gt;16&lt;/volume&gt;&lt;number&gt;6&lt;/number&gt;&lt;dates&gt;&lt;year&gt;2021&lt;/year&gt;&lt;pub-dates&gt;&lt;date&gt;2021/06/01&lt;/date&gt;&lt;/pub-dates&gt;&lt;/dates&gt;&lt;isbn&gt;1750-2799&lt;/isbn&gt;&lt;urls&gt;&lt;related-urls&gt;&lt;url&gt;https://doi.org/10.1038/s41596-021-00536-y&lt;/url&gt;&lt;/related-urls&gt;&lt;/urls&gt;&lt;electronic-resource-num&gt;10.1038/s41596-021-00536-y&lt;/electronic-resource-num&gt;&lt;/record&gt;&lt;/Cite&gt;&lt;/EndNote&gt;</w:instrText>
      </w:r>
      <w:r w:rsidR="00D40189" w:rsidRPr="00674F5C">
        <w:rPr>
          <w:szCs w:val="24"/>
          <w:lang w:val="en-GB"/>
        </w:rPr>
        <w:fldChar w:fldCharType="separate"/>
      </w:r>
      <w:r w:rsidR="00D40189" w:rsidRPr="00674F5C">
        <w:rPr>
          <w:noProof/>
          <w:szCs w:val="24"/>
          <w:vertAlign w:val="superscript"/>
          <w:lang w:val="en-GB"/>
        </w:rPr>
        <w:t>2</w:t>
      </w:r>
      <w:r w:rsidR="00D40189" w:rsidRPr="00674F5C">
        <w:rPr>
          <w:szCs w:val="24"/>
          <w:lang w:val="en-GB"/>
        </w:rPr>
        <w:fldChar w:fldCharType="end"/>
      </w:r>
      <w:r w:rsidRPr="00674F5C">
        <w:rPr>
          <w:szCs w:val="24"/>
          <w:lang w:val="en-GB"/>
        </w:rPr>
        <w:t xml:space="preserve">. </w:t>
      </w:r>
      <w:r w:rsidR="00BD1B9E" w:rsidRPr="00674F5C">
        <w:rPr>
          <w:szCs w:val="24"/>
          <w:lang w:val="en-GB"/>
        </w:rPr>
        <w:t>Microneutralization Assay (MNA)</w:t>
      </w:r>
      <w:r w:rsidRPr="00674F5C">
        <w:rPr>
          <w:szCs w:val="24"/>
          <w:lang w:val="en-GB"/>
        </w:rPr>
        <w:t xml:space="preserve"> was employed using Wild-Type SARS-COV-2 strain (Victoria isolate 01/2020). Pseudo virus Neutralization Assay was employed using Vascular </w:t>
      </w:r>
      <w:proofErr w:type="spellStart"/>
      <w:r w:rsidRPr="00674F5C">
        <w:rPr>
          <w:szCs w:val="24"/>
          <w:lang w:val="en-GB"/>
        </w:rPr>
        <w:t>Stomatis</w:t>
      </w:r>
      <w:proofErr w:type="spellEnd"/>
      <w:r w:rsidRPr="00674F5C">
        <w:rPr>
          <w:szCs w:val="24"/>
          <w:lang w:val="en-GB"/>
        </w:rPr>
        <w:t xml:space="preserve"> Virus expressing the SARS-COV-2 Spike protein and reporter gene Luciferase. The MNA was conducted at </w:t>
      </w:r>
      <w:r w:rsidR="00BD1B9E" w:rsidRPr="00674F5C">
        <w:rPr>
          <w:szCs w:val="24"/>
        </w:rPr>
        <w:t>Translational Health Science and Technology Institute (</w:t>
      </w:r>
      <w:r w:rsidRPr="00674F5C">
        <w:rPr>
          <w:szCs w:val="24"/>
          <w:lang w:val="en-GB"/>
        </w:rPr>
        <w:t>THSTI</w:t>
      </w:r>
      <w:r w:rsidR="00BD1B9E" w:rsidRPr="00674F5C">
        <w:rPr>
          <w:szCs w:val="24"/>
          <w:lang w:val="en-GB"/>
        </w:rPr>
        <w:t>)</w:t>
      </w:r>
      <w:r w:rsidRPr="00674F5C">
        <w:rPr>
          <w:szCs w:val="24"/>
          <w:lang w:val="en-GB"/>
        </w:rPr>
        <w:t xml:space="preserve">, Faridabad, India and PNA was conducted at </w:t>
      </w:r>
      <w:r w:rsidR="00870D10" w:rsidRPr="00674F5C">
        <w:rPr>
          <w:szCs w:val="24"/>
          <w:lang w:val="en-GB"/>
        </w:rPr>
        <w:t>NEXELIS</w:t>
      </w:r>
      <w:r w:rsidRPr="00674F5C">
        <w:rPr>
          <w:szCs w:val="24"/>
          <w:lang w:val="en-GB"/>
        </w:rPr>
        <w:t xml:space="preserve">, Quebec, Canada; both are </w:t>
      </w:r>
      <w:r w:rsidR="00152E29" w:rsidRPr="00674F5C">
        <w:rPr>
          <w:szCs w:val="24"/>
        </w:rPr>
        <w:t>Coalition for Epidemic Preparedness Innovation</w:t>
      </w:r>
      <w:r w:rsidR="00152E29" w:rsidRPr="00674F5C">
        <w:rPr>
          <w:szCs w:val="24"/>
          <w:lang w:val="en-GB"/>
        </w:rPr>
        <w:t xml:space="preserve"> (</w:t>
      </w:r>
      <w:r w:rsidRPr="00674F5C">
        <w:rPr>
          <w:szCs w:val="24"/>
          <w:lang w:val="en-GB"/>
        </w:rPr>
        <w:t>CEPI-network</w:t>
      </w:r>
      <w:r w:rsidR="00152E29" w:rsidRPr="00674F5C">
        <w:rPr>
          <w:szCs w:val="24"/>
          <w:lang w:val="en-GB"/>
        </w:rPr>
        <w:t>)</w:t>
      </w:r>
      <w:r w:rsidRPr="00674F5C">
        <w:rPr>
          <w:szCs w:val="24"/>
          <w:lang w:val="en-GB"/>
        </w:rPr>
        <w:t xml:space="preserve"> labs. The nAb testing was conducted as per methods described previously</w:t>
      </w:r>
      <w:r w:rsidR="00165FA5" w:rsidRPr="00674F5C">
        <w:rPr>
          <w:szCs w:val="24"/>
          <w:lang w:val="en-GB"/>
        </w:rPr>
        <w:fldChar w:fldCharType="begin"/>
      </w:r>
      <w:r w:rsidR="00165FA5" w:rsidRPr="00674F5C">
        <w:rPr>
          <w:szCs w:val="24"/>
          <w:lang w:val="en-GB"/>
        </w:rPr>
        <w:instrText xml:space="preserve"> ADDIN EN.CITE &lt;EndNote&gt;&lt;Cite&gt;&lt;Author&gt;Bewley&lt;/Author&gt;&lt;Year&gt;2021&lt;/Year&gt;&lt;RecNum&gt;2537&lt;/RecNum&gt;&lt;DisplayText&gt;&lt;style face="superscript"&gt;2&lt;/style&gt;&lt;/DisplayText&gt;&lt;record&gt;&lt;rec-number&gt;2537&lt;/rec-number&gt;&lt;foreign-keys&gt;&lt;key app="EN" db-id="xf55vvz2df590tepzscvfsr10exf5pvww2zz" timestamp="1643093774" guid="57a8f45f-56bd-4b92-99b3-ef138950bdda"&gt;2537&lt;/key&gt;&lt;/foreign-keys&gt;&lt;ref-type name="Journal Article"&gt;17&lt;/ref-type&gt;&lt;contributors&gt;&lt;authors&gt;&lt;author&gt;Bewley, Kevin R.&lt;/author&gt;&lt;author&gt;Coombes, Naomi S.&lt;/author&gt;&lt;author&gt;Gagnon, Luc&lt;/author&gt;&lt;author&gt;McInroy, Lorna&lt;/author&gt;&lt;author&gt;Baker, Natalie&lt;/author&gt;&lt;author&gt;Shaik, Imam&lt;/author&gt;&lt;author&gt;St-Jean, Julien R.&lt;/author&gt;&lt;author&gt;St-Amant, Natalie&lt;/author&gt;&lt;author&gt;Buttigieg, Karen R.&lt;/author&gt;&lt;author&gt;Humphries, Holly E.&lt;/author&gt;&lt;author&gt;Godwin, Kerry J.&lt;/author&gt;&lt;author&gt;Brunt, Emily&lt;/author&gt;&lt;author&gt;Allen, Lauren&lt;/author&gt;&lt;author&gt;Leung, Stephanie&lt;/author&gt;&lt;author&gt;Brown, Phillip J.&lt;/author&gt;&lt;author&gt;Penn, Elizabeth J.&lt;/author&gt;&lt;author&gt;Thomas, Kelly&lt;/author&gt;&lt;author&gt;Kulnis, Greg&lt;/author&gt;&lt;author&gt;Hallis, Bassam&lt;/author&gt;&lt;author&gt;Carroll, Miles&lt;/author&gt;&lt;author&gt;Funnell, Simon&lt;/author&gt;&lt;author&gt;Charlton, Sue&lt;/author&gt;&lt;/authors&gt;&lt;/contributors&gt;&lt;titles&gt;&lt;title&gt;Quantification of SARS-CoV-2 neutralizing antibody by wild-type plaque reduction neutralization, microneutralization and pseudotyped virus neutralization assays&lt;/title&gt;&lt;secondary-title&gt;Nature Protocols&lt;/secondary-title&gt;&lt;/titles&gt;&lt;periodical&gt;&lt;full-title&gt;Nature Protocols&lt;/full-title&gt;&lt;abbr-1&gt;Nat. Protoc.&lt;/abbr-1&gt;&lt;abbr-2&gt;Nat Protoc&lt;/abbr-2&gt;&lt;/periodical&gt;&lt;pages&gt;3114-3140&lt;/pages&gt;&lt;volume&gt;16&lt;/volume&gt;&lt;number&gt;6&lt;/number&gt;&lt;dates&gt;&lt;year&gt;2021&lt;/year&gt;&lt;pub-dates&gt;&lt;date&gt;2021/06/01&lt;/date&gt;&lt;/pub-dates&gt;&lt;/dates&gt;&lt;isbn&gt;1750-2799&lt;/isbn&gt;&lt;urls&gt;&lt;related-urls&gt;&lt;url&gt;https://doi.org/10.1038/s41596-021-00536-y&lt;/url&gt;&lt;/related-urls&gt;&lt;/urls&gt;&lt;electronic-resource-num&gt;10.1038/s41596-021-00536-y&lt;/electronic-resource-num&gt;&lt;/record&gt;&lt;/Cite&gt;&lt;/EndNote&gt;</w:instrText>
      </w:r>
      <w:r w:rsidR="00165FA5" w:rsidRPr="00674F5C">
        <w:rPr>
          <w:szCs w:val="24"/>
          <w:lang w:val="en-GB"/>
        </w:rPr>
        <w:fldChar w:fldCharType="separate"/>
      </w:r>
      <w:r w:rsidR="00165FA5" w:rsidRPr="00674F5C">
        <w:rPr>
          <w:noProof/>
          <w:szCs w:val="24"/>
          <w:vertAlign w:val="superscript"/>
          <w:lang w:val="en-GB"/>
        </w:rPr>
        <w:t>2</w:t>
      </w:r>
      <w:r w:rsidR="00165FA5" w:rsidRPr="00674F5C">
        <w:rPr>
          <w:szCs w:val="24"/>
          <w:lang w:val="en-GB"/>
        </w:rPr>
        <w:fldChar w:fldCharType="end"/>
      </w:r>
      <w:r w:rsidRPr="00674F5C">
        <w:rPr>
          <w:szCs w:val="24"/>
          <w:lang w:val="en-GB"/>
        </w:rPr>
        <w:t>. Conversion factors have been established by both the laboratories to enable conversion of the Neutralization Titer (NT</w:t>
      </w:r>
      <w:r w:rsidRPr="00674F5C">
        <w:rPr>
          <w:szCs w:val="24"/>
          <w:vertAlign w:val="subscript"/>
          <w:lang w:val="en-GB"/>
        </w:rPr>
        <w:t>50</w:t>
      </w:r>
      <w:r w:rsidRPr="00674F5C">
        <w:rPr>
          <w:szCs w:val="24"/>
          <w:lang w:val="en-GB"/>
        </w:rPr>
        <w:t>) values to WHO-International Standard (NIBSC-20/136) and report the (NT</w:t>
      </w:r>
      <w:r w:rsidRPr="00674F5C">
        <w:rPr>
          <w:szCs w:val="24"/>
          <w:vertAlign w:val="subscript"/>
          <w:lang w:val="en-GB"/>
        </w:rPr>
        <w:t>50</w:t>
      </w:r>
      <w:r w:rsidRPr="00674F5C">
        <w:rPr>
          <w:szCs w:val="24"/>
          <w:lang w:val="en-GB"/>
        </w:rPr>
        <w:t xml:space="preserve"> values in International Units/mL</w:t>
      </w:r>
      <w:r w:rsidR="00FF6539" w:rsidRPr="00674F5C">
        <w:rPr>
          <w:szCs w:val="24"/>
          <w:lang w:val="en-GB"/>
        </w:rPr>
        <w:fldChar w:fldCharType="begin"/>
      </w:r>
      <w:r w:rsidR="00FF6539" w:rsidRPr="00674F5C">
        <w:rPr>
          <w:szCs w:val="24"/>
          <w:lang w:val="en-GB"/>
        </w:rPr>
        <w:instrText xml:space="preserve"> ADDIN EN.CITE &lt;EndNote&gt;&lt;Cite&gt;&lt;Author&gt;Mattiuzzo&lt;/Author&gt;&lt;Year&gt;2020&lt;/Year&gt;&lt;RecNum&gt;5986&lt;/RecNum&gt;&lt;DisplayText&gt;&lt;style face="superscript"&gt;3&lt;/style&gt;&lt;/DisplayText&gt;&lt;record&gt;&lt;rec-number&gt;5986&lt;/rec-number&gt;&lt;foreign-keys&gt;&lt;key app="EN" db-id="xf55vvz2df590tepzscvfsr10exf5pvww2zz" timestamp="1643970882" guid="aa547a55-5bb7-4a9b-9cfd-9fc9374cd39e"&gt;5986&lt;/key&gt;&lt;/foreign-keys&gt;&lt;ref-type name="Journal Article"&gt;17&lt;/ref-type&gt;&lt;contributors&gt;&lt;authors&gt;&lt;author&gt;Mattiuzzo, Giada&lt;/author&gt;&lt;author&gt;Bentley, Emma M.&lt;/author&gt;&lt;author&gt;Hassall, Mark&lt;/author&gt;&lt;author&gt;Routley, Stephanie&lt;/author&gt;&lt;author&gt;Richardson, S.&lt;/author&gt;&lt;author&gt;Bernasconi, V.&lt;/author&gt;&lt;author&gt;Kristiansen, P.&lt;/author&gt;&lt;author&gt;Harvala, H.&lt;/author&gt;&lt;author&gt;Roberts, D.&lt;/author&gt;&lt;author&gt;Semple, M. G.&lt;/author&gt;&lt;author&gt;Others,&lt;/author&gt;&lt;/authors&gt;&lt;/contributors&gt;&lt;titles&gt;&lt;title&gt;Establishment of the WHO International Standard and Reference Panel for anti-SARS-CoV-2 antibody&lt;/title&gt;&lt;secondary-title&gt;World Health Organization&lt;/secondary-title&gt;&lt;/titles&gt;&lt;periodical&gt;&lt;full-title&gt;World Health Organization&lt;/full-title&gt;&lt;/periodical&gt;&lt;volume&gt;60&lt;/volume&gt;&lt;dates&gt;&lt;year&gt;2020&lt;/year&gt;&lt;pub-dates&gt;&lt;date&gt;2020&lt;/date&gt;&lt;/pub-dates&gt;&lt;/dates&gt;&lt;urls&gt;&lt;related-urls&gt;&lt;url&gt;https://cdn.who.int/media/docs/default-source/biologicals/ecbs/bs-2020-2403-sars-cov-2-ab-ik-17-nov-2020_4ef4fdae-e1ce-4ba7-b21a-d725c68b152b.pdf?sfvrsn=662b46ae_8&amp;amp;download=true&lt;/url&gt;&lt;/related-urls&gt;&lt;/urls&gt;&lt;/record&gt;&lt;/Cite&gt;&lt;/EndNote&gt;</w:instrText>
      </w:r>
      <w:r w:rsidR="00FF6539" w:rsidRPr="00674F5C">
        <w:rPr>
          <w:szCs w:val="24"/>
          <w:lang w:val="en-GB"/>
        </w:rPr>
        <w:fldChar w:fldCharType="separate"/>
      </w:r>
      <w:r w:rsidR="00FF6539" w:rsidRPr="00674F5C">
        <w:rPr>
          <w:noProof/>
          <w:szCs w:val="24"/>
          <w:vertAlign w:val="superscript"/>
          <w:lang w:val="en-GB"/>
        </w:rPr>
        <w:t>3</w:t>
      </w:r>
      <w:r w:rsidR="00FF6539" w:rsidRPr="00674F5C">
        <w:rPr>
          <w:szCs w:val="24"/>
          <w:lang w:val="en-GB"/>
        </w:rPr>
        <w:fldChar w:fldCharType="end"/>
      </w:r>
      <w:r w:rsidRPr="00674F5C">
        <w:rPr>
          <w:szCs w:val="24"/>
          <w:lang w:val="en-GB"/>
        </w:rPr>
        <w:t xml:space="preserve">. MNA values were divided by 4.064 and PNA values were divided by 1.875 to obtain the </w:t>
      </w:r>
      <w:proofErr w:type="spellStart"/>
      <w:r w:rsidRPr="00674F5C">
        <w:rPr>
          <w:szCs w:val="24"/>
          <w:lang w:val="en-GB"/>
        </w:rPr>
        <w:t>tit</w:t>
      </w:r>
      <w:r w:rsidR="00AA2EF8" w:rsidRPr="00674F5C">
        <w:rPr>
          <w:szCs w:val="24"/>
          <w:lang w:val="en-GB"/>
        </w:rPr>
        <w:t>ers</w:t>
      </w:r>
      <w:proofErr w:type="spellEnd"/>
      <w:r w:rsidRPr="00674F5C">
        <w:rPr>
          <w:szCs w:val="24"/>
          <w:lang w:val="en-GB"/>
        </w:rPr>
        <w:t xml:space="preserve"> in IU/mL when required for comparison. Geometric mean </w:t>
      </w:r>
      <w:proofErr w:type="spellStart"/>
      <w:r w:rsidRPr="00674F5C">
        <w:rPr>
          <w:szCs w:val="24"/>
          <w:lang w:val="en-GB"/>
        </w:rPr>
        <w:t>tit</w:t>
      </w:r>
      <w:r w:rsidR="00002EDB" w:rsidRPr="00674F5C">
        <w:rPr>
          <w:szCs w:val="24"/>
          <w:lang w:val="en-GB"/>
        </w:rPr>
        <w:t>ers</w:t>
      </w:r>
      <w:proofErr w:type="spellEnd"/>
      <w:r w:rsidRPr="00674F5C">
        <w:rPr>
          <w:szCs w:val="24"/>
          <w:lang w:val="en-GB"/>
        </w:rPr>
        <w:t xml:space="preserve"> were calculated at scheduled time</w:t>
      </w:r>
      <w:r w:rsidR="00AA2EF8" w:rsidRPr="00674F5C">
        <w:rPr>
          <w:szCs w:val="24"/>
          <w:lang w:val="en-GB"/>
        </w:rPr>
        <w:t>-points</w:t>
      </w:r>
      <w:r w:rsidRPr="00674F5C">
        <w:rPr>
          <w:szCs w:val="24"/>
          <w:lang w:val="en-GB"/>
        </w:rPr>
        <w:t xml:space="preserve"> and </w:t>
      </w:r>
      <w:r w:rsidR="009A543D" w:rsidRPr="00674F5C">
        <w:rPr>
          <w:szCs w:val="24"/>
          <w:lang w:val="en-GB"/>
        </w:rPr>
        <w:t xml:space="preserve">fold </w:t>
      </w:r>
      <w:r w:rsidR="00656560" w:rsidRPr="00674F5C">
        <w:rPr>
          <w:szCs w:val="24"/>
          <w:lang w:val="en-GB"/>
        </w:rPr>
        <w:t>Rise</w:t>
      </w:r>
      <w:r w:rsidRPr="00674F5C">
        <w:rPr>
          <w:szCs w:val="24"/>
          <w:lang w:val="en-GB"/>
        </w:rPr>
        <w:t xml:space="preserve"> from the pre-vaccination values were calculated along with G</w:t>
      </w:r>
      <w:r w:rsidR="00DD3543" w:rsidRPr="00674F5C">
        <w:rPr>
          <w:szCs w:val="24"/>
          <w:lang w:val="en-GB"/>
        </w:rPr>
        <w:t>MFR</w:t>
      </w:r>
      <w:r w:rsidRPr="00674F5C">
        <w:rPr>
          <w:szCs w:val="24"/>
          <w:lang w:val="en-GB"/>
        </w:rPr>
        <w:t xml:space="preserve">. Sera samples that did not demonstrate minimum 50% neutralization of the virus at the initial dilution i.e. the of the assay, </w:t>
      </w:r>
      <w:proofErr w:type="spellStart"/>
      <w:r w:rsidRPr="00674F5C">
        <w:rPr>
          <w:szCs w:val="24"/>
          <w:lang w:val="en-GB"/>
        </w:rPr>
        <w:t>tit</w:t>
      </w:r>
      <w:r w:rsidR="00002EDB" w:rsidRPr="00674F5C">
        <w:rPr>
          <w:szCs w:val="24"/>
          <w:lang w:val="en-GB"/>
        </w:rPr>
        <w:t>ers</w:t>
      </w:r>
      <w:proofErr w:type="spellEnd"/>
      <w:r w:rsidRPr="00674F5C">
        <w:rPr>
          <w:szCs w:val="24"/>
          <w:lang w:val="en-GB"/>
        </w:rPr>
        <w:t xml:space="preserve"> were assigned as LLOQ/2. For key GMT/GMC values, 95% Confidence Intervals (95%CI) were also calculated</w:t>
      </w:r>
      <w:r w:rsidRPr="00674F5C">
        <w:rPr>
          <w:szCs w:val="24"/>
        </w:rPr>
        <w:t>. All the subject sera samples were tested for nAb titers using PNA method in Phase I/II and Phase II study. The subjects that had PNA titers below the LLOQ were considered as sero-negative for analysis while subjects with PNA titers above LLOQ were considered as sero-positive for analysis. Seroconversion rate for anti-RBD IgG concentration and nAb titers were calculated as follows: For sero-negative subjects, ≥4</w:t>
      </w:r>
      <w:r w:rsidRPr="00674F5C">
        <w:rPr>
          <w:szCs w:val="24"/>
        </w:rPr>
        <w:noBreakHyphen/>
        <w:t>fold</w:t>
      </w:r>
      <w:r w:rsidR="00656560" w:rsidRPr="00674F5C">
        <w:rPr>
          <w:szCs w:val="24"/>
        </w:rPr>
        <w:t xml:space="preserve"> rise</w:t>
      </w:r>
      <w:r w:rsidRPr="00674F5C">
        <w:rPr>
          <w:szCs w:val="24"/>
        </w:rPr>
        <w:t xml:space="preserve"> in IgG or nAb titers was considered to be seroconverted while for sero-positive subjects, ≥2</w:t>
      </w:r>
      <w:r w:rsidRPr="00674F5C">
        <w:rPr>
          <w:szCs w:val="24"/>
        </w:rPr>
        <w:noBreakHyphen/>
        <w:t xml:space="preserve">fold rise in IgG or nAb titers was considered to be seroconverted. </w:t>
      </w:r>
    </w:p>
    <w:p w14:paraId="2929FAD0" w14:textId="469A7B5B" w:rsidR="00F71314" w:rsidRDefault="00F71314" w:rsidP="00680B0D">
      <w:pPr>
        <w:pStyle w:val="BodyText12"/>
        <w:numPr>
          <w:ilvl w:val="0"/>
          <w:numId w:val="1"/>
        </w:numPr>
        <w:spacing w:line="480" w:lineRule="auto"/>
        <w:rPr>
          <w:szCs w:val="24"/>
        </w:rPr>
      </w:pPr>
      <w:r w:rsidRPr="00674F5C">
        <w:rPr>
          <w:szCs w:val="24"/>
        </w:rPr>
        <w:t>Cellular immune responses were assessed in a subset of subjects in terms of cytokine secretion in TrueCulture</w:t>
      </w:r>
      <w:r w:rsidRPr="00674F5C">
        <w:rPr>
          <w:szCs w:val="24"/>
          <w:vertAlign w:val="superscript"/>
        </w:rPr>
        <w:t>®</w:t>
      </w:r>
      <w:r w:rsidRPr="00674F5C">
        <w:rPr>
          <w:szCs w:val="24"/>
        </w:rPr>
        <w:t xml:space="preserve"> tubes</w:t>
      </w:r>
      <w:r w:rsidR="00662788" w:rsidRPr="00674F5C">
        <w:rPr>
          <w:szCs w:val="24"/>
        </w:rPr>
        <w:fldChar w:fldCharType="begin"/>
      </w:r>
      <w:r w:rsidR="00FF6539" w:rsidRPr="00674F5C">
        <w:rPr>
          <w:szCs w:val="24"/>
        </w:rPr>
        <w:instrText xml:space="preserve"> ADDIN EN.CITE &lt;EndNote&gt;&lt;Cite&gt;&lt;Author&gt;Petrovsky&lt;/Author&gt;&lt;Year&gt;1995&lt;/Year&gt;&lt;RecNum&gt;5739&lt;/RecNum&gt;&lt;DisplayText&gt;&lt;style face="superscript"&gt;4&lt;/style&gt;&lt;/DisplayText&gt;&lt;record&gt;&lt;rec-number&gt;5739&lt;/rec-number&gt;&lt;foreign-keys&gt;&lt;key app="EN" db-id="xf55vvz2df590tepzscvfsr10exf5pvww2zz" timestamp="1643966725" guid="04822f30-6bc5-4c95-8e19-4939c634c834"&gt;5739&lt;/key&gt;&lt;/foreign-keys&gt;&lt;ref-type name="Journal Article"&gt;17&lt;/ref-type&gt;&lt;contributors&gt;&lt;authors&gt;&lt;author&gt;Petrovsky, N.&lt;/author&gt;&lt;author&gt;Harrison, L. C.&lt;/author&gt;&lt;/authors&gt;&lt;/contributors&gt;&lt;auth-address&gt;Burnet Clinical Research Unit, Walter and Eliza Hall Institute of Medical Research, Royal Melbourne Hospital, Parkville, Australia.&lt;/auth-address&gt;&lt;titles&gt;&lt;title&gt;Cytokine-based human whole blood assay for the detection of antigen-reactive T cells&lt;/title&gt;&lt;secondary-title&gt;J Immunol Methods&lt;/secondary-title&gt;&lt;/titles&gt;&lt;periodical&gt;&lt;full-title&gt;Journal of Immunological Methods&lt;/full-title&gt;&lt;abbr-1&gt;J. Immunol. Methods&lt;/abbr-1&gt;&lt;abbr-2&gt;J Immunol Methods&lt;/abbr-2&gt;&lt;/periodical&gt;&lt;pages&gt;37-46&lt;/pages&gt;&lt;volume&gt;186&lt;/volume&gt;&lt;number&gt;1&lt;/number&gt;&lt;keywords&gt;&lt;keyword&gt;Blood Preservation&lt;/keyword&gt;&lt;keyword&gt;Circadian Rhythm&lt;/keyword&gt;&lt;keyword&gt;Cytokines/*biosynthesis&lt;/keyword&gt;&lt;keyword&gt;Dose-Response Relationship, Immunologic&lt;/keyword&gt;&lt;keyword&gt;Humans&lt;/keyword&gt;&lt;keyword&gt;Immunity, Cellular&lt;/keyword&gt;&lt;keyword&gt;*Immunologic Techniques&lt;/keyword&gt;&lt;keyword&gt;In Vitro Techniques&lt;/keyword&gt;&lt;keyword&gt;Interferon-gamma/biosynthesis&lt;/keyword&gt;&lt;keyword&gt;Lymphocyte Activation&lt;/keyword&gt;&lt;keyword&gt;T-Lymphocytes/*immunology&lt;/keyword&gt;&lt;keyword&gt;Tetanus Toxoid/immunology&lt;/keyword&gt;&lt;/keywords&gt;&lt;dates&gt;&lt;year&gt;1995&lt;/year&gt;&lt;pub-dates&gt;&lt;date&gt;Oct 12&lt;/date&gt;&lt;/pub-dates&gt;&lt;/dates&gt;&lt;isbn&gt;0022-1759 (Print)&amp;#xD;0022-1759&lt;/isbn&gt;&lt;accession-num&gt;7561146&lt;/accession-num&gt;&lt;urls&gt;&lt;/urls&gt;&lt;electronic-resource-num&gt;10.1016/0022-1759(95)00127-v&lt;/electronic-resource-num&gt;&lt;remote-database-provider&gt;NLM&lt;/remote-database-provider&gt;&lt;language&gt;eng&lt;/language&gt;&lt;/record&gt;&lt;/Cite&gt;&lt;/EndNote&gt;</w:instrText>
      </w:r>
      <w:r w:rsidR="00662788" w:rsidRPr="00674F5C">
        <w:rPr>
          <w:szCs w:val="24"/>
        </w:rPr>
        <w:fldChar w:fldCharType="separate"/>
      </w:r>
      <w:r w:rsidR="00FF6539" w:rsidRPr="00674F5C">
        <w:rPr>
          <w:noProof/>
          <w:szCs w:val="24"/>
          <w:vertAlign w:val="superscript"/>
        </w:rPr>
        <w:t>4</w:t>
      </w:r>
      <w:r w:rsidR="00662788" w:rsidRPr="00674F5C">
        <w:rPr>
          <w:szCs w:val="24"/>
        </w:rPr>
        <w:fldChar w:fldCharType="end"/>
      </w:r>
      <w:r w:rsidRPr="00674F5C">
        <w:rPr>
          <w:szCs w:val="24"/>
        </w:rPr>
        <w:t>. Whole blood samples from the subjects were incubated in growth medium in TrueCulture</w:t>
      </w:r>
      <w:r w:rsidRPr="00674F5C">
        <w:rPr>
          <w:szCs w:val="24"/>
          <w:vertAlign w:val="superscript"/>
        </w:rPr>
        <w:t>®</w:t>
      </w:r>
      <w:r w:rsidRPr="00674F5C">
        <w:rPr>
          <w:szCs w:val="24"/>
        </w:rPr>
        <w:t xml:space="preserve"> tubes coated with SARS-COV-2 Peptides (supplied by Myriad Inc, Texas, USA). The Peripheral Blood Mononuclear Cells present in the blood are stimulated by the peptides that resemble the vaccine antigen and in response to the stimulation the cells produce various cytokines. The culture supernatants were recovered and </w:t>
      </w:r>
      <w:r w:rsidR="006B1CCA" w:rsidRPr="00674F5C">
        <w:rPr>
          <w:szCs w:val="24"/>
        </w:rPr>
        <w:t>2</w:t>
      </w:r>
      <w:r w:rsidRPr="00674F5C">
        <w:rPr>
          <w:szCs w:val="24"/>
        </w:rPr>
        <w:t xml:space="preserve"> cytokines; Interferon-gamma and Interlukin-4, secreted in the supernatant were measured by standard ELISA kits supplied by Becton Dickinson, USA. The whole blood stimulation was done at the clinical trial sites and the cytokine ELISA was conducted at </w:t>
      </w:r>
      <w:proofErr w:type="spellStart"/>
      <w:r w:rsidRPr="00674F5C">
        <w:rPr>
          <w:szCs w:val="24"/>
        </w:rPr>
        <w:t>Dang’s</w:t>
      </w:r>
      <w:proofErr w:type="spellEnd"/>
      <w:r w:rsidRPr="00674F5C">
        <w:rPr>
          <w:szCs w:val="24"/>
        </w:rPr>
        <w:t xml:space="preserve"> Lab. Cytokine values in pictogram/mL were reported for the sera samples and arithmetic averages were calculated for each cohort</w:t>
      </w:r>
      <w:r w:rsidR="00035AF1" w:rsidRPr="00674F5C">
        <w:rPr>
          <w:szCs w:val="24"/>
        </w:rPr>
        <w:t>.</w:t>
      </w:r>
    </w:p>
    <w:p w14:paraId="24F0B57A" w14:textId="20EDE370" w:rsidR="008E179B" w:rsidRPr="00C136D5" w:rsidRDefault="008E179B" w:rsidP="008E179B">
      <w:pPr>
        <w:pStyle w:val="ListParagraph"/>
        <w:numPr>
          <w:ilvl w:val="0"/>
          <w:numId w:val="1"/>
        </w:numPr>
        <w:rPr>
          <w:rFonts w:ascii="Times New Roman" w:eastAsia="Times New Roman" w:hAnsi="Times New Roman" w:cs="Times New Roman"/>
          <w:b/>
          <w:szCs w:val="24"/>
        </w:rPr>
      </w:pPr>
      <w:r w:rsidRPr="00C136D5">
        <w:rPr>
          <w:rFonts w:ascii="Times New Roman" w:eastAsia="Times New Roman" w:hAnsi="Times New Roman" w:cs="Times New Roman"/>
          <w:b/>
          <w:szCs w:val="24"/>
        </w:rPr>
        <w:t xml:space="preserve">Institutional </w:t>
      </w:r>
      <w:r w:rsidRPr="00C136D5">
        <w:rPr>
          <w:rFonts w:ascii="Times New Roman" w:eastAsia="Times New Roman" w:hAnsi="Times New Roman" w:cs="Times New Roman"/>
          <w:b/>
          <w:szCs w:val="24"/>
        </w:rPr>
        <w:t>Ethics Committee</w:t>
      </w:r>
      <w:r w:rsidRPr="00C136D5">
        <w:rPr>
          <w:rFonts w:ascii="Times New Roman" w:eastAsia="Times New Roman" w:hAnsi="Times New Roman" w:cs="Times New Roman"/>
          <w:b/>
          <w:szCs w:val="24"/>
        </w:rPr>
        <w:t>s</w:t>
      </w:r>
      <w:r w:rsidRPr="00C136D5">
        <w:rPr>
          <w:rFonts w:ascii="Times New Roman" w:eastAsia="Times New Roman" w:hAnsi="Times New Roman" w:cs="Times New Roman"/>
          <w:b/>
          <w:szCs w:val="24"/>
        </w:rPr>
        <w:t xml:space="preserve"> </w:t>
      </w:r>
      <w:r w:rsidRPr="00C136D5">
        <w:rPr>
          <w:rFonts w:ascii="Times New Roman" w:eastAsia="Times New Roman" w:hAnsi="Times New Roman" w:cs="Times New Roman"/>
          <w:b/>
          <w:szCs w:val="24"/>
        </w:rPr>
        <w:t>(</w:t>
      </w:r>
      <w:r w:rsidRPr="00C136D5">
        <w:rPr>
          <w:rFonts w:ascii="Times New Roman" w:eastAsia="Times New Roman" w:hAnsi="Times New Roman" w:cs="Times New Roman"/>
          <w:b/>
          <w:szCs w:val="24"/>
        </w:rPr>
        <w:t>IECs</w:t>
      </w:r>
      <w:r w:rsidRPr="00C136D5">
        <w:rPr>
          <w:rFonts w:ascii="Times New Roman" w:eastAsia="Times New Roman" w:hAnsi="Times New Roman" w:cs="Times New Roman"/>
          <w:b/>
          <w:szCs w:val="24"/>
        </w:rPr>
        <w:t>)</w:t>
      </w:r>
      <w:r w:rsidRPr="00C136D5">
        <w:rPr>
          <w:rFonts w:ascii="Times New Roman" w:eastAsia="Times New Roman" w:hAnsi="Times New Roman" w:cs="Times New Roman"/>
          <w:b/>
          <w:szCs w:val="24"/>
        </w:rPr>
        <w:t xml:space="preserve"> of 5 study sites for </w:t>
      </w:r>
      <w:r w:rsidR="00BD4941" w:rsidRPr="00C136D5">
        <w:rPr>
          <w:rFonts w:ascii="Times New Roman" w:eastAsia="Times New Roman" w:hAnsi="Times New Roman" w:cs="Times New Roman"/>
          <w:b/>
          <w:szCs w:val="24"/>
        </w:rPr>
        <w:t>phase-1/2 (</w:t>
      </w:r>
      <w:r w:rsidRPr="00C136D5">
        <w:rPr>
          <w:rFonts w:ascii="Times New Roman" w:eastAsia="Times New Roman" w:hAnsi="Times New Roman" w:cs="Times New Roman"/>
          <w:b/>
          <w:szCs w:val="24"/>
        </w:rPr>
        <w:t>BECT062</w:t>
      </w:r>
      <w:r w:rsidR="00BD4941" w:rsidRPr="00C136D5">
        <w:rPr>
          <w:rFonts w:ascii="Times New Roman" w:eastAsia="Times New Roman" w:hAnsi="Times New Roman" w:cs="Times New Roman"/>
          <w:b/>
          <w:szCs w:val="24"/>
        </w:rPr>
        <w:t>)</w:t>
      </w:r>
      <w:r w:rsidRPr="00C136D5">
        <w:rPr>
          <w:rFonts w:ascii="Times New Roman" w:eastAsia="Times New Roman" w:hAnsi="Times New Roman" w:cs="Times New Roman"/>
          <w:b/>
          <w:szCs w:val="24"/>
        </w:rPr>
        <w:t xml:space="preserve"> study </w:t>
      </w:r>
    </w:p>
    <w:tbl>
      <w:tblPr>
        <w:tblW w:w="4022" w:type="pct"/>
        <w:jc w:val="center"/>
        <w:tblCellSpacing w:w="15" w:type="dxa"/>
        <w:tblBorders>
          <w:top w:val="outset" w:sz="6" w:space="0" w:color="D3D3D3"/>
          <w:left w:val="outset" w:sz="6" w:space="0" w:color="D3D3D3"/>
          <w:bottom w:val="outset" w:sz="6" w:space="0" w:color="D3D3D3"/>
          <w:right w:val="outset" w:sz="6" w:space="0" w:color="D3D3D3"/>
        </w:tblBorders>
        <w:tblCellMar>
          <w:top w:w="15" w:type="dxa"/>
          <w:left w:w="15" w:type="dxa"/>
          <w:bottom w:w="15" w:type="dxa"/>
          <w:right w:w="15" w:type="dxa"/>
        </w:tblCellMar>
        <w:tblLook w:val="04A0" w:firstRow="1" w:lastRow="0" w:firstColumn="1" w:lastColumn="0" w:noHBand="0" w:noVBand="1"/>
      </w:tblPr>
      <w:tblGrid>
        <w:gridCol w:w="3502"/>
        <w:gridCol w:w="2030"/>
        <w:gridCol w:w="1984"/>
      </w:tblGrid>
      <w:tr w:rsidR="00DC7540" w:rsidRPr="00DC7540" w14:paraId="4BB43F8B" w14:textId="77777777" w:rsidTr="00DC7540">
        <w:trPr>
          <w:trHeight w:val="488"/>
          <w:tblCellSpacing w:w="15" w:type="dxa"/>
          <w:jc w:val="center"/>
        </w:trPr>
        <w:tc>
          <w:tcPr>
            <w:tcW w:w="230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43E9D82C" w14:textId="77777777" w:rsidR="00DC7540" w:rsidRPr="00DC7540" w:rsidRDefault="00DC7540" w:rsidP="00CC1709">
            <w:pPr>
              <w:spacing w:after="0" w:line="240" w:lineRule="auto"/>
              <w:rPr>
                <w:rFonts w:ascii="Times New Roman" w:eastAsia="Times New Roman" w:hAnsi="Times New Roman" w:cs="Times New Roman"/>
                <w:szCs w:val="24"/>
                <w:lang w:eastAsia="en-IN"/>
              </w:rPr>
            </w:pPr>
            <w:r w:rsidRPr="00DC7540">
              <w:rPr>
                <w:rFonts w:ascii="Times New Roman" w:eastAsia="Times New Roman" w:hAnsi="Times New Roman" w:cs="Times New Roman"/>
                <w:b/>
                <w:bCs/>
                <w:szCs w:val="24"/>
                <w:lang w:eastAsia="en-IN"/>
              </w:rPr>
              <w:t>Name of Committee </w:t>
            </w:r>
          </w:p>
        </w:tc>
        <w:tc>
          <w:tcPr>
            <w:tcW w:w="133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D16F00A" w14:textId="77777777" w:rsidR="00DC7540" w:rsidRPr="00DC7540" w:rsidRDefault="00DC7540" w:rsidP="00CC1709">
            <w:pPr>
              <w:spacing w:after="0" w:line="240" w:lineRule="auto"/>
              <w:rPr>
                <w:rFonts w:ascii="Times New Roman" w:eastAsia="Times New Roman" w:hAnsi="Times New Roman" w:cs="Times New Roman"/>
                <w:szCs w:val="24"/>
                <w:lang w:eastAsia="en-IN"/>
              </w:rPr>
            </w:pPr>
            <w:r w:rsidRPr="00DC7540">
              <w:rPr>
                <w:rFonts w:ascii="Times New Roman" w:eastAsia="Times New Roman" w:hAnsi="Times New Roman" w:cs="Times New Roman"/>
                <w:b/>
                <w:bCs/>
                <w:szCs w:val="24"/>
                <w:lang w:eastAsia="en-IN"/>
              </w:rPr>
              <w:t>Approval Status </w:t>
            </w:r>
          </w:p>
        </w:tc>
        <w:tc>
          <w:tcPr>
            <w:tcW w:w="129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403AA96" w14:textId="77777777" w:rsidR="00DC7540" w:rsidRPr="00DC7540" w:rsidRDefault="00DC7540" w:rsidP="00CC1709">
            <w:pPr>
              <w:spacing w:after="0" w:line="240" w:lineRule="auto"/>
              <w:rPr>
                <w:rFonts w:ascii="Times New Roman" w:eastAsia="Times New Roman" w:hAnsi="Times New Roman" w:cs="Times New Roman"/>
                <w:szCs w:val="24"/>
                <w:lang w:eastAsia="en-IN"/>
              </w:rPr>
            </w:pPr>
            <w:r w:rsidRPr="00DC7540">
              <w:rPr>
                <w:rFonts w:ascii="Times New Roman" w:eastAsia="Times New Roman" w:hAnsi="Times New Roman" w:cs="Times New Roman"/>
                <w:b/>
                <w:bCs/>
                <w:szCs w:val="24"/>
                <w:lang w:eastAsia="en-IN"/>
              </w:rPr>
              <w:t>Date of Approval </w:t>
            </w:r>
          </w:p>
        </w:tc>
      </w:tr>
      <w:tr w:rsidR="00DC7540" w:rsidRPr="00DC7540" w14:paraId="1151C252" w14:textId="77777777" w:rsidTr="00DC7540">
        <w:trPr>
          <w:trHeight w:val="748"/>
          <w:tblCellSpacing w:w="15" w:type="dxa"/>
          <w:jc w:val="center"/>
        </w:trPr>
        <w:tc>
          <w:tcPr>
            <w:tcW w:w="230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5CF6857F"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Ethics Committee, St. Theresa’s Hospital, Hyderabad  </w:t>
            </w:r>
          </w:p>
        </w:tc>
        <w:tc>
          <w:tcPr>
            <w:tcW w:w="133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86C3658"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Approved </w:t>
            </w:r>
          </w:p>
        </w:tc>
        <w:tc>
          <w:tcPr>
            <w:tcW w:w="129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A6DCCAC"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10/11/2020 </w:t>
            </w:r>
          </w:p>
        </w:tc>
      </w:tr>
      <w:tr w:rsidR="00DC7540" w:rsidRPr="00DC7540" w14:paraId="34F7C0FB" w14:textId="77777777" w:rsidTr="00DC7540">
        <w:trPr>
          <w:trHeight w:val="488"/>
          <w:tblCellSpacing w:w="15" w:type="dxa"/>
          <w:jc w:val="center"/>
        </w:trPr>
        <w:tc>
          <w:tcPr>
            <w:tcW w:w="230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0898837B"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 xml:space="preserve">Guru </w:t>
            </w:r>
            <w:proofErr w:type="spellStart"/>
            <w:r w:rsidRPr="00DC7540">
              <w:rPr>
                <w:rFonts w:ascii="Times New Roman" w:eastAsia="Times New Roman" w:hAnsi="Times New Roman" w:cs="Times New Roman"/>
                <w:color w:val="000000"/>
                <w:szCs w:val="24"/>
                <w:lang w:eastAsia="en-IN"/>
              </w:rPr>
              <w:t>Teg</w:t>
            </w:r>
            <w:proofErr w:type="spellEnd"/>
            <w:r w:rsidRPr="00DC7540">
              <w:rPr>
                <w:rFonts w:ascii="Times New Roman" w:eastAsia="Times New Roman" w:hAnsi="Times New Roman" w:cs="Times New Roman"/>
                <w:color w:val="000000"/>
                <w:szCs w:val="24"/>
                <w:lang w:eastAsia="en-IN"/>
              </w:rPr>
              <w:t xml:space="preserve"> Bahadur Hospital Ethics Committee, Delhi  </w:t>
            </w:r>
          </w:p>
        </w:tc>
        <w:tc>
          <w:tcPr>
            <w:tcW w:w="133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5DF8C84B"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Approved </w:t>
            </w:r>
          </w:p>
        </w:tc>
        <w:tc>
          <w:tcPr>
            <w:tcW w:w="129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2C28D172"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28/11/2020 </w:t>
            </w:r>
          </w:p>
        </w:tc>
      </w:tr>
      <w:tr w:rsidR="00DC7540" w:rsidRPr="00DC7540" w14:paraId="6C3B0C73" w14:textId="77777777" w:rsidTr="00DC7540">
        <w:trPr>
          <w:trHeight w:val="503"/>
          <w:tblCellSpacing w:w="15" w:type="dxa"/>
          <w:jc w:val="center"/>
        </w:trPr>
        <w:tc>
          <w:tcPr>
            <w:tcW w:w="230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1FB32A5D"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IEC, All India Institute of Medical Sciences, Patna  </w:t>
            </w:r>
          </w:p>
        </w:tc>
        <w:tc>
          <w:tcPr>
            <w:tcW w:w="133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376CE8B5"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Approved </w:t>
            </w:r>
          </w:p>
        </w:tc>
        <w:tc>
          <w:tcPr>
            <w:tcW w:w="129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8284710"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06/11/2020 </w:t>
            </w:r>
          </w:p>
        </w:tc>
      </w:tr>
      <w:tr w:rsidR="00DC7540" w:rsidRPr="00DC7540" w14:paraId="09D236D4" w14:textId="77777777" w:rsidTr="00DC7540">
        <w:trPr>
          <w:trHeight w:val="732"/>
          <w:tblCellSpacing w:w="15" w:type="dxa"/>
          <w:jc w:val="center"/>
        </w:trPr>
        <w:tc>
          <w:tcPr>
            <w:tcW w:w="230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3059773D"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 xml:space="preserve">IEC, Maharaja </w:t>
            </w:r>
            <w:proofErr w:type="spellStart"/>
            <w:r w:rsidRPr="00DC7540">
              <w:rPr>
                <w:rFonts w:ascii="Times New Roman" w:eastAsia="Times New Roman" w:hAnsi="Times New Roman" w:cs="Times New Roman"/>
                <w:color w:val="000000"/>
                <w:szCs w:val="24"/>
                <w:lang w:eastAsia="en-IN"/>
              </w:rPr>
              <w:t>Agrasen</w:t>
            </w:r>
            <w:proofErr w:type="spellEnd"/>
            <w:r w:rsidRPr="00DC7540">
              <w:rPr>
                <w:rFonts w:ascii="Times New Roman" w:eastAsia="Times New Roman" w:hAnsi="Times New Roman" w:cs="Times New Roman"/>
                <w:color w:val="000000"/>
                <w:szCs w:val="24"/>
                <w:lang w:eastAsia="en-IN"/>
              </w:rPr>
              <w:t xml:space="preserve"> Hospital </w:t>
            </w:r>
          </w:p>
        </w:tc>
        <w:tc>
          <w:tcPr>
            <w:tcW w:w="133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3402285"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Approved</w:t>
            </w:r>
          </w:p>
        </w:tc>
        <w:tc>
          <w:tcPr>
            <w:tcW w:w="129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E792D77"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25/12/2020</w:t>
            </w:r>
          </w:p>
        </w:tc>
      </w:tr>
      <w:tr w:rsidR="00DC7540" w:rsidRPr="00DC7540" w14:paraId="0CA569DA" w14:textId="77777777" w:rsidTr="00DC7540">
        <w:trPr>
          <w:trHeight w:val="748"/>
          <w:tblCellSpacing w:w="15" w:type="dxa"/>
          <w:jc w:val="center"/>
        </w:trPr>
        <w:tc>
          <w:tcPr>
            <w:tcW w:w="230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08E1B96"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Institutional Ethics Committee, King George Hospital, Visakhapatnam  </w:t>
            </w:r>
          </w:p>
        </w:tc>
        <w:tc>
          <w:tcPr>
            <w:tcW w:w="133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46C528A7"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Approved </w:t>
            </w:r>
          </w:p>
        </w:tc>
        <w:tc>
          <w:tcPr>
            <w:tcW w:w="1290"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14B55C5F" w14:textId="77777777" w:rsidR="00DC7540" w:rsidRPr="00DC7540" w:rsidRDefault="00DC7540" w:rsidP="00CC1709">
            <w:pPr>
              <w:spacing w:after="0" w:line="240" w:lineRule="auto"/>
              <w:rPr>
                <w:rFonts w:ascii="Times New Roman" w:eastAsia="Times New Roman" w:hAnsi="Times New Roman" w:cs="Times New Roman"/>
                <w:color w:val="000000"/>
                <w:szCs w:val="24"/>
                <w:lang w:eastAsia="en-IN"/>
              </w:rPr>
            </w:pPr>
            <w:r w:rsidRPr="00DC7540">
              <w:rPr>
                <w:rFonts w:ascii="Times New Roman" w:eastAsia="Times New Roman" w:hAnsi="Times New Roman" w:cs="Times New Roman"/>
                <w:color w:val="000000"/>
                <w:szCs w:val="24"/>
                <w:lang w:eastAsia="en-IN"/>
              </w:rPr>
              <w:t>12/11/2020 </w:t>
            </w:r>
          </w:p>
        </w:tc>
      </w:tr>
    </w:tbl>
    <w:p w14:paraId="50C02FD5" w14:textId="77777777" w:rsidR="00BD4941" w:rsidRDefault="00BD4941">
      <w:pPr>
        <w:rPr>
          <w:rFonts w:ascii="Times New Roman" w:hAnsi="Times New Roman" w:cs="Times New Roman"/>
          <w:b/>
          <w:bCs/>
          <w:szCs w:val="24"/>
        </w:rPr>
      </w:pPr>
    </w:p>
    <w:tbl>
      <w:tblPr>
        <w:tblpPr w:leftFromText="180" w:rightFromText="180" w:vertAnchor="page" w:horzAnchor="margin" w:tblpXSpec="center" w:tblpY="5341"/>
        <w:tblW w:w="4092" w:type="pct"/>
        <w:tblCellSpacing w:w="15" w:type="dxa"/>
        <w:tblBorders>
          <w:top w:val="outset" w:sz="6" w:space="0" w:color="D3D3D3"/>
          <w:left w:val="outset" w:sz="6" w:space="0" w:color="D3D3D3"/>
          <w:bottom w:val="outset" w:sz="6" w:space="0" w:color="D3D3D3"/>
          <w:right w:val="outset" w:sz="6" w:space="0" w:color="D3D3D3"/>
        </w:tblBorders>
        <w:tblCellMar>
          <w:top w:w="15" w:type="dxa"/>
          <w:left w:w="15" w:type="dxa"/>
          <w:bottom w:w="15" w:type="dxa"/>
          <w:right w:w="15" w:type="dxa"/>
        </w:tblCellMar>
        <w:tblLook w:val="04A0" w:firstRow="1" w:lastRow="0" w:firstColumn="1" w:lastColumn="0" w:noHBand="0" w:noVBand="1"/>
      </w:tblPr>
      <w:tblGrid>
        <w:gridCol w:w="3536"/>
        <w:gridCol w:w="1984"/>
        <w:gridCol w:w="2127"/>
      </w:tblGrid>
      <w:tr w:rsidR="00EC324A" w:rsidRPr="00BD4941" w14:paraId="6AD53C0D" w14:textId="77777777" w:rsidTr="00EC324A">
        <w:trPr>
          <w:trHeight w:val="512"/>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908FF4A" w14:textId="77777777" w:rsidR="00EC324A" w:rsidRPr="00BD4941" w:rsidRDefault="00EC324A" w:rsidP="00EC324A">
            <w:pPr>
              <w:spacing w:after="0" w:line="240" w:lineRule="auto"/>
              <w:rPr>
                <w:rFonts w:ascii="Times New Roman" w:eastAsia="Times New Roman" w:hAnsi="Times New Roman" w:cs="Times New Roman"/>
                <w:szCs w:val="24"/>
                <w:lang w:eastAsia="en-IN"/>
              </w:rPr>
            </w:pPr>
            <w:r w:rsidRPr="00BD4941">
              <w:rPr>
                <w:rFonts w:ascii="Times New Roman" w:eastAsia="Times New Roman" w:hAnsi="Times New Roman" w:cs="Times New Roman"/>
                <w:b/>
                <w:bCs/>
                <w:szCs w:val="24"/>
                <w:lang w:eastAsia="en-IN"/>
              </w:rPr>
              <w:t>Name of Committee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936A986" w14:textId="77777777" w:rsidR="00EC324A" w:rsidRPr="00BD4941" w:rsidRDefault="00EC324A" w:rsidP="00EC324A">
            <w:pPr>
              <w:spacing w:after="0" w:line="240" w:lineRule="auto"/>
              <w:rPr>
                <w:rFonts w:ascii="Times New Roman" w:eastAsia="Times New Roman" w:hAnsi="Times New Roman" w:cs="Times New Roman"/>
                <w:szCs w:val="24"/>
                <w:lang w:eastAsia="en-IN"/>
              </w:rPr>
            </w:pPr>
            <w:r w:rsidRPr="00BD4941">
              <w:rPr>
                <w:rFonts w:ascii="Times New Roman" w:eastAsia="Times New Roman" w:hAnsi="Times New Roman" w:cs="Times New Roman"/>
                <w:b/>
                <w:bCs/>
                <w:szCs w:val="24"/>
                <w:lang w:eastAsia="en-IN"/>
              </w:rPr>
              <w:t>Approval Status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1126C64" w14:textId="77777777" w:rsidR="00EC324A" w:rsidRPr="00BD4941" w:rsidRDefault="00EC324A" w:rsidP="00EC324A">
            <w:pPr>
              <w:spacing w:after="0" w:line="240" w:lineRule="auto"/>
              <w:rPr>
                <w:rFonts w:ascii="Times New Roman" w:eastAsia="Times New Roman" w:hAnsi="Times New Roman" w:cs="Times New Roman"/>
                <w:szCs w:val="24"/>
                <w:lang w:eastAsia="en-IN"/>
              </w:rPr>
            </w:pPr>
            <w:r w:rsidRPr="00BD4941">
              <w:rPr>
                <w:rFonts w:ascii="Times New Roman" w:eastAsia="Times New Roman" w:hAnsi="Times New Roman" w:cs="Times New Roman"/>
                <w:b/>
                <w:bCs/>
                <w:szCs w:val="24"/>
                <w:lang w:eastAsia="en-IN"/>
              </w:rPr>
              <w:t>Date of Approval </w:t>
            </w:r>
          </w:p>
        </w:tc>
      </w:tr>
      <w:tr w:rsidR="00EC324A" w:rsidRPr="00BD4941" w14:paraId="638CC25E" w14:textId="77777777" w:rsidTr="00EC324A">
        <w:trPr>
          <w:trHeight w:val="512"/>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116DA527"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Ethics Committee, St. Theresa’s Hospital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36658855"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02C0370"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07/06/2021 </w:t>
            </w:r>
          </w:p>
        </w:tc>
      </w:tr>
      <w:tr w:rsidR="00EC324A" w:rsidRPr="00BD4941" w14:paraId="32ACACA8" w14:textId="77777777" w:rsidTr="00EC324A">
        <w:trPr>
          <w:trHeight w:val="528"/>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2A097288"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 xml:space="preserve">Guru </w:t>
            </w:r>
            <w:proofErr w:type="spellStart"/>
            <w:r w:rsidRPr="00BD4941">
              <w:rPr>
                <w:rFonts w:ascii="Times New Roman" w:eastAsia="Times New Roman" w:hAnsi="Times New Roman" w:cs="Times New Roman"/>
                <w:color w:val="000000"/>
                <w:szCs w:val="24"/>
                <w:lang w:eastAsia="en-IN"/>
              </w:rPr>
              <w:t>Teg</w:t>
            </w:r>
            <w:proofErr w:type="spellEnd"/>
            <w:r w:rsidRPr="00BD4941">
              <w:rPr>
                <w:rFonts w:ascii="Times New Roman" w:eastAsia="Times New Roman" w:hAnsi="Times New Roman" w:cs="Times New Roman"/>
                <w:color w:val="000000"/>
                <w:szCs w:val="24"/>
                <w:lang w:eastAsia="en-IN"/>
              </w:rPr>
              <w:t xml:space="preserve"> Bahadur Hospital Ethics Committee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477B91D7"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A96B50D"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03/06/2021 </w:t>
            </w:r>
          </w:p>
        </w:tc>
      </w:tr>
      <w:tr w:rsidR="00EC324A" w:rsidRPr="00BD4941" w14:paraId="24E5F365" w14:textId="77777777" w:rsidTr="00EC324A">
        <w:trPr>
          <w:trHeight w:val="512"/>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25688951"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IEC ESIC Medical College and Hospital,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3668AB90"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88A838F"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08/06/2021 </w:t>
            </w:r>
          </w:p>
        </w:tc>
      </w:tr>
      <w:tr w:rsidR="00EC324A" w:rsidRPr="00BD4941" w14:paraId="09A9D217" w14:textId="77777777" w:rsidTr="00EC324A">
        <w:trPr>
          <w:trHeight w:val="256"/>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24B7397E"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 xml:space="preserve">IEC </w:t>
            </w:r>
            <w:proofErr w:type="spellStart"/>
            <w:r w:rsidRPr="00BD4941">
              <w:rPr>
                <w:rFonts w:ascii="Times New Roman" w:eastAsia="Times New Roman" w:hAnsi="Times New Roman" w:cs="Times New Roman"/>
                <w:color w:val="000000"/>
                <w:szCs w:val="24"/>
                <w:lang w:eastAsia="en-IN"/>
              </w:rPr>
              <w:t>Prakhar</w:t>
            </w:r>
            <w:proofErr w:type="spellEnd"/>
            <w:r w:rsidRPr="00BD4941">
              <w:rPr>
                <w:rFonts w:ascii="Times New Roman" w:eastAsia="Times New Roman" w:hAnsi="Times New Roman" w:cs="Times New Roman"/>
                <w:color w:val="000000"/>
                <w:szCs w:val="24"/>
                <w:lang w:eastAsia="en-IN"/>
              </w:rPr>
              <w:t xml:space="preserve"> Hospital </w:t>
            </w:r>
            <w:proofErr w:type="spellStart"/>
            <w:r w:rsidRPr="00BD4941">
              <w:rPr>
                <w:rFonts w:ascii="Times New Roman" w:eastAsia="Times New Roman" w:hAnsi="Times New Roman" w:cs="Times New Roman"/>
                <w:color w:val="000000"/>
                <w:szCs w:val="24"/>
                <w:lang w:eastAsia="en-IN"/>
              </w:rPr>
              <w:t>Pvt</w:t>
            </w:r>
            <w:proofErr w:type="spellEnd"/>
            <w:r w:rsidRPr="00BD4941">
              <w:rPr>
                <w:rFonts w:ascii="Times New Roman" w:eastAsia="Times New Roman" w:hAnsi="Times New Roman" w:cs="Times New Roman"/>
                <w:color w:val="000000"/>
                <w:szCs w:val="24"/>
                <w:lang w:eastAsia="en-IN"/>
              </w:rPr>
              <w:t xml:space="preserve"> Ltd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24255B69"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48308D4E"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04/06/2021 </w:t>
            </w:r>
          </w:p>
        </w:tc>
      </w:tr>
      <w:tr w:rsidR="00EC324A" w:rsidRPr="00BD4941" w14:paraId="2C9B2BF1" w14:textId="77777777" w:rsidTr="00EC324A">
        <w:trPr>
          <w:trHeight w:val="528"/>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52ED6D48"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IEC, All India Institute of Medical Sciences, Patna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9865472"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31628BD5"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09/06/2021 </w:t>
            </w:r>
          </w:p>
        </w:tc>
      </w:tr>
      <w:tr w:rsidR="00EC324A" w:rsidRPr="00BD4941" w14:paraId="02F8F4DE" w14:textId="77777777" w:rsidTr="00EC324A">
        <w:trPr>
          <w:trHeight w:val="256"/>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57F193EB"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 xml:space="preserve">IEC, Maharaja </w:t>
            </w:r>
            <w:proofErr w:type="spellStart"/>
            <w:r w:rsidRPr="00BD4941">
              <w:rPr>
                <w:rFonts w:ascii="Times New Roman" w:eastAsia="Times New Roman" w:hAnsi="Times New Roman" w:cs="Times New Roman"/>
                <w:color w:val="000000"/>
                <w:szCs w:val="24"/>
                <w:lang w:eastAsia="en-IN"/>
              </w:rPr>
              <w:t>Agrasen</w:t>
            </w:r>
            <w:proofErr w:type="spellEnd"/>
            <w:r w:rsidRPr="00BD4941">
              <w:rPr>
                <w:rFonts w:ascii="Times New Roman" w:eastAsia="Times New Roman" w:hAnsi="Times New Roman" w:cs="Times New Roman"/>
                <w:color w:val="000000"/>
                <w:szCs w:val="24"/>
                <w:lang w:eastAsia="en-IN"/>
              </w:rPr>
              <w:t xml:space="preserve"> Hospital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69C47044"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3013CF00"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06/06/2021 </w:t>
            </w:r>
          </w:p>
        </w:tc>
      </w:tr>
      <w:tr w:rsidR="00EC324A" w:rsidRPr="00BD4941" w14:paraId="2A978D85" w14:textId="77777777" w:rsidTr="00EC324A">
        <w:trPr>
          <w:trHeight w:val="528"/>
          <w:tblCellSpacing w:w="15" w:type="dxa"/>
        </w:trPr>
        <w:tc>
          <w:tcPr>
            <w:tcW w:w="2283"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23D68F2A"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Institutional Ethics Committee- AIG Hospital </w:t>
            </w:r>
          </w:p>
        </w:tc>
        <w:tc>
          <w:tcPr>
            <w:tcW w:w="1278"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793EFFAB"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Approved </w:t>
            </w:r>
          </w:p>
        </w:tc>
        <w:tc>
          <w:tcPr>
            <w:tcW w:w="1361" w:type="pct"/>
            <w:tcBorders>
              <w:top w:val="outset" w:sz="6" w:space="0" w:color="D3D3D3"/>
              <w:left w:val="outset" w:sz="6" w:space="0" w:color="D3D3D3"/>
              <w:bottom w:val="outset" w:sz="6" w:space="0" w:color="D3D3D3"/>
              <w:right w:val="outset" w:sz="6" w:space="0" w:color="D3D3D3"/>
            </w:tcBorders>
            <w:shd w:val="clear" w:color="auto" w:fill="auto"/>
            <w:vAlign w:val="center"/>
            <w:hideMark/>
          </w:tcPr>
          <w:p w14:paraId="00E349EC" w14:textId="77777777" w:rsidR="00EC324A" w:rsidRPr="00BD4941" w:rsidRDefault="00EC324A" w:rsidP="00EC324A">
            <w:pPr>
              <w:spacing w:after="0" w:line="240" w:lineRule="auto"/>
              <w:rPr>
                <w:rFonts w:ascii="Times New Roman" w:eastAsia="Times New Roman" w:hAnsi="Times New Roman" w:cs="Times New Roman"/>
                <w:color w:val="000000"/>
                <w:szCs w:val="24"/>
                <w:lang w:eastAsia="en-IN"/>
              </w:rPr>
            </w:pPr>
            <w:r w:rsidRPr="00BD4941">
              <w:rPr>
                <w:rFonts w:ascii="Times New Roman" w:eastAsia="Times New Roman" w:hAnsi="Times New Roman" w:cs="Times New Roman"/>
                <w:color w:val="000000"/>
                <w:szCs w:val="24"/>
                <w:lang w:eastAsia="en-IN"/>
              </w:rPr>
              <w:t>15/06/2021 </w:t>
            </w:r>
          </w:p>
        </w:tc>
      </w:tr>
    </w:tbl>
    <w:p w14:paraId="742D1085" w14:textId="18DB61C4" w:rsidR="00BD4941" w:rsidRPr="00C136D5" w:rsidRDefault="00BD4941" w:rsidP="00030829">
      <w:pPr>
        <w:pStyle w:val="ListParagraph"/>
        <w:numPr>
          <w:ilvl w:val="0"/>
          <w:numId w:val="1"/>
        </w:numPr>
        <w:rPr>
          <w:rFonts w:ascii="Times New Roman" w:eastAsia="Times New Roman" w:hAnsi="Times New Roman" w:cs="Times New Roman"/>
          <w:b/>
          <w:szCs w:val="24"/>
        </w:rPr>
      </w:pPr>
      <w:r w:rsidRPr="00C136D5">
        <w:rPr>
          <w:rFonts w:ascii="Times New Roman" w:eastAsia="Times New Roman" w:hAnsi="Times New Roman" w:cs="Times New Roman"/>
          <w:b/>
          <w:szCs w:val="24"/>
        </w:rPr>
        <w:t>Institutional Ethics Committees (IECs)</w:t>
      </w:r>
      <w:r w:rsidRPr="00C136D5">
        <w:rPr>
          <w:rFonts w:ascii="Times New Roman" w:eastAsia="Times New Roman" w:hAnsi="Times New Roman" w:cs="Times New Roman"/>
          <w:b/>
          <w:szCs w:val="24"/>
        </w:rPr>
        <w:t xml:space="preserve"> of 7</w:t>
      </w:r>
      <w:r w:rsidRPr="00C136D5">
        <w:rPr>
          <w:rFonts w:ascii="Times New Roman" w:eastAsia="Times New Roman" w:hAnsi="Times New Roman" w:cs="Times New Roman"/>
          <w:b/>
          <w:szCs w:val="24"/>
        </w:rPr>
        <w:t xml:space="preserve"> study sites for phase</w:t>
      </w:r>
      <w:r w:rsidRPr="00C136D5">
        <w:rPr>
          <w:rFonts w:ascii="Times New Roman" w:eastAsia="Times New Roman" w:hAnsi="Times New Roman" w:cs="Times New Roman"/>
          <w:b/>
          <w:szCs w:val="24"/>
        </w:rPr>
        <w:t>-2</w:t>
      </w:r>
      <w:r w:rsidRPr="00C136D5">
        <w:rPr>
          <w:rFonts w:ascii="Times New Roman" w:eastAsia="Times New Roman" w:hAnsi="Times New Roman" w:cs="Times New Roman"/>
          <w:b/>
          <w:szCs w:val="24"/>
        </w:rPr>
        <w:t xml:space="preserve"> (</w:t>
      </w:r>
      <w:r w:rsidRPr="00C136D5">
        <w:rPr>
          <w:rFonts w:ascii="Times New Roman" w:eastAsia="Times New Roman" w:hAnsi="Times New Roman" w:cs="Times New Roman"/>
          <w:b/>
          <w:szCs w:val="24"/>
        </w:rPr>
        <w:t>BECT069</w:t>
      </w:r>
      <w:r w:rsidRPr="00C136D5">
        <w:rPr>
          <w:rFonts w:ascii="Times New Roman" w:eastAsia="Times New Roman" w:hAnsi="Times New Roman" w:cs="Times New Roman"/>
          <w:b/>
          <w:szCs w:val="24"/>
        </w:rPr>
        <w:t xml:space="preserve">) study </w:t>
      </w:r>
    </w:p>
    <w:p w14:paraId="15A9BE4C" w14:textId="40EF0D2D" w:rsidR="00BD4941" w:rsidRDefault="00BD4941" w:rsidP="00BD4941">
      <w:pPr>
        <w:pStyle w:val="ListParagraph"/>
        <w:rPr>
          <w:rFonts w:ascii="Times New Roman" w:hAnsi="Times New Roman" w:cs="Times New Roman"/>
          <w:b/>
          <w:bCs/>
          <w:szCs w:val="24"/>
        </w:rPr>
      </w:pPr>
    </w:p>
    <w:p w14:paraId="1CE4EAC8" w14:textId="150FAFDC" w:rsidR="00BD4941" w:rsidRDefault="00BD4941" w:rsidP="00BD4941">
      <w:pPr>
        <w:pStyle w:val="ListParagraph"/>
        <w:rPr>
          <w:rFonts w:ascii="Times New Roman" w:hAnsi="Times New Roman" w:cs="Times New Roman"/>
          <w:b/>
          <w:bCs/>
          <w:szCs w:val="24"/>
        </w:rPr>
      </w:pPr>
    </w:p>
    <w:p w14:paraId="15DA3D0D" w14:textId="7064E30D" w:rsidR="00BD4941" w:rsidRDefault="00BD4941" w:rsidP="00BD4941">
      <w:pPr>
        <w:pStyle w:val="ListParagraph"/>
        <w:rPr>
          <w:rFonts w:ascii="Times New Roman" w:hAnsi="Times New Roman" w:cs="Times New Roman"/>
          <w:b/>
          <w:bCs/>
          <w:szCs w:val="24"/>
        </w:rPr>
      </w:pPr>
    </w:p>
    <w:p w14:paraId="696766ED" w14:textId="77777777" w:rsidR="00BD4941" w:rsidRPr="00BD4941" w:rsidRDefault="00BD4941" w:rsidP="00BD4941">
      <w:pPr>
        <w:pStyle w:val="ListParagraph"/>
        <w:rPr>
          <w:rFonts w:ascii="Times New Roman" w:hAnsi="Times New Roman" w:cs="Times New Roman"/>
          <w:b/>
          <w:bCs/>
          <w:szCs w:val="24"/>
        </w:rPr>
      </w:pPr>
    </w:p>
    <w:p w14:paraId="779FDE75" w14:textId="77777777" w:rsidR="00C136D5" w:rsidRDefault="00C136D5">
      <w:pPr>
        <w:rPr>
          <w:rFonts w:ascii="Times New Roman" w:hAnsi="Times New Roman" w:cs="Times New Roman"/>
          <w:b/>
          <w:bCs/>
          <w:szCs w:val="24"/>
        </w:rPr>
      </w:pPr>
    </w:p>
    <w:p w14:paraId="106803B2" w14:textId="77777777" w:rsidR="00C136D5" w:rsidRDefault="00C136D5">
      <w:pPr>
        <w:rPr>
          <w:rFonts w:ascii="Times New Roman" w:hAnsi="Times New Roman" w:cs="Times New Roman"/>
          <w:b/>
          <w:bCs/>
          <w:szCs w:val="24"/>
        </w:rPr>
      </w:pPr>
    </w:p>
    <w:p w14:paraId="3CE2AAD3" w14:textId="77777777" w:rsidR="00C136D5" w:rsidRDefault="00C136D5">
      <w:pPr>
        <w:rPr>
          <w:rFonts w:ascii="Times New Roman" w:hAnsi="Times New Roman" w:cs="Times New Roman"/>
          <w:b/>
          <w:bCs/>
          <w:szCs w:val="24"/>
        </w:rPr>
      </w:pPr>
      <w:bookmarkStart w:id="6" w:name="_GoBack"/>
      <w:bookmarkEnd w:id="6"/>
    </w:p>
    <w:p w14:paraId="0D9407CE" w14:textId="77777777" w:rsidR="00C136D5" w:rsidRDefault="00C136D5">
      <w:pPr>
        <w:rPr>
          <w:rFonts w:ascii="Times New Roman" w:hAnsi="Times New Roman" w:cs="Times New Roman"/>
          <w:b/>
          <w:bCs/>
          <w:szCs w:val="24"/>
        </w:rPr>
      </w:pPr>
    </w:p>
    <w:p w14:paraId="1BCCA572" w14:textId="77777777" w:rsidR="00C136D5" w:rsidRDefault="00C136D5">
      <w:pPr>
        <w:rPr>
          <w:rFonts w:ascii="Times New Roman" w:hAnsi="Times New Roman" w:cs="Times New Roman"/>
          <w:b/>
          <w:bCs/>
          <w:szCs w:val="24"/>
        </w:rPr>
      </w:pPr>
    </w:p>
    <w:p w14:paraId="67572FAC" w14:textId="77777777" w:rsidR="00C136D5" w:rsidRDefault="00C136D5">
      <w:pPr>
        <w:rPr>
          <w:rFonts w:ascii="Times New Roman" w:hAnsi="Times New Roman" w:cs="Times New Roman"/>
          <w:b/>
          <w:bCs/>
          <w:szCs w:val="24"/>
        </w:rPr>
      </w:pPr>
    </w:p>
    <w:p w14:paraId="46C3206B" w14:textId="77777777" w:rsidR="00C136D5" w:rsidRDefault="00C136D5">
      <w:pPr>
        <w:rPr>
          <w:rFonts w:ascii="Times New Roman" w:hAnsi="Times New Roman" w:cs="Times New Roman"/>
          <w:b/>
          <w:bCs/>
          <w:szCs w:val="24"/>
        </w:rPr>
      </w:pPr>
    </w:p>
    <w:p w14:paraId="3C0EF167" w14:textId="77777777" w:rsidR="00C136D5" w:rsidRDefault="00C136D5">
      <w:pPr>
        <w:rPr>
          <w:rFonts w:ascii="Times New Roman" w:hAnsi="Times New Roman" w:cs="Times New Roman"/>
          <w:b/>
          <w:bCs/>
          <w:szCs w:val="24"/>
        </w:rPr>
      </w:pPr>
    </w:p>
    <w:p w14:paraId="678C6837" w14:textId="77777777" w:rsidR="00C136D5" w:rsidRDefault="00C136D5">
      <w:pPr>
        <w:rPr>
          <w:rFonts w:ascii="Times New Roman" w:hAnsi="Times New Roman" w:cs="Times New Roman"/>
          <w:b/>
          <w:bCs/>
          <w:szCs w:val="24"/>
        </w:rPr>
      </w:pPr>
    </w:p>
    <w:p w14:paraId="52917458" w14:textId="45E7C564" w:rsidR="001A3451" w:rsidRPr="00940192" w:rsidRDefault="007436C7">
      <w:pPr>
        <w:rPr>
          <w:rFonts w:ascii="Times New Roman" w:hAnsi="Times New Roman" w:cs="Times New Roman"/>
          <w:b/>
          <w:bCs/>
          <w:szCs w:val="24"/>
        </w:rPr>
      </w:pPr>
      <w:r w:rsidRPr="00940192">
        <w:rPr>
          <w:rFonts w:ascii="Times New Roman" w:hAnsi="Times New Roman" w:cs="Times New Roman"/>
          <w:b/>
          <w:bCs/>
          <w:szCs w:val="24"/>
        </w:rPr>
        <w:t>References</w:t>
      </w:r>
      <w:r w:rsidRPr="00940192">
        <w:rPr>
          <w:rFonts w:ascii="Times New Roman" w:hAnsi="Times New Roman" w:cs="Times New Roman"/>
          <w:szCs w:val="24"/>
        </w:rPr>
        <w:t>.</w:t>
      </w:r>
    </w:p>
    <w:p w14:paraId="3B4D9006" w14:textId="77777777" w:rsidR="00D40189" w:rsidRPr="00940192" w:rsidRDefault="001A3451" w:rsidP="00D40189">
      <w:pPr>
        <w:pStyle w:val="EndNoteBibliography"/>
        <w:spacing w:after="0"/>
        <w:rPr>
          <w:rFonts w:ascii="Times New Roman" w:hAnsi="Times New Roman" w:cs="Times New Roman"/>
        </w:rPr>
      </w:pPr>
      <w:r w:rsidRPr="00940192">
        <w:rPr>
          <w:rFonts w:ascii="Times New Roman" w:hAnsi="Times New Roman" w:cs="Times New Roman"/>
          <w:b/>
          <w:bCs/>
          <w:szCs w:val="24"/>
        </w:rPr>
        <w:fldChar w:fldCharType="begin"/>
      </w:r>
      <w:r w:rsidRPr="00940192">
        <w:rPr>
          <w:rFonts w:ascii="Times New Roman" w:hAnsi="Times New Roman" w:cs="Times New Roman"/>
          <w:b/>
          <w:bCs/>
          <w:szCs w:val="24"/>
        </w:rPr>
        <w:instrText xml:space="preserve"> ADDIN EN.REFLIST </w:instrText>
      </w:r>
      <w:r w:rsidRPr="00940192">
        <w:rPr>
          <w:rFonts w:ascii="Times New Roman" w:hAnsi="Times New Roman" w:cs="Times New Roman"/>
          <w:b/>
          <w:bCs/>
          <w:szCs w:val="24"/>
        </w:rPr>
        <w:fldChar w:fldCharType="separate"/>
      </w:r>
      <w:r w:rsidR="00D40189" w:rsidRPr="00940192">
        <w:rPr>
          <w:rFonts w:ascii="Times New Roman" w:hAnsi="Times New Roman" w:cs="Times New Roman"/>
        </w:rPr>
        <w:t>1.</w:t>
      </w:r>
      <w:r w:rsidR="00D40189" w:rsidRPr="00940192">
        <w:rPr>
          <w:rFonts w:ascii="Times New Roman" w:hAnsi="Times New Roman" w:cs="Times New Roman"/>
        </w:rPr>
        <w:tab/>
        <w:t>NIBSC. Data Sheet -Research reagent for anti-SARS-CoV-2 Ab NIBSC code 20/130.</w:t>
      </w:r>
    </w:p>
    <w:p w14:paraId="5D716CA5" w14:textId="77777777" w:rsidR="00D40189" w:rsidRPr="00940192" w:rsidRDefault="00D40189" w:rsidP="00D40189">
      <w:pPr>
        <w:pStyle w:val="EndNoteBibliography"/>
        <w:spacing w:after="0"/>
        <w:rPr>
          <w:rFonts w:ascii="Times New Roman" w:hAnsi="Times New Roman" w:cs="Times New Roman"/>
        </w:rPr>
      </w:pPr>
      <w:r w:rsidRPr="00940192">
        <w:rPr>
          <w:rFonts w:ascii="Times New Roman" w:hAnsi="Times New Roman" w:cs="Times New Roman"/>
        </w:rPr>
        <w:t>2.</w:t>
      </w:r>
      <w:r w:rsidRPr="00940192">
        <w:rPr>
          <w:rFonts w:ascii="Times New Roman" w:hAnsi="Times New Roman" w:cs="Times New Roman"/>
        </w:rPr>
        <w:tab/>
        <w:t xml:space="preserve">Bewley KR, Coombes NS, Gagnon L, et al. Quantification of SARS-CoV-2 neutralizing antibody by wild-type plaque reduction neutralization, microneutralization and pseudotyped virus neutralization assays. </w:t>
      </w:r>
      <w:r w:rsidRPr="00940192">
        <w:rPr>
          <w:rFonts w:ascii="Times New Roman" w:hAnsi="Times New Roman" w:cs="Times New Roman"/>
          <w:i/>
        </w:rPr>
        <w:t>Nat Protoc</w:t>
      </w:r>
      <w:r w:rsidRPr="00940192">
        <w:rPr>
          <w:rFonts w:ascii="Times New Roman" w:hAnsi="Times New Roman" w:cs="Times New Roman"/>
        </w:rPr>
        <w:t xml:space="preserve"> 2021; </w:t>
      </w:r>
      <w:r w:rsidRPr="00940192">
        <w:rPr>
          <w:rFonts w:ascii="Times New Roman" w:hAnsi="Times New Roman" w:cs="Times New Roman"/>
          <w:b/>
        </w:rPr>
        <w:t>16</w:t>
      </w:r>
      <w:r w:rsidRPr="00940192">
        <w:rPr>
          <w:rFonts w:ascii="Times New Roman" w:hAnsi="Times New Roman" w:cs="Times New Roman"/>
        </w:rPr>
        <w:t>(6): 3114-40.</w:t>
      </w:r>
    </w:p>
    <w:p w14:paraId="3CC2E26E" w14:textId="77777777" w:rsidR="00D40189" w:rsidRPr="00940192" w:rsidRDefault="00D40189" w:rsidP="00D40189">
      <w:pPr>
        <w:pStyle w:val="EndNoteBibliography"/>
        <w:spacing w:after="0"/>
        <w:rPr>
          <w:rFonts w:ascii="Times New Roman" w:hAnsi="Times New Roman" w:cs="Times New Roman"/>
        </w:rPr>
      </w:pPr>
      <w:r w:rsidRPr="00940192">
        <w:rPr>
          <w:rFonts w:ascii="Times New Roman" w:hAnsi="Times New Roman" w:cs="Times New Roman"/>
        </w:rPr>
        <w:t>3.</w:t>
      </w:r>
      <w:r w:rsidRPr="00940192">
        <w:rPr>
          <w:rFonts w:ascii="Times New Roman" w:hAnsi="Times New Roman" w:cs="Times New Roman"/>
        </w:rPr>
        <w:tab/>
        <w:t xml:space="preserve">Mattiuzzo G, Bentley EM, Hassall M, et al. Establishment of the WHO International Standard and Reference Panel for anti-SARS-CoV-2 antibody. </w:t>
      </w:r>
      <w:r w:rsidRPr="00940192">
        <w:rPr>
          <w:rFonts w:ascii="Times New Roman" w:hAnsi="Times New Roman" w:cs="Times New Roman"/>
          <w:i/>
        </w:rPr>
        <w:t>World Health Organization</w:t>
      </w:r>
      <w:r w:rsidRPr="00940192">
        <w:rPr>
          <w:rFonts w:ascii="Times New Roman" w:hAnsi="Times New Roman" w:cs="Times New Roman"/>
        </w:rPr>
        <w:t xml:space="preserve"> 2020; </w:t>
      </w:r>
      <w:r w:rsidRPr="00940192">
        <w:rPr>
          <w:rFonts w:ascii="Times New Roman" w:hAnsi="Times New Roman" w:cs="Times New Roman"/>
          <w:b/>
        </w:rPr>
        <w:t>60</w:t>
      </w:r>
      <w:r w:rsidRPr="00940192">
        <w:rPr>
          <w:rFonts w:ascii="Times New Roman" w:hAnsi="Times New Roman" w:cs="Times New Roman"/>
        </w:rPr>
        <w:t>.</w:t>
      </w:r>
    </w:p>
    <w:p w14:paraId="1D7765BC" w14:textId="77777777" w:rsidR="00D40189" w:rsidRPr="00940192" w:rsidRDefault="00D40189" w:rsidP="00D40189">
      <w:pPr>
        <w:pStyle w:val="EndNoteBibliography"/>
        <w:rPr>
          <w:rFonts w:ascii="Times New Roman" w:hAnsi="Times New Roman" w:cs="Times New Roman"/>
        </w:rPr>
      </w:pPr>
      <w:r w:rsidRPr="00940192">
        <w:rPr>
          <w:rFonts w:ascii="Times New Roman" w:hAnsi="Times New Roman" w:cs="Times New Roman"/>
        </w:rPr>
        <w:t>4.</w:t>
      </w:r>
      <w:r w:rsidRPr="00940192">
        <w:rPr>
          <w:rFonts w:ascii="Times New Roman" w:hAnsi="Times New Roman" w:cs="Times New Roman"/>
        </w:rPr>
        <w:tab/>
        <w:t xml:space="preserve">Petrovsky N, Harrison LC. Cytokine-based human whole blood assay for the detection of antigen-reactive T cells. </w:t>
      </w:r>
      <w:r w:rsidRPr="00940192">
        <w:rPr>
          <w:rFonts w:ascii="Times New Roman" w:hAnsi="Times New Roman" w:cs="Times New Roman"/>
          <w:i/>
        </w:rPr>
        <w:t>J Immunol Methods</w:t>
      </w:r>
      <w:r w:rsidRPr="00940192">
        <w:rPr>
          <w:rFonts w:ascii="Times New Roman" w:hAnsi="Times New Roman" w:cs="Times New Roman"/>
        </w:rPr>
        <w:t xml:space="preserve"> 1995; </w:t>
      </w:r>
      <w:r w:rsidRPr="00940192">
        <w:rPr>
          <w:rFonts w:ascii="Times New Roman" w:hAnsi="Times New Roman" w:cs="Times New Roman"/>
          <w:b/>
        </w:rPr>
        <w:t>186</w:t>
      </w:r>
      <w:r w:rsidRPr="00940192">
        <w:rPr>
          <w:rFonts w:ascii="Times New Roman" w:hAnsi="Times New Roman" w:cs="Times New Roman"/>
        </w:rPr>
        <w:t>(1): 37-46.</w:t>
      </w:r>
    </w:p>
    <w:p w14:paraId="6262AAB9" w14:textId="0143B4B0" w:rsidR="00B874F8" w:rsidRPr="00D67DFE" w:rsidRDefault="001A3451" w:rsidP="003D0824">
      <w:pPr>
        <w:spacing w:line="480" w:lineRule="auto"/>
        <w:jc w:val="both"/>
        <w:rPr>
          <w:rFonts w:cs="Arial"/>
          <w:b/>
          <w:bCs/>
          <w:szCs w:val="24"/>
        </w:rPr>
      </w:pPr>
      <w:r w:rsidRPr="00940192">
        <w:rPr>
          <w:rFonts w:ascii="Times New Roman" w:hAnsi="Times New Roman" w:cs="Times New Roman"/>
          <w:b/>
          <w:bCs/>
          <w:szCs w:val="24"/>
        </w:rPr>
        <w:fldChar w:fldCharType="end"/>
      </w:r>
      <w:bookmarkEnd w:id="0"/>
    </w:p>
    <w:sectPr w:rsidR="00B874F8" w:rsidRPr="00D67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073"/>
    <w:multiLevelType w:val="hybridMultilevel"/>
    <w:tmpl w:val="464C6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250658"/>
    <w:multiLevelType w:val="hybridMultilevel"/>
    <w:tmpl w:val="3C40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6439E"/>
    <w:multiLevelType w:val="hybridMultilevel"/>
    <w:tmpl w:val="8FEC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72375"/>
    <w:multiLevelType w:val="hybridMultilevel"/>
    <w:tmpl w:val="49687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4F3CDE"/>
    <w:multiLevelType w:val="hybridMultilevel"/>
    <w:tmpl w:val="5B3EE616"/>
    <w:lvl w:ilvl="0" w:tplc="8634E7D0">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9000D5"/>
    <w:multiLevelType w:val="multilevel"/>
    <w:tmpl w:val="2CD8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41278"/>
    <w:multiLevelType w:val="hybridMultilevel"/>
    <w:tmpl w:val="49687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f55vvz2df590tepzscvfsr10exf5pvww2zz&quot;&gt;My EndNote Library&lt;record-ids&gt;&lt;item&gt;2537&lt;/item&gt;&lt;item&gt;5446&lt;/item&gt;&lt;item&gt;5739&lt;/item&gt;&lt;item&gt;5986&lt;/item&gt;&lt;/record-ids&gt;&lt;/item&gt;&lt;/Libraries&gt;"/>
  </w:docVars>
  <w:rsids>
    <w:rsidRoot w:val="00093BF0"/>
    <w:rsid w:val="00002EDB"/>
    <w:rsid w:val="00035AF1"/>
    <w:rsid w:val="000559CE"/>
    <w:rsid w:val="00093BF0"/>
    <w:rsid w:val="000C7C6F"/>
    <w:rsid w:val="000D4DF2"/>
    <w:rsid w:val="000D6A55"/>
    <w:rsid w:val="00111EC2"/>
    <w:rsid w:val="00112728"/>
    <w:rsid w:val="00147941"/>
    <w:rsid w:val="00152E29"/>
    <w:rsid w:val="00165FA5"/>
    <w:rsid w:val="001913EB"/>
    <w:rsid w:val="001A3451"/>
    <w:rsid w:val="001B1192"/>
    <w:rsid w:val="001B29F5"/>
    <w:rsid w:val="00210722"/>
    <w:rsid w:val="00227195"/>
    <w:rsid w:val="00252D2B"/>
    <w:rsid w:val="00286D6C"/>
    <w:rsid w:val="002D3801"/>
    <w:rsid w:val="002F519C"/>
    <w:rsid w:val="00320516"/>
    <w:rsid w:val="003343F9"/>
    <w:rsid w:val="00396228"/>
    <w:rsid w:val="003D0824"/>
    <w:rsid w:val="00471D66"/>
    <w:rsid w:val="004A4036"/>
    <w:rsid w:val="004B5170"/>
    <w:rsid w:val="004C05A9"/>
    <w:rsid w:val="004C2983"/>
    <w:rsid w:val="004E2F44"/>
    <w:rsid w:val="00517262"/>
    <w:rsid w:val="005425E7"/>
    <w:rsid w:val="00545D01"/>
    <w:rsid w:val="005B3D03"/>
    <w:rsid w:val="005D24E8"/>
    <w:rsid w:val="005E22BE"/>
    <w:rsid w:val="00654279"/>
    <w:rsid w:val="00656560"/>
    <w:rsid w:val="00662788"/>
    <w:rsid w:val="00674F5C"/>
    <w:rsid w:val="006B1CCA"/>
    <w:rsid w:val="006C220B"/>
    <w:rsid w:val="006F6026"/>
    <w:rsid w:val="00717721"/>
    <w:rsid w:val="00741F63"/>
    <w:rsid w:val="007436C7"/>
    <w:rsid w:val="00744B3B"/>
    <w:rsid w:val="00766E6E"/>
    <w:rsid w:val="007B141A"/>
    <w:rsid w:val="007D46D7"/>
    <w:rsid w:val="007E0948"/>
    <w:rsid w:val="008210C8"/>
    <w:rsid w:val="00870561"/>
    <w:rsid w:val="00870D10"/>
    <w:rsid w:val="008857D0"/>
    <w:rsid w:val="008A61AB"/>
    <w:rsid w:val="008A740C"/>
    <w:rsid w:val="008B65A8"/>
    <w:rsid w:val="008C1C4B"/>
    <w:rsid w:val="008E179B"/>
    <w:rsid w:val="00940192"/>
    <w:rsid w:val="009524D1"/>
    <w:rsid w:val="009708B4"/>
    <w:rsid w:val="009A543D"/>
    <w:rsid w:val="009B2D2D"/>
    <w:rsid w:val="009F0B90"/>
    <w:rsid w:val="00A040B9"/>
    <w:rsid w:val="00A2502B"/>
    <w:rsid w:val="00A76F17"/>
    <w:rsid w:val="00A868BF"/>
    <w:rsid w:val="00AA2EF8"/>
    <w:rsid w:val="00AE703C"/>
    <w:rsid w:val="00B0008C"/>
    <w:rsid w:val="00B15E00"/>
    <w:rsid w:val="00B65AEC"/>
    <w:rsid w:val="00B874F8"/>
    <w:rsid w:val="00BB538E"/>
    <w:rsid w:val="00BD1B9E"/>
    <w:rsid w:val="00BD4941"/>
    <w:rsid w:val="00BE1F20"/>
    <w:rsid w:val="00BE581C"/>
    <w:rsid w:val="00BF1A42"/>
    <w:rsid w:val="00C0647E"/>
    <w:rsid w:val="00C136D5"/>
    <w:rsid w:val="00C236FD"/>
    <w:rsid w:val="00C82568"/>
    <w:rsid w:val="00D258C5"/>
    <w:rsid w:val="00D40189"/>
    <w:rsid w:val="00D529A1"/>
    <w:rsid w:val="00D67DFE"/>
    <w:rsid w:val="00D932BC"/>
    <w:rsid w:val="00DC7540"/>
    <w:rsid w:val="00DD3543"/>
    <w:rsid w:val="00E4576C"/>
    <w:rsid w:val="00E82820"/>
    <w:rsid w:val="00EB4348"/>
    <w:rsid w:val="00EC324A"/>
    <w:rsid w:val="00F12AA1"/>
    <w:rsid w:val="00F20485"/>
    <w:rsid w:val="00F71314"/>
    <w:rsid w:val="00F724AF"/>
    <w:rsid w:val="00F87107"/>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D89"/>
  <w15:chartTrackingRefBased/>
  <w15:docId w15:val="{02E80461-FCE7-4275-BA0D-8108593F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20"/>
    <w:rPr>
      <w:rFonts w:ascii="Arial" w:hAnsi="Arial"/>
      <w:sz w:val="24"/>
    </w:rPr>
  </w:style>
  <w:style w:type="paragraph" w:styleId="Heading1">
    <w:name w:val="heading 1"/>
    <w:basedOn w:val="Normal"/>
    <w:next w:val="Normal"/>
    <w:link w:val="Heading1Char"/>
    <w:uiPriority w:val="9"/>
    <w:qFormat/>
    <w:rsid w:val="00F20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5170"/>
    <w:pPr>
      <w:keepNext/>
      <w:spacing w:before="240" w:after="60" w:line="240" w:lineRule="auto"/>
      <w:outlineLvl w:val="1"/>
    </w:pPr>
    <w:rPr>
      <w:rFonts w:asciiTheme="minorHAnsi" w:eastAsiaTheme="majorEastAsia" w:hAnsiTheme="minorHAnsi" w:cs="Arial"/>
      <w:b/>
      <w:bCs/>
      <w:iCs/>
      <w:sz w:val="22"/>
      <w:szCs w:val="28"/>
    </w:rPr>
  </w:style>
  <w:style w:type="paragraph" w:styleId="Heading3">
    <w:name w:val="heading 3"/>
    <w:basedOn w:val="Normal"/>
    <w:next w:val="Normal"/>
    <w:link w:val="Heading3Char"/>
    <w:uiPriority w:val="9"/>
    <w:semiHidden/>
    <w:unhideWhenUsed/>
    <w:qFormat/>
    <w:rsid w:val="009F0B9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Heading2"/>
    <w:link w:val="TableheaderChar"/>
    <w:qFormat/>
    <w:rsid w:val="00B0008C"/>
    <w:rPr>
      <w:rFonts w:ascii="Arial" w:hAnsi="Arial"/>
      <w:b w:val="0"/>
      <w:bCs w:val="0"/>
      <w:iCs w:val="0"/>
      <w:sz w:val="28"/>
    </w:rPr>
  </w:style>
  <w:style w:type="character" w:customStyle="1" w:styleId="TableheaderChar">
    <w:name w:val="Table header Char"/>
    <w:basedOn w:val="Heading2Char"/>
    <w:link w:val="Tableheader"/>
    <w:rsid w:val="00B0008C"/>
    <w:rPr>
      <w:rFonts w:ascii="Arial" w:eastAsiaTheme="majorEastAsia" w:hAnsi="Arial" w:cs="Arial"/>
      <w:b w:val="0"/>
      <w:bCs w:val="0"/>
      <w:iCs w:val="0"/>
      <w:color w:val="2F5496" w:themeColor="accent1" w:themeShade="BF"/>
      <w:sz w:val="28"/>
      <w:szCs w:val="28"/>
    </w:rPr>
  </w:style>
  <w:style w:type="character" w:customStyle="1" w:styleId="Heading2Char">
    <w:name w:val="Heading 2 Char"/>
    <w:basedOn w:val="DefaultParagraphFont"/>
    <w:link w:val="Heading2"/>
    <w:rsid w:val="004B5170"/>
    <w:rPr>
      <w:rFonts w:eastAsiaTheme="majorEastAsia" w:cs="Arial"/>
      <w:b/>
      <w:bCs/>
      <w:iCs/>
      <w:szCs w:val="28"/>
    </w:rPr>
  </w:style>
  <w:style w:type="paragraph" w:styleId="CommentText">
    <w:name w:val="annotation text"/>
    <w:basedOn w:val="Normal"/>
    <w:link w:val="CommentTextChar"/>
    <w:uiPriority w:val="99"/>
    <w:rsid w:val="00B874F8"/>
    <w:pPr>
      <w:spacing w:after="0" w:line="240" w:lineRule="auto"/>
    </w:pPr>
    <w:rPr>
      <w:rFonts w:ascii="Times New Roman" w:hAnsi="Times New Roman" w:cs="Times New Roman"/>
      <w:szCs w:val="20"/>
    </w:rPr>
  </w:style>
  <w:style w:type="character" w:customStyle="1" w:styleId="CommentTextChar">
    <w:name w:val="Comment Text Char"/>
    <w:basedOn w:val="DefaultParagraphFont"/>
    <w:link w:val="CommentText"/>
    <w:uiPriority w:val="99"/>
    <w:rsid w:val="00B874F8"/>
    <w:rPr>
      <w:rFonts w:ascii="Times New Roman" w:hAnsi="Times New Roman" w:cs="Times New Roman"/>
      <w:sz w:val="24"/>
      <w:szCs w:val="20"/>
    </w:rPr>
  </w:style>
  <w:style w:type="character" w:styleId="CommentReference">
    <w:name w:val="annotation reference"/>
    <w:uiPriority w:val="99"/>
    <w:rsid w:val="00B874F8"/>
    <w:rPr>
      <w:sz w:val="16"/>
      <w:szCs w:val="16"/>
    </w:rPr>
  </w:style>
  <w:style w:type="paragraph" w:customStyle="1" w:styleId="BodyText12">
    <w:name w:val="Body Text 12"/>
    <w:link w:val="BodyText12Char"/>
    <w:qFormat/>
    <w:rsid w:val="00F71314"/>
    <w:pPr>
      <w:spacing w:after="240" w:line="264" w:lineRule="auto"/>
      <w:jc w:val="both"/>
    </w:pPr>
    <w:rPr>
      <w:rFonts w:ascii="Times New Roman" w:eastAsia="Times New Roman" w:hAnsi="Times New Roman" w:cs="Times New Roman"/>
      <w:sz w:val="24"/>
      <w:szCs w:val="20"/>
    </w:rPr>
  </w:style>
  <w:style w:type="character" w:customStyle="1" w:styleId="BodyText12Char">
    <w:name w:val="Body Text 12 Char"/>
    <w:link w:val="BodyText12"/>
    <w:locked/>
    <w:rsid w:val="00F71314"/>
    <w:rPr>
      <w:rFonts w:ascii="Times New Roman" w:eastAsia="Times New Roman" w:hAnsi="Times New Roman" w:cs="Times New Roman"/>
      <w:sz w:val="24"/>
      <w:szCs w:val="20"/>
    </w:rPr>
  </w:style>
  <w:style w:type="paragraph" w:styleId="Revision">
    <w:name w:val="Revision"/>
    <w:hidden/>
    <w:uiPriority w:val="99"/>
    <w:semiHidden/>
    <w:rsid w:val="004E2F44"/>
    <w:pPr>
      <w:spacing w:after="0" w:line="240" w:lineRule="auto"/>
    </w:pPr>
    <w:rPr>
      <w:rFonts w:ascii="Arial" w:hAnsi="Arial"/>
      <w:sz w:val="24"/>
    </w:rPr>
  </w:style>
  <w:style w:type="paragraph" w:customStyle="1" w:styleId="EndNoteBibliographyTitle">
    <w:name w:val="EndNote Bibliography Title"/>
    <w:basedOn w:val="Normal"/>
    <w:link w:val="EndNoteBibliographyTitleChar"/>
    <w:rsid w:val="001A3451"/>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1A3451"/>
    <w:rPr>
      <w:rFonts w:ascii="Arial" w:hAnsi="Arial" w:cs="Arial"/>
      <w:noProof/>
      <w:sz w:val="24"/>
    </w:rPr>
  </w:style>
  <w:style w:type="paragraph" w:customStyle="1" w:styleId="EndNoteBibliography">
    <w:name w:val="EndNote Bibliography"/>
    <w:basedOn w:val="Normal"/>
    <w:link w:val="EndNoteBibliographyChar"/>
    <w:rsid w:val="001A3451"/>
    <w:pPr>
      <w:spacing w:line="480" w:lineRule="auto"/>
    </w:pPr>
    <w:rPr>
      <w:rFonts w:cs="Arial"/>
      <w:noProof/>
    </w:rPr>
  </w:style>
  <w:style w:type="character" w:customStyle="1" w:styleId="EndNoteBibliographyChar">
    <w:name w:val="EndNote Bibliography Char"/>
    <w:basedOn w:val="DefaultParagraphFont"/>
    <w:link w:val="EndNoteBibliography"/>
    <w:rsid w:val="001A3451"/>
    <w:rPr>
      <w:rFonts w:ascii="Arial" w:hAnsi="Arial" w:cs="Arial"/>
      <w:noProof/>
      <w:sz w:val="24"/>
    </w:rPr>
  </w:style>
  <w:style w:type="character" w:styleId="Hyperlink">
    <w:name w:val="Hyperlink"/>
    <w:basedOn w:val="DefaultParagraphFont"/>
    <w:uiPriority w:val="99"/>
    <w:unhideWhenUsed/>
    <w:rsid w:val="001A3451"/>
    <w:rPr>
      <w:color w:val="0563C1" w:themeColor="hyperlink"/>
      <w:u w:val="single"/>
    </w:rPr>
  </w:style>
  <w:style w:type="character" w:customStyle="1" w:styleId="UnresolvedMention1">
    <w:name w:val="Unresolved Mention1"/>
    <w:basedOn w:val="DefaultParagraphFont"/>
    <w:uiPriority w:val="99"/>
    <w:semiHidden/>
    <w:unhideWhenUsed/>
    <w:rsid w:val="001A345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740C"/>
    <w:pPr>
      <w:spacing w:after="160"/>
    </w:pPr>
    <w:rPr>
      <w:rFonts w:ascii="Arial" w:hAnsi="Arial" w:cstheme="minorBidi"/>
      <w:b/>
      <w:bCs/>
      <w:sz w:val="20"/>
    </w:rPr>
  </w:style>
  <w:style w:type="character" w:customStyle="1" w:styleId="CommentSubjectChar">
    <w:name w:val="Comment Subject Char"/>
    <w:basedOn w:val="CommentTextChar"/>
    <w:link w:val="CommentSubject"/>
    <w:uiPriority w:val="99"/>
    <w:semiHidden/>
    <w:rsid w:val="008A740C"/>
    <w:rPr>
      <w:rFonts w:ascii="Arial" w:hAnsi="Arial" w:cs="Times New Roman"/>
      <w:b/>
      <w:bCs/>
      <w:sz w:val="20"/>
      <w:szCs w:val="20"/>
    </w:rPr>
  </w:style>
  <w:style w:type="character" w:customStyle="1" w:styleId="Heading3Char">
    <w:name w:val="Heading 3 Char"/>
    <w:basedOn w:val="DefaultParagraphFont"/>
    <w:link w:val="Heading3"/>
    <w:uiPriority w:val="9"/>
    <w:semiHidden/>
    <w:rsid w:val="009F0B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B29F5"/>
    <w:pPr>
      <w:ind w:left="720"/>
      <w:contextualSpacing/>
    </w:pPr>
  </w:style>
  <w:style w:type="paragraph" w:styleId="BalloonText">
    <w:name w:val="Balloon Text"/>
    <w:basedOn w:val="Normal"/>
    <w:link w:val="BalloonTextChar"/>
    <w:uiPriority w:val="99"/>
    <w:semiHidden/>
    <w:unhideWhenUsed/>
    <w:rsid w:val="00F1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A1"/>
    <w:rPr>
      <w:rFonts w:ascii="Segoe UI" w:hAnsi="Segoe UI" w:cs="Segoe UI"/>
      <w:sz w:val="18"/>
      <w:szCs w:val="18"/>
    </w:rPr>
  </w:style>
  <w:style w:type="character" w:customStyle="1" w:styleId="Heading1Char">
    <w:name w:val="Heading 1 Char"/>
    <w:basedOn w:val="DefaultParagraphFont"/>
    <w:link w:val="Heading1"/>
    <w:uiPriority w:val="9"/>
    <w:rsid w:val="00F20485"/>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rsid w:val="00F20485"/>
  </w:style>
  <w:style w:type="character" w:customStyle="1" w:styleId="cit">
    <w:name w:val="cit"/>
    <w:basedOn w:val="DefaultParagraphFont"/>
    <w:rsid w:val="00F2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6417">
      <w:bodyDiv w:val="1"/>
      <w:marLeft w:val="0"/>
      <w:marRight w:val="0"/>
      <w:marTop w:val="0"/>
      <w:marBottom w:val="0"/>
      <w:divBdr>
        <w:top w:val="none" w:sz="0" w:space="0" w:color="auto"/>
        <w:left w:val="none" w:sz="0" w:space="0" w:color="auto"/>
        <w:bottom w:val="none" w:sz="0" w:space="0" w:color="auto"/>
        <w:right w:val="none" w:sz="0" w:space="0" w:color="auto"/>
      </w:divBdr>
    </w:div>
    <w:div w:id="306521500">
      <w:bodyDiv w:val="1"/>
      <w:marLeft w:val="0"/>
      <w:marRight w:val="0"/>
      <w:marTop w:val="0"/>
      <w:marBottom w:val="0"/>
      <w:divBdr>
        <w:top w:val="none" w:sz="0" w:space="0" w:color="auto"/>
        <w:left w:val="none" w:sz="0" w:space="0" w:color="auto"/>
        <w:bottom w:val="none" w:sz="0" w:space="0" w:color="auto"/>
        <w:right w:val="none" w:sz="0" w:space="0" w:color="auto"/>
      </w:divBdr>
      <w:divsChild>
        <w:div w:id="578176108">
          <w:marLeft w:val="0"/>
          <w:marRight w:val="0"/>
          <w:marTop w:val="0"/>
          <w:marBottom w:val="0"/>
          <w:divBdr>
            <w:top w:val="none" w:sz="0" w:space="0" w:color="auto"/>
            <w:left w:val="none" w:sz="0" w:space="0" w:color="auto"/>
            <w:bottom w:val="none" w:sz="0" w:space="0" w:color="auto"/>
            <w:right w:val="none" w:sz="0" w:space="0" w:color="auto"/>
          </w:divBdr>
          <w:divsChild>
            <w:div w:id="901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3042</Words>
  <Characters>17342</Characters>
  <Application>Microsoft Office Word</Application>
  <DocSecurity>0</DocSecurity>
  <PresentationFormat/>
  <Lines>144</Lines>
  <Paragraphs>40</Paragraphs>
  <Slides>0</Slides>
  <Notes>0</Notes>
  <HiddenSlides>0</HiddenSlides>
  <MMClips>0</MMClip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Exclusion Criteria</vt:lpstr>
      <vt:lpstr>        Subjects were excluded from the study based on the following exclusion criteria:</vt:lpstr>
    </vt:vector>
  </TitlesOfParts>
  <Manager/>
  <Company/>
  <LinksUpToDate>false</LinksUpToDate>
  <CharactersWithSpaces>20344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Suneetha Pothakamuri</dc:creator>
  <cp:keywords/>
  <dc:description/>
  <cp:lastModifiedBy>Suneetha Pothakamuri</cp:lastModifiedBy>
  <cp:revision>17</cp:revision>
  <cp:lastPrinted>2022-02-09T11:54:00Z</cp:lastPrinted>
  <dcterms:created xsi:type="dcterms:W3CDTF">2022-02-09T11:49:00Z</dcterms:created>
  <dcterms:modified xsi:type="dcterms:W3CDTF">2022-03-08T10:22:00Z</dcterms:modified>
  <cp:category/>
  <cp:contentStatus/>
  <dc:language/>
  <cp:version/>
</cp:coreProperties>
</file>