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969CA" w14:textId="628206CB" w:rsidR="00C471DC" w:rsidRPr="00C471DC" w:rsidRDefault="008E64B9" w:rsidP="007C0F7A">
      <w:pPr>
        <w:jc w:val="center"/>
        <w:rPr>
          <w:rFonts w:ascii="Times New Roman" w:hAnsi="Times New Roman" w:cs="Times New Roman"/>
          <w:b/>
          <w:sz w:val="24"/>
          <w:szCs w:val="24"/>
          <w:u w:val="single"/>
        </w:rPr>
      </w:pPr>
      <w:r w:rsidRPr="008E64B9">
        <w:rPr>
          <w:rFonts w:ascii="Times New Roman" w:hAnsi="Times New Roman" w:cs="Times New Roman"/>
          <w:b/>
          <w:sz w:val="24"/>
          <w:szCs w:val="24"/>
          <w:u w:val="single"/>
        </w:rPr>
        <w:t>Supplementary Material</w:t>
      </w:r>
    </w:p>
    <w:p w14:paraId="4A92B439" w14:textId="188EFED6" w:rsidR="00406E7B" w:rsidRDefault="00406E7B" w:rsidP="00C471DC">
      <w:pPr>
        <w:spacing w:line="240" w:lineRule="auto"/>
        <w:rPr>
          <w:rFonts w:ascii="Times New Roman" w:hAnsi="Times New Roman" w:cs="Times New Roman"/>
          <w:b/>
          <w:sz w:val="24"/>
          <w:szCs w:val="24"/>
        </w:rPr>
      </w:pPr>
      <w:r w:rsidRPr="005704A4">
        <w:rPr>
          <w:rFonts w:ascii="Times New Roman" w:hAnsi="Times New Roman" w:cs="Times New Roman"/>
          <w:b/>
          <w:sz w:val="24"/>
          <w:szCs w:val="24"/>
          <w:lang w:val="en-US"/>
        </w:rPr>
        <w:t xml:space="preserve">Transmission blocking activity of low dose tafenoquine in healthy volunteers experimentally infected with </w:t>
      </w:r>
      <w:r w:rsidRPr="005704A4">
        <w:rPr>
          <w:rFonts w:ascii="Times New Roman" w:hAnsi="Times New Roman" w:cs="Times New Roman"/>
          <w:b/>
          <w:i/>
          <w:sz w:val="24"/>
          <w:szCs w:val="24"/>
          <w:lang w:val="en-US"/>
        </w:rPr>
        <w:t>Plasmodium falciparum</w:t>
      </w:r>
    </w:p>
    <w:p w14:paraId="78F186E2" w14:textId="5BA44CD6" w:rsidR="00406E7B" w:rsidRDefault="00406E7B" w:rsidP="00C471DC">
      <w:pPr>
        <w:spacing w:line="240" w:lineRule="auto"/>
        <w:rPr>
          <w:rFonts w:ascii="Times New Roman" w:hAnsi="Times New Roman" w:cs="Times New Roman"/>
          <w:b/>
          <w:sz w:val="24"/>
          <w:szCs w:val="24"/>
        </w:rPr>
      </w:pPr>
      <w:r w:rsidRPr="00054933">
        <w:rPr>
          <w:rFonts w:ascii="Times New Roman" w:hAnsi="Times New Roman" w:cs="Times New Roman"/>
          <w:sz w:val="24"/>
          <w:szCs w:val="24"/>
          <w:lang w:val="en-US"/>
        </w:rPr>
        <w:t>Rebecca Webster,</w:t>
      </w:r>
      <w:r w:rsidRPr="00054933">
        <w:rPr>
          <w:rFonts w:ascii="Times New Roman" w:hAnsi="Times New Roman" w:cs="Times New Roman"/>
          <w:sz w:val="24"/>
          <w:szCs w:val="24"/>
          <w:vertAlign w:val="superscript"/>
          <w:lang w:val="en-US"/>
        </w:rPr>
        <w:t xml:space="preserve"> </w:t>
      </w:r>
      <w:r w:rsidRPr="00645CB5">
        <w:rPr>
          <w:rFonts w:ascii="Times New Roman" w:hAnsi="Times New Roman" w:cs="Times New Roman"/>
          <w:sz w:val="24"/>
          <w:szCs w:val="24"/>
        </w:rPr>
        <w:t xml:space="preserve">Hayley Mitchell, Jenny </w:t>
      </w:r>
      <w:r w:rsidR="00E22465">
        <w:rPr>
          <w:rFonts w:ascii="Times New Roman" w:hAnsi="Times New Roman" w:cs="Times New Roman"/>
          <w:sz w:val="24"/>
          <w:szCs w:val="24"/>
        </w:rPr>
        <w:t xml:space="preserve">M. </w:t>
      </w:r>
      <w:r w:rsidRPr="00645CB5">
        <w:rPr>
          <w:rFonts w:ascii="Times New Roman" w:hAnsi="Times New Roman" w:cs="Times New Roman"/>
          <w:sz w:val="24"/>
          <w:szCs w:val="24"/>
        </w:rPr>
        <w:t xml:space="preserve">Peters, Juanita </w:t>
      </w:r>
      <w:proofErr w:type="spellStart"/>
      <w:r w:rsidRPr="00645CB5">
        <w:rPr>
          <w:rFonts w:ascii="Times New Roman" w:hAnsi="Times New Roman" w:cs="Times New Roman"/>
          <w:sz w:val="24"/>
          <w:szCs w:val="24"/>
        </w:rPr>
        <w:t>Heunis</w:t>
      </w:r>
      <w:proofErr w:type="spellEnd"/>
      <w:r w:rsidRPr="00645CB5">
        <w:rPr>
          <w:rFonts w:ascii="Times New Roman" w:hAnsi="Times New Roman" w:cs="Times New Roman"/>
          <w:sz w:val="24"/>
          <w:szCs w:val="24"/>
        </w:rPr>
        <w:t>, Brighid O’Neil</w:t>
      </w:r>
      <w:r w:rsidR="00E94974">
        <w:rPr>
          <w:rFonts w:ascii="Times New Roman" w:hAnsi="Times New Roman" w:cs="Times New Roman"/>
          <w:sz w:val="24"/>
          <w:szCs w:val="24"/>
        </w:rPr>
        <w:t>l</w:t>
      </w:r>
      <w:r w:rsidRPr="00645CB5">
        <w:rPr>
          <w:rFonts w:ascii="Times New Roman" w:hAnsi="Times New Roman" w:cs="Times New Roman"/>
          <w:sz w:val="24"/>
          <w:szCs w:val="24"/>
        </w:rPr>
        <w:t xml:space="preserve">, </w:t>
      </w:r>
      <w:r w:rsidRPr="00E51387">
        <w:rPr>
          <w:rFonts w:ascii="Times New Roman" w:hAnsi="Times New Roman" w:cs="Times New Roman"/>
          <w:sz w:val="24"/>
          <w:szCs w:val="24"/>
        </w:rPr>
        <w:t>Jeremy Gower</w:t>
      </w:r>
      <w:r w:rsidRPr="00645CB5">
        <w:rPr>
          <w:rFonts w:ascii="Times New Roman" w:hAnsi="Times New Roman" w:cs="Times New Roman"/>
          <w:sz w:val="24"/>
          <w:szCs w:val="24"/>
        </w:rPr>
        <w:t>, Sean Lynch</w:t>
      </w:r>
      <w:r>
        <w:rPr>
          <w:rFonts w:ascii="Times New Roman" w:hAnsi="Times New Roman" w:cs="Times New Roman"/>
          <w:sz w:val="24"/>
          <w:szCs w:val="24"/>
        </w:rPr>
        <w:t>,</w:t>
      </w:r>
      <w:r w:rsidRPr="002D1D13">
        <w:rPr>
          <w:rFonts w:ascii="Times New Roman" w:hAnsi="Times New Roman" w:cs="Times New Roman"/>
          <w:sz w:val="24"/>
          <w:szCs w:val="24"/>
        </w:rPr>
        <w:t xml:space="preserve"> </w:t>
      </w:r>
      <w:r w:rsidRPr="00054933">
        <w:rPr>
          <w:rFonts w:ascii="Times New Roman" w:hAnsi="Times New Roman" w:cs="Times New Roman"/>
          <w:sz w:val="24"/>
          <w:szCs w:val="24"/>
          <w:lang w:val="en-US"/>
        </w:rPr>
        <w:t>Helen Jennings, Fiona Amante,</w:t>
      </w:r>
      <w:r w:rsidR="00396801" w:rsidRPr="00396801">
        <w:rPr>
          <w:rFonts w:ascii="Times New Roman" w:hAnsi="Times New Roman" w:cs="Times New Roman"/>
          <w:sz w:val="24"/>
          <w:szCs w:val="24"/>
        </w:rPr>
        <w:t xml:space="preserve"> </w:t>
      </w:r>
      <w:r w:rsidR="00396801" w:rsidRPr="00645CB5">
        <w:rPr>
          <w:rFonts w:ascii="Times New Roman" w:hAnsi="Times New Roman" w:cs="Times New Roman"/>
          <w:sz w:val="24"/>
          <w:szCs w:val="24"/>
        </w:rPr>
        <w:t>Stacey Llewellyn</w:t>
      </w:r>
      <w:r w:rsidR="00396801">
        <w:rPr>
          <w:rFonts w:ascii="Times New Roman" w:hAnsi="Times New Roman" w:cs="Times New Roman"/>
          <w:sz w:val="24"/>
          <w:szCs w:val="24"/>
        </w:rPr>
        <w:t>,</w:t>
      </w:r>
      <w:r w:rsidRPr="00054933">
        <w:rPr>
          <w:rFonts w:ascii="Times New Roman" w:hAnsi="Times New Roman" w:cs="Times New Roman"/>
          <w:sz w:val="24"/>
          <w:szCs w:val="24"/>
          <w:lang w:val="en-US"/>
        </w:rPr>
        <w:t xml:space="preserve"> </w:t>
      </w:r>
      <w:r w:rsidRPr="00C26464">
        <w:rPr>
          <w:rFonts w:ascii="Times New Roman" w:hAnsi="Times New Roman" w:cs="Times New Roman"/>
          <w:sz w:val="24"/>
          <w:szCs w:val="24"/>
          <w:lang w:val="en-US"/>
        </w:rPr>
        <w:t>Louise Marquart</w:t>
      </w:r>
      <w:r>
        <w:rPr>
          <w:rFonts w:ascii="Times New Roman" w:hAnsi="Times New Roman" w:cs="Times New Roman"/>
          <w:sz w:val="24"/>
          <w:szCs w:val="24"/>
          <w:lang w:val="en-US"/>
        </w:rPr>
        <w:t xml:space="preserve">, </w:t>
      </w:r>
      <w:r w:rsidR="00396801" w:rsidRPr="00C26464">
        <w:rPr>
          <w:rFonts w:ascii="Times New Roman" w:hAnsi="Times New Roman" w:cs="Times New Roman"/>
          <w:sz w:val="24"/>
          <w:szCs w:val="24"/>
          <w:lang w:val="en-US"/>
        </w:rPr>
        <w:t xml:space="preserve">Adam </w:t>
      </w:r>
      <w:r w:rsidR="00E51387">
        <w:rPr>
          <w:rFonts w:ascii="Times New Roman" w:hAnsi="Times New Roman" w:cs="Times New Roman"/>
          <w:sz w:val="24"/>
          <w:szCs w:val="24"/>
          <w:lang w:val="en-US"/>
        </w:rPr>
        <w:t xml:space="preserve">J. </w:t>
      </w:r>
      <w:r w:rsidR="00396801" w:rsidRPr="00C26464">
        <w:rPr>
          <w:rFonts w:ascii="Times New Roman" w:hAnsi="Times New Roman" w:cs="Times New Roman"/>
          <w:sz w:val="24"/>
          <w:szCs w:val="24"/>
          <w:lang w:val="en-US"/>
        </w:rPr>
        <w:t>Potter</w:t>
      </w:r>
      <w:r w:rsidR="00396801">
        <w:rPr>
          <w:rFonts w:ascii="Times New Roman" w:hAnsi="Times New Roman" w:cs="Times New Roman"/>
          <w:sz w:val="24"/>
          <w:szCs w:val="24"/>
          <w:lang w:val="en-US"/>
        </w:rPr>
        <w:t xml:space="preserve">, </w:t>
      </w:r>
      <w:r w:rsidR="00396801" w:rsidRPr="00320DF8">
        <w:rPr>
          <w:rFonts w:ascii="Times New Roman" w:hAnsi="Times New Roman" w:cs="Times New Roman"/>
          <w:sz w:val="24"/>
          <w:szCs w:val="24"/>
        </w:rPr>
        <w:t>Geoff</w:t>
      </w:r>
      <w:r w:rsidR="0033390A" w:rsidRPr="00320DF8">
        <w:rPr>
          <w:rFonts w:ascii="Times New Roman" w:hAnsi="Times New Roman" w:cs="Times New Roman"/>
          <w:sz w:val="24"/>
          <w:szCs w:val="24"/>
        </w:rPr>
        <w:t>rey W</w:t>
      </w:r>
      <w:r w:rsidR="0033390A">
        <w:rPr>
          <w:rFonts w:ascii="Times New Roman" w:hAnsi="Times New Roman" w:cs="Times New Roman"/>
          <w:sz w:val="24"/>
          <w:szCs w:val="24"/>
        </w:rPr>
        <w:t>.</w:t>
      </w:r>
      <w:r w:rsidR="00396801" w:rsidRPr="00814D3C">
        <w:rPr>
          <w:rFonts w:ascii="Times New Roman" w:hAnsi="Times New Roman" w:cs="Times New Roman"/>
          <w:sz w:val="24"/>
          <w:szCs w:val="24"/>
        </w:rPr>
        <w:t xml:space="preserve"> </w:t>
      </w:r>
      <w:r w:rsidR="00396801">
        <w:rPr>
          <w:rFonts w:ascii="Times New Roman" w:hAnsi="Times New Roman" w:cs="Times New Roman"/>
          <w:sz w:val="24"/>
          <w:szCs w:val="24"/>
        </w:rPr>
        <w:t>Birrell</w:t>
      </w:r>
      <w:r w:rsidR="00396801" w:rsidRPr="00E609FC">
        <w:rPr>
          <w:rFonts w:ascii="Times New Roman" w:hAnsi="Times New Roman" w:cs="Times New Roman"/>
          <w:sz w:val="24"/>
          <w:szCs w:val="24"/>
        </w:rPr>
        <w:t xml:space="preserve">, </w:t>
      </w:r>
      <w:r w:rsidR="00396801" w:rsidRPr="00173798">
        <w:rPr>
          <w:rFonts w:ascii="Times New Roman" w:hAnsi="Times New Roman" w:cs="Times New Roman"/>
          <w:sz w:val="24"/>
          <w:szCs w:val="24"/>
          <w:lang w:val="en-US"/>
        </w:rPr>
        <w:t>Michael D. Edstein</w:t>
      </w:r>
      <w:r w:rsidR="00396801" w:rsidRPr="00396801">
        <w:rPr>
          <w:rFonts w:ascii="Times New Roman" w:hAnsi="Times New Roman" w:cs="Times New Roman"/>
          <w:sz w:val="24"/>
          <w:szCs w:val="24"/>
          <w:lang w:val="en-US"/>
        </w:rPr>
        <w:t>,</w:t>
      </w:r>
      <w:r w:rsidR="00396801">
        <w:rPr>
          <w:rFonts w:ascii="Times New Roman" w:hAnsi="Times New Roman" w:cs="Times New Roman"/>
          <w:sz w:val="24"/>
          <w:szCs w:val="24"/>
          <w:vertAlign w:val="superscript"/>
          <w:lang w:val="en-US"/>
        </w:rPr>
        <w:t xml:space="preserve"> </w:t>
      </w:r>
      <w:r w:rsidR="00396801" w:rsidRPr="00396801">
        <w:rPr>
          <w:rFonts w:ascii="Times New Roman" w:hAnsi="Times New Roman" w:cs="Times New Roman"/>
          <w:sz w:val="24"/>
          <w:szCs w:val="24"/>
          <w:lang w:val="en-US"/>
        </w:rPr>
        <w:t>G.</w:t>
      </w:r>
      <w:r w:rsidR="00396801">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Dennis Shanks, </w:t>
      </w:r>
      <w:r w:rsidRPr="00054933">
        <w:rPr>
          <w:rFonts w:ascii="Times New Roman" w:hAnsi="Times New Roman" w:cs="Times New Roman"/>
          <w:sz w:val="24"/>
          <w:szCs w:val="24"/>
          <w:lang w:val="en-US"/>
        </w:rPr>
        <w:t>James S. McCarthy</w:t>
      </w:r>
      <w:r>
        <w:rPr>
          <w:rFonts w:ascii="Times New Roman" w:hAnsi="Times New Roman" w:cs="Times New Roman"/>
          <w:sz w:val="24"/>
          <w:szCs w:val="24"/>
          <w:lang w:val="en-US"/>
        </w:rPr>
        <w:t>,</w:t>
      </w:r>
      <w:r w:rsidRPr="00C26464">
        <w:rPr>
          <w:rFonts w:ascii="Times New Roman" w:hAnsi="Times New Roman" w:cs="Times New Roman"/>
          <w:sz w:val="24"/>
          <w:szCs w:val="24"/>
          <w:lang w:val="en-US"/>
        </w:rPr>
        <w:t xml:space="preserve"> </w:t>
      </w:r>
      <w:r w:rsidRPr="00054933">
        <w:rPr>
          <w:rFonts w:ascii="Times New Roman" w:hAnsi="Times New Roman" w:cs="Times New Roman"/>
          <w:sz w:val="24"/>
          <w:szCs w:val="24"/>
          <w:lang w:val="en-US"/>
        </w:rPr>
        <w:t xml:space="preserve">Bridget </w:t>
      </w:r>
      <w:r>
        <w:rPr>
          <w:rFonts w:ascii="Times New Roman" w:hAnsi="Times New Roman" w:cs="Times New Roman"/>
          <w:sz w:val="24"/>
          <w:szCs w:val="24"/>
          <w:lang w:val="en-US"/>
        </w:rPr>
        <w:t xml:space="preserve">E. </w:t>
      </w:r>
      <w:r w:rsidRPr="00054933">
        <w:rPr>
          <w:rFonts w:ascii="Times New Roman" w:hAnsi="Times New Roman" w:cs="Times New Roman"/>
          <w:sz w:val="24"/>
          <w:szCs w:val="24"/>
          <w:lang w:val="en-US"/>
        </w:rPr>
        <w:t>Barber</w:t>
      </w:r>
    </w:p>
    <w:p w14:paraId="6D9024E0" w14:textId="74F7B4D6" w:rsidR="00C471DC" w:rsidRPr="00C471DC" w:rsidRDefault="00C471DC" w:rsidP="00C471DC">
      <w:pPr>
        <w:spacing w:line="24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lang w:val="en-AU"/>
        </w:rPr>
        <w:id w:val="-1034345240"/>
        <w:docPartObj>
          <w:docPartGallery w:val="Table of Contents"/>
          <w:docPartUnique/>
        </w:docPartObj>
      </w:sdtPr>
      <w:sdtEndPr>
        <w:rPr>
          <w:rFonts w:ascii="Times New Roman" w:hAnsi="Times New Roman" w:cs="Times New Roman"/>
          <w:b/>
          <w:bCs/>
          <w:noProof/>
          <w:sz w:val="24"/>
          <w:szCs w:val="24"/>
        </w:rPr>
      </w:sdtEndPr>
      <w:sdtContent>
        <w:p w14:paraId="4812BF7F" w14:textId="3EFF69E4" w:rsidR="00F0383F" w:rsidRDefault="00F0383F">
          <w:pPr>
            <w:pStyle w:val="TOCHeading"/>
          </w:pPr>
          <w:r>
            <w:t>Contents</w:t>
          </w:r>
        </w:p>
        <w:p w14:paraId="5D7F1517" w14:textId="260439A9" w:rsidR="006370AB" w:rsidRDefault="00F0383F">
          <w:pPr>
            <w:pStyle w:val="TOC1"/>
            <w:tabs>
              <w:tab w:val="right" w:leader="dot" w:pos="9016"/>
            </w:tabs>
            <w:rPr>
              <w:rFonts w:eastAsiaTheme="minorEastAsia"/>
              <w:noProof/>
              <w:lang w:eastAsia="en-AU"/>
            </w:rPr>
          </w:pPr>
          <w:r w:rsidRPr="00694414">
            <w:rPr>
              <w:rFonts w:ascii="Times New Roman" w:hAnsi="Times New Roman" w:cs="Times New Roman"/>
              <w:sz w:val="24"/>
              <w:szCs w:val="24"/>
            </w:rPr>
            <w:fldChar w:fldCharType="begin"/>
          </w:r>
          <w:r w:rsidRPr="00694414">
            <w:rPr>
              <w:rFonts w:ascii="Times New Roman" w:hAnsi="Times New Roman" w:cs="Times New Roman"/>
              <w:sz w:val="24"/>
              <w:szCs w:val="24"/>
            </w:rPr>
            <w:instrText xml:space="preserve"> TOC \o "1-3" \h \z \u </w:instrText>
          </w:r>
          <w:r w:rsidRPr="00694414">
            <w:rPr>
              <w:rFonts w:ascii="Times New Roman" w:hAnsi="Times New Roman" w:cs="Times New Roman"/>
              <w:sz w:val="24"/>
              <w:szCs w:val="24"/>
            </w:rPr>
            <w:fldChar w:fldCharType="separate"/>
          </w:r>
          <w:hyperlink w:anchor="_Toc98320996" w:history="1">
            <w:r w:rsidR="006370AB" w:rsidRPr="00E93651">
              <w:rPr>
                <w:rStyle w:val="Hyperlink"/>
                <w:rFonts w:ascii="Times New Roman" w:hAnsi="Times New Roman" w:cs="Times New Roman"/>
                <w:b/>
                <w:noProof/>
              </w:rPr>
              <w:t>Figure S1.</w:t>
            </w:r>
            <w:r w:rsidR="006370AB" w:rsidRPr="00E93651">
              <w:rPr>
                <w:rStyle w:val="Hyperlink"/>
                <w:rFonts w:ascii="Times New Roman" w:hAnsi="Times New Roman" w:cs="Times New Roman"/>
                <w:noProof/>
              </w:rPr>
              <w:t xml:space="preserve"> Individual participant female (A) and male (B) gametocytemia-time profiles.</w:t>
            </w:r>
            <w:r w:rsidR="006370AB">
              <w:rPr>
                <w:noProof/>
                <w:webHidden/>
              </w:rPr>
              <w:tab/>
            </w:r>
            <w:r w:rsidR="006370AB">
              <w:rPr>
                <w:noProof/>
                <w:webHidden/>
              </w:rPr>
              <w:fldChar w:fldCharType="begin"/>
            </w:r>
            <w:r w:rsidR="006370AB">
              <w:rPr>
                <w:noProof/>
                <w:webHidden/>
              </w:rPr>
              <w:instrText xml:space="preserve"> PAGEREF _Toc98320996 \h </w:instrText>
            </w:r>
            <w:r w:rsidR="006370AB">
              <w:rPr>
                <w:noProof/>
                <w:webHidden/>
              </w:rPr>
            </w:r>
            <w:r w:rsidR="006370AB">
              <w:rPr>
                <w:noProof/>
                <w:webHidden/>
              </w:rPr>
              <w:fldChar w:fldCharType="separate"/>
            </w:r>
            <w:r w:rsidR="006370AB">
              <w:rPr>
                <w:noProof/>
                <w:webHidden/>
              </w:rPr>
              <w:t>2</w:t>
            </w:r>
            <w:r w:rsidR="006370AB">
              <w:rPr>
                <w:noProof/>
                <w:webHidden/>
              </w:rPr>
              <w:fldChar w:fldCharType="end"/>
            </w:r>
          </w:hyperlink>
        </w:p>
        <w:p w14:paraId="6F590D69" w14:textId="5F2D3D1F" w:rsidR="006370AB" w:rsidRDefault="006370AB">
          <w:pPr>
            <w:pStyle w:val="TOC1"/>
            <w:tabs>
              <w:tab w:val="right" w:leader="dot" w:pos="9016"/>
            </w:tabs>
            <w:rPr>
              <w:rFonts w:eastAsiaTheme="minorEastAsia"/>
              <w:noProof/>
              <w:lang w:eastAsia="en-AU"/>
            </w:rPr>
          </w:pPr>
          <w:hyperlink w:anchor="_Toc98320997" w:history="1">
            <w:r w:rsidRPr="00E93651">
              <w:rPr>
                <w:rStyle w:val="Hyperlink"/>
                <w:rFonts w:ascii="Times New Roman" w:hAnsi="Times New Roman" w:cs="Times New Roman"/>
                <w:b/>
                <w:noProof/>
              </w:rPr>
              <w:t>Figure S2.</w:t>
            </w:r>
            <w:r w:rsidRPr="00E93651">
              <w:rPr>
                <w:rStyle w:val="Hyperlink"/>
                <w:rFonts w:ascii="Times New Roman" w:hAnsi="Times New Roman" w:cs="Times New Roman"/>
                <w:noProof/>
              </w:rPr>
              <w:t xml:space="preserve"> Individual participant hemoglobin-time profiles.</w:t>
            </w:r>
            <w:r>
              <w:rPr>
                <w:noProof/>
                <w:webHidden/>
              </w:rPr>
              <w:tab/>
            </w:r>
            <w:r>
              <w:rPr>
                <w:noProof/>
                <w:webHidden/>
              </w:rPr>
              <w:fldChar w:fldCharType="begin"/>
            </w:r>
            <w:r>
              <w:rPr>
                <w:noProof/>
                <w:webHidden/>
              </w:rPr>
              <w:instrText xml:space="preserve"> PAGEREF _Toc98320997 \h </w:instrText>
            </w:r>
            <w:r>
              <w:rPr>
                <w:noProof/>
                <w:webHidden/>
              </w:rPr>
            </w:r>
            <w:r>
              <w:rPr>
                <w:noProof/>
                <w:webHidden/>
              </w:rPr>
              <w:fldChar w:fldCharType="separate"/>
            </w:r>
            <w:r>
              <w:rPr>
                <w:noProof/>
                <w:webHidden/>
              </w:rPr>
              <w:t>4</w:t>
            </w:r>
            <w:r>
              <w:rPr>
                <w:noProof/>
                <w:webHidden/>
              </w:rPr>
              <w:fldChar w:fldCharType="end"/>
            </w:r>
          </w:hyperlink>
        </w:p>
        <w:p w14:paraId="4664713A" w14:textId="28F8B9E1" w:rsidR="006370AB" w:rsidRDefault="006370AB">
          <w:pPr>
            <w:pStyle w:val="TOC1"/>
            <w:tabs>
              <w:tab w:val="right" w:leader="dot" w:pos="9016"/>
            </w:tabs>
            <w:rPr>
              <w:rFonts w:eastAsiaTheme="minorEastAsia"/>
              <w:noProof/>
              <w:lang w:eastAsia="en-AU"/>
            </w:rPr>
          </w:pPr>
          <w:hyperlink w:anchor="_Toc98320998" w:history="1">
            <w:r w:rsidRPr="00E93651">
              <w:rPr>
                <w:rStyle w:val="Hyperlink"/>
                <w:rFonts w:ascii="Times New Roman" w:hAnsi="Times New Roman" w:cs="Times New Roman"/>
                <w:b/>
                <w:noProof/>
              </w:rPr>
              <w:t>Table S1.</w:t>
            </w:r>
            <w:r w:rsidRPr="00E93651">
              <w:rPr>
                <w:rStyle w:val="Hyperlink"/>
                <w:rFonts w:ascii="Times New Roman" w:hAnsi="Times New Roman" w:cs="Times New Roman"/>
                <w:noProof/>
              </w:rPr>
              <w:t xml:space="preserve"> Incidence of adverse events by participant.</w:t>
            </w:r>
            <w:r>
              <w:rPr>
                <w:noProof/>
                <w:webHidden/>
              </w:rPr>
              <w:tab/>
            </w:r>
            <w:r>
              <w:rPr>
                <w:noProof/>
                <w:webHidden/>
              </w:rPr>
              <w:fldChar w:fldCharType="begin"/>
            </w:r>
            <w:r>
              <w:rPr>
                <w:noProof/>
                <w:webHidden/>
              </w:rPr>
              <w:instrText xml:space="preserve"> PAGEREF _Toc98320998 \h </w:instrText>
            </w:r>
            <w:r>
              <w:rPr>
                <w:noProof/>
                <w:webHidden/>
              </w:rPr>
            </w:r>
            <w:r>
              <w:rPr>
                <w:noProof/>
                <w:webHidden/>
              </w:rPr>
              <w:fldChar w:fldCharType="separate"/>
            </w:r>
            <w:r>
              <w:rPr>
                <w:noProof/>
                <w:webHidden/>
              </w:rPr>
              <w:t>5</w:t>
            </w:r>
            <w:r>
              <w:rPr>
                <w:noProof/>
                <w:webHidden/>
              </w:rPr>
              <w:fldChar w:fldCharType="end"/>
            </w:r>
          </w:hyperlink>
        </w:p>
        <w:p w14:paraId="1658901F" w14:textId="660DA034" w:rsidR="006370AB" w:rsidRDefault="006370AB">
          <w:pPr>
            <w:pStyle w:val="TOC1"/>
            <w:tabs>
              <w:tab w:val="right" w:leader="dot" w:pos="9016"/>
            </w:tabs>
            <w:rPr>
              <w:rFonts w:eastAsiaTheme="minorEastAsia"/>
              <w:noProof/>
              <w:lang w:eastAsia="en-AU"/>
            </w:rPr>
          </w:pPr>
          <w:hyperlink w:anchor="_Toc98320999" w:history="1">
            <w:r w:rsidRPr="00E93651">
              <w:rPr>
                <w:rStyle w:val="Hyperlink"/>
                <w:rFonts w:ascii="Times New Roman" w:hAnsi="Times New Roman" w:cs="Times New Roman"/>
                <w:b/>
                <w:noProof/>
              </w:rPr>
              <w:t>Text S1.</w:t>
            </w:r>
            <w:r w:rsidRPr="00E93651">
              <w:rPr>
                <w:rStyle w:val="Hyperlink"/>
                <w:rFonts w:ascii="Times New Roman" w:hAnsi="Times New Roman" w:cs="Times New Roman"/>
                <w:noProof/>
              </w:rPr>
              <w:t xml:space="preserve"> Participant eligibility selection criteria</w:t>
            </w:r>
            <w:r>
              <w:rPr>
                <w:noProof/>
                <w:webHidden/>
              </w:rPr>
              <w:tab/>
            </w:r>
            <w:r>
              <w:rPr>
                <w:noProof/>
                <w:webHidden/>
              </w:rPr>
              <w:fldChar w:fldCharType="begin"/>
            </w:r>
            <w:r>
              <w:rPr>
                <w:noProof/>
                <w:webHidden/>
              </w:rPr>
              <w:instrText xml:space="preserve"> PAGEREF _Toc98320999 \h </w:instrText>
            </w:r>
            <w:r>
              <w:rPr>
                <w:noProof/>
                <w:webHidden/>
              </w:rPr>
            </w:r>
            <w:r>
              <w:rPr>
                <w:noProof/>
                <w:webHidden/>
              </w:rPr>
              <w:fldChar w:fldCharType="separate"/>
            </w:r>
            <w:r>
              <w:rPr>
                <w:noProof/>
                <w:webHidden/>
              </w:rPr>
              <w:t>6</w:t>
            </w:r>
            <w:r>
              <w:rPr>
                <w:noProof/>
                <w:webHidden/>
              </w:rPr>
              <w:fldChar w:fldCharType="end"/>
            </w:r>
          </w:hyperlink>
        </w:p>
        <w:p w14:paraId="5E9DA4C4" w14:textId="76FE9FBF" w:rsidR="006370AB" w:rsidRDefault="006370AB">
          <w:pPr>
            <w:pStyle w:val="TOC1"/>
            <w:tabs>
              <w:tab w:val="right" w:leader="dot" w:pos="9016"/>
            </w:tabs>
            <w:rPr>
              <w:rFonts w:eastAsiaTheme="minorEastAsia"/>
              <w:noProof/>
              <w:lang w:eastAsia="en-AU"/>
            </w:rPr>
          </w:pPr>
          <w:hyperlink w:anchor="_Toc98321000" w:history="1">
            <w:r w:rsidRPr="00E93651">
              <w:rPr>
                <w:rStyle w:val="Hyperlink"/>
                <w:rFonts w:ascii="Times New Roman" w:hAnsi="Times New Roman" w:cs="Times New Roman"/>
                <w:b/>
                <w:noProof/>
              </w:rPr>
              <w:t>Text S2.</w:t>
            </w:r>
            <w:r w:rsidRPr="00E93651">
              <w:rPr>
                <w:rStyle w:val="Hyperlink"/>
                <w:rFonts w:ascii="Times New Roman" w:hAnsi="Times New Roman" w:cs="Times New Roman"/>
                <w:noProof/>
              </w:rPr>
              <w:t xml:space="preserve"> qPCR analysis of mosquito head/thorax dissections</w:t>
            </w:r>
            <w:r>
              <w:rPr>
                <w:noProof/>
                <w:webHidden/>
              </w:rPr>
              <w:tab/>
            </w:r>
            <w:r>
              <w:rPr>
                <w:noProof/>
                <w:webHidden/>
              </w:rPr>
              <w:fldChar w:fldCharType="begin"/>
            </w:r>
            <w:r>
              <w:rPr>
                <w:noProof/>
                <w:webHidden/>
              </w:rPr>
              <w:instrText xml:space="preserve"> PAGEREF _Toc98321000 \h </w:instrText>
            </w:r>
            <w:r>
              <w:rPr>
                <w:noProof/>
                <w:webHidden/>
              </w:rPr>
            </w:r>
            <w:r>
              <w:rPr>
                <w:noProof/>
                <w:webHidden/>
              </w:rPr>
              <w:fldChar w:fldCharType="separate"/>
            </w:r>
            <w:r>
              <w:rPr>
                <w:noProof/>
                <w:webHidden/>
              </w:rPr>
              <w:t>10</w:t>
            </w:r>
            <w:r>
              <w:rPr>
                <w:noProof/>
                <w:webHidden/>
              </w:rPr>
              <w:fldChar w:fldCharType="end"/>
            </w:r>
          </w:hyperlink>
        </w:p>
        <w:p w14:paraId="08A3EAAE" w14:textId="6DDD4A7A" w:rsidR="00C471DC" w:rsidRPr="00694414" w:rsidRDefault="00F0383F">
          <w:pPr>
            <w:rPr>
              <w:rFonts w:ascii="Times New Roman" w:hAnsi="Times New Roman" w:cs="Times New Roman"/>
              <w:sz w:val="24"/>
              <w:szCs w:val="24"/>
            </w:rPr>
          </w:pPr>
          <w:r w:rsidRPr="00694414">
            <w:rPr>
              <w:rFonts w:ascii="Times New Roman" w:hAnsi="Times New Roman" w:cs="Times New Roman"/>
              <w:b/>
              <w:bCs/>
              <w:noProof/>
              <w:sz w:val="24"/>
              <w:szCs w:val="24"/>
            </w:rPr>
            <w:fldChar w:fldCharType="end"/>
          </w:r>
        </w:p>
      </w:sdtContent>
    </w:sdt>
    <w:p w14:paraId="0A03ABCC" w14:textId="77777777" w:rsidR="007636FF" w:rsidRDefault="007636FF" w:rsidP="00F35332">
      <w:pPr>
        <w:pStyle w:val="Heading1"/>
      </w:pPr>
    </w:p>
    <w:p w14:paraId="58E812D5" w14:textId="77777777" w:rsidR="007636FF" w:rsidRDefault="007636FF" w:rsidP="00F35332">
      <w:pPr>
        <w:pStyle w:val="Heading1"/>
      </w:pPr>
      <w:bookmarkStart w:id="0" w:name="_GoBack"/>
      <w:bookmarkEnd w:id="0"/>
    </w:p>
    <w:p w14:paraId="56CE1A78" w14:textId="77777777" w:rsidR="007636FF" w:rsidRDefault="007636FF" w:rsidP="00F35332">
      <w:pPr>
        <w:pStyle w:val="Heading1"/>
      </w:pPr>
    </w:p>
    <w:p w14:paraId="39D0C94E" w14:textId="77777777" w:rsidR="007636FF" w:rsidRDefault="007636FF" w:rsidP="00F35332">
      <w:pPr>
        <w:pStyle w:val="Heading1"/>
      </w:pPr>
    </w:p>
    <w:p w14:paraId="279BF73B" w14:textId="77777777" w:rsidR="007636FF" w:rsidRDefault="007636FF" w:rsidP="00F35332">
      <w:pPr>
        <w:pStyle w:val="Heading1"/>
      </w:pPr>
    </w:p>
    <w:p w14:paraId="7A973168" w14:textId="77777777" w:rsidR="007636FF" w:rsidRDefault="007636FF" w:rsidP="00F35332">
      <w:pPr>
        <w:pStyle w:val="Heading1"/>
      </w:pPr>
    </w:p>
    <w:p w14:paraId="4E0393C3" w14:textId="4D373418" w:rsidR="007636FF" w:rsidRDefault="007636FF" w:rsidP="00F35332">
      <w:pPr>
        <w:pStyle w:val="Heading1"/>
      </w:pPr>
    </w:p>
    <w:p w14:paraId="46C6BD1B" w14:textId="433C16E5" w:rsidR="007636FF" w:rsidRDefault="007636FF" w:rsidP="00F35332">
      <w:pPr>
        <w:pStyle w:val="Heading1"/>
      </w:pPr>
    </w:p>
    <w:p w14:paraId="600EE029" w14:textId="3500984A" w:rsidR="001D2DCF" w:rsidRDefault="001D2DCF" w:rsidP="00181E2A">
      <w:pPr>
        <w:pStyle w:val="Heading2"/>
        <w:spacing w:after="200"/>
      </w:pPr>
    </w:p>
    <w:p w14:paraId="525EBBCD" w14:textId="77777777" w:rsidR="004269A7" w:rsidRDefault="004269A7">
      <w:pPr>
        <w:rPr>
          <w:rFonts w:ascii="Times New Roman" w:hAnsi="Times New Roman" w:cs="Times New Roman"/>
          <w:b/>
          <w:sz w:val="24"/>
          <w:szCs w:val="24"/>
        </w:rPr>
      </w:pPr>
    </w:p>
    <w:p w14:paraId="6D7B1FA9" w14:textId="74FE9F21" w:rsidR="00084DB7" w:rsidRDefault="00084DB7"/>
    <w:p w14:paraId="4EDD94F8" w14:textId="6E9FEA02" w:rsidR="00FA2D26" w:rsidRDefault="00FA2D26" w:rsidP="00FA2D26">
      <w:pPr>
        <w:rPr>
          <w:rFonts w:ascii="Times New Roman" w:hAnsi="Times New Roman" w:cs="Times New Roman"/>
          <w:sz w:val="24"/>
          <w:szCs w:val="24"/>
        </w:rPr>
      </w:pPr>
    </w:p>
    <w:p w14:paraId="4A6D496D" w14:textId="7EBD09F2" w:rsidR="00FA2D26" w:rsidRDefault="007636FF" w:rsidP="00FA2D26">
      <w:r>
        <w:object w:dxaOrig="12010" w:dyaOrig="14760" w14:anchorId="307AF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85pt;height:508.4pt" o:ole="">
            <v:imagedata r:id="rId8" o:title=""/>
          </v:shape>
          <o:OLEObject Type="Embed" ProgID="Prism8.Document" ShapeID="_x0000_i1025" DrawAspect="Content" ObjectID="_1708933740" r:id="rId9"/>
        </w:object>
      </w:r>
    </w:p>
    <w:p w14:paraId="0C0F7880" w14:textId="64DB6991" w:rsidR="007636FF" w:rsidRDefault="007636FF" w:rsidP="00FA2D26">
      <w:pPr>
        <w:rPr>
          <w:rFonts w:ascii="Times New Roman" w:hAnsi="Times New Roman" w:cs="Times New Roman"/>
        </w:rPr>
      </w:pPr>
      <w:bookmarkStart w:id="1" w:name="_Toc98320996"/>
      <w:r w:rsidRPr="00393DBE">
        <w:rPr>
          <w:rStyle w:val="Heading1Char"/>
          <w:rFonts w:ascii="Times New Roman" w:hAnsi="Times New Roman" w:cs="Times New Roman"/>
          <w:b/>
          <w:color w:val="auto"/>
          <w:sz w:val="22"/>
          <w:szCs w:val="22"/>
        </w:rPr>
        <w:t>Figure S1.</w:t>
      </w:r>
      <w:r w:rsidRPr="00393DBE">
        <w:rPr>
          <w:rStyle w:val="Heading1Char"/>
          <w:rFonts w:ascii="Times New Roman" w:hAnsi="Times New Roman" w:cs="Times New Roman"/>
          <w:color w:val="auto"/>
          <w:sz w:val="22"/>
          <w:szCs w:val="22"/>
        </w:rPr>
        <w:t xml:space="preserve"> Individual participant female (A) and male (B) gametocytemia-time profiles.</w:t>
      </w:r>
      <w:bookmarkEnd w:id="1"/>
      <w:r w:rsidRPr="00393DBE">
        <w:rPr>
          <w:rFonts w:ascii="Times New Roman" w:hAnsi="Times New Roman" w:cs="Times New Roman"/>
        </w:rPr>
        <w:t xml:space="preserve"> </w:t>
      </w:r>
      <w:r w:rsidRPr="007636FF">
        <w:rPr>
          <w:rFonts w:ascii="Times New Roman" w:hAnsi="Times New Roman" w:cs="Times New Roman"/>
        </w:rPr>
        <w:t xml:space="preserve">Participants were inoculated intravenously with </w:t>
      </w:r>
      <w:r w:rsidRPr="007636FF">
        <w:rPr>
          <w:rFonts w:ascii="Times New Roman" w:hAnsi="Times New Roman" w:cs="Times New Roman"/>
          <w:i/>
        </w:rPr>
        <w:t>P. falciparum</w:t>
      </w:r>
      <w:r w:rsidRPr="007636FF">
        <w:rPr>
          <w:rFonts w:ascii="Times New Roman" w:hAnsi="Times New Roman" w:cs="Times New Roman"/>
        </w:rPr>
        <w:t xml:space="preserve">-infected erythrocytes on day 0 and were administered </w:t>
      </w:r>
      <w:r w:rsidR="00282CF3">
        <w:rPr>
          <w:rFonts w:ascii="Times New Roman" w:hAnsi="Times New Roman" w:cs="Times New Roman"/>
        </w:rPr>
        <w:t xml:space="preserve">an </w:t>
      </w:r>
      <w:r w:rsidRPr="007636FF">
        <w:rPr>
          <w:rFonts w:ascii="Times New Roman" w:hAnsi="Times New Roman" w:cs="Times New Roman"/>
        </w:rPr>
        <w:t xml:space="preserve">oral dose of piperaquine (PPQ) on day 9 </w:t>
      </w:r>
      <w:r w:rsidR="00B96F88">
        <w:rPr>
          <w:rFonts w:ascii="Times New Roman" w:hAnsi="Times New Roman" w:cs="Times New Roman"/>
        </w:rPr>
        <w:t xml:space="preserve">(480 mg) </w:t>
      </w:r>
      <w:r w:rsidRPr="007636FF">
        <w:rPr>
          <w:rFonts w:ascii="Times New Roman" w:hAnsi="Times New Roman" w:cs="Times New Roman"/>
        </w:rPr>
        <w:t xml:space="preserve">and day 11 </w:t>
      </w:r>
      <w:r w:rsidR="00B96F88">
        <w:rPr>
          <w:rFonts w:ascii="Times New Roman" w:hAnsi="Times New Roman" w:cs="Times New Roman"/>
        </w:rPr>
        <w:t xml:space="preserve">(960 mg) </w:t>
      </w:r>
      <w:r w:rsidRPr="007636FF">
        <w:rPr>
          <w:rFonts w:ascii="Times New Roman" w:hAnsi="Times New Roman" w:cs="Times New Roman"/>
        </w:rPr>
        <w:t xml:space="preserve">to clear asexual parasitaemia while allowing transmissible gametocytes to mature. A single oral dose of 50 mg tafenoquine (TQ) was </w:t>
      </w:r>
      <w:r w:rsidR="00282CF3" w:rsidRPr="007636FF">
        <w:rPr>
          <w:rFonts w:ascii="Times New Roman" w:hAnsi="Times New Roman" w:cs="Times New Roman"/>
        </w:rPr>
        <w:t>administered</w:t>
      </w:r>
      <w:r w:rsidRPr="007636FF">
        <w:rPr>
          <w:rFonts w:ascii="Times New Roman" w:hAnsi="Times New Roman" w:cs="Times New Roman"/>
        </w:rPr>
        <w:t xml:space="preserve"> on day 25. Definitive antimalarial treatment with a standard </w:t>
      </w:r>
      <w:r w:rsidR="0033390A">
        <w:rPr>
          <w:rFonts w:ascii="Times New Roman" w:hAnsi="Times New Roman" w:cs="Times New Roman"/>
        </w:rPr>
        <w:t xml:space="preserve">3-day </w:t>
      </w:r>
      <w:r w:rsidRPr="007636FF">
        <w:rPr>
          <w:rFonts w:ascii="Times New Roman" w:hAnsi="Times New Roman" w:cs="Times New Roman"/>
        </w:rPr>
        <w:t xml:space="preserve">course of artemether-lumefantrine (A/L) was initiated on day 32. </w:t>
      </w:r>
      <w:r>
        <w:rPr>
          <w:rFonts w:ascii="Times New Roman" w:hAnsi="Times New Roman" w:cs="Times New Roman"/>
        </w:rPr>
        <w:t>Female gametocytemia was</w:t>
      </w:r>
      <w:r w:rsidRPr="007636FF">
        <w:rPr>
          <w:rFonts w:ascii="Times New Roman" w:hAnsi="Times New Roman" w:cs="Times New Roman"/>
        </w:rPr>
        <w:t xml:space="preserve"> </w:t>
      </w:r>
      <w:r>
        <w:rPr>
          <w:rFonts w:ascii="Times New Roman" w:hAnsi="Times New Roman" w:cs="Times New Roman"/>
        </w:rPr>
        <w:t>detected</w:t>
      </w:r>
      <w:r w:rsidRPr="007636FF">
        <w:rPr>
          <w:rFonts w:ascii="Times New Roman" w:hAnsi="Times New Roman" w:cs="Times New Roman"/>
        </w:rPr>
        <w:t xml:space="preserve"> using </w:t>
      </w:r>
      <w:proofErr w:type="spellStart"/>
      <w:r w:rsidRPr="007636FF">
        <w:rPr>
          <w:rFonts w:ascii="Times New Roman" w:hAnsi="Times New Roman" w:cs="Times New Roman"/>
        </w:rPr>
        <w:t>q</w:t>
      </w:r>
      <w:r>
        <w:rPr>
          <w:rFonts w:ascii="Times New Roman" w:hAnsi="Times New Roman" w:cs="Times New Roman"/>
        </w:rPr>
        <w:t>RT</w:t>
      </w:r>
      <w:proofErr w:type="spellEnd"/>
      <w:r>
        <w:rPr>
          <w:rFonts w:ascii="Times New Roman" w:hAnsi="Times New Roman" w:cs="Times New Roman"/>
        </w:rPr>
        <w:t>-</w:t>
      </w:r>
      <w:r w:rsidRPr="007636FF">
        <w:rPr>
          <w:rFonts w:ascii="Times New Roman" w:hAnsi="Times New Roman" w:cs="Times New Roman"/>
        </w:rPr>
        <w:t xml:space="preserve">PCR targeting </w:t>
      </w:r>
      <w:r>
        <w:rPr>
          <w:rFonts w:ascii="Times New Roman" w:hAnsi="Times New Roman" w:cs="Times New Roman"/>
        </w:rPr>
        <w:t xml:space="preserve">the </w:t>
      </w:r>
      <w:r w:rsidRPr="007636FF">
        <w:rPr>
          <w:rFonts w:ascii="Times New Roman" w:hAnsi="Times New Roman" w:cs="Times New Roman"/>
          <w:i/>
        </w:rPr>
        <w:t xml:space="preserve">pfs25 </w:t>
      </w:r>
      <w:r>
        <w:rPr>
          <w:rFonts w:ascii="Times New Roman" w:hAnsi="Times New Roman" w:cs="Times New Roman"/>
        </w:rPr>
        <w:t xml:space="preserve">transcript while male gametocytemia was detected using </w:t>
      </w:r>
      <w:proofErr w:type="spellStart"/>
      <w:r>
        <w:rPr>
          <w:rFonts w:ascii="Times New Roman" w:hAnsi="Times New Roman" w:cs="Times New Roman"/>
        </w:rPr>
        <w:t>qRT</w:t>
      </w:r>
      <w:proofErr w:type="spellEnd"/>
      <w:r>
        <w:rPr>
          <w:rFonts w:ascii="Times New Roman" w:hAnsi="Times New Roman" w:cs="Times New Roman"/>
        </w:rPr>
        <w:t xml:space="preserve">-PCR targeting the </w:t>
      </w:r>
      <w:proofErr w:type="spellStart"/>
      <w:r w:rsidRPr="007636FF">
        <w:rPr>
          <w:rFonts w:ascii="Times New Roman" w:hAnsi="Times New Roman" w:cs="Times New Roman"/>
          <w:i/>
        </w:rPr>
        <w:t>pfMGET</w:t>
      </w:r>
      <w:proofErr w:type="spellEnd"/>
      <w:r>
        <w:rPr>
          <w:rFonts w:ascii="Times New Roman" w:hAnsi="Times New Roman" w:cs="Times New Roman"/>
        </w:rPr>
        <w:t xml:space="preserve"> transcript. </w:t>
      </w:r>
      <w:r w:rsidR="0081663A">
        <w:rPr>
          <w:rFonts w:ascii="Times New Roman" w:hAnsi="Times New Roman" w:cs="Times New Roman"/>
        </w:rPr>
        <w:t xml:space="preserve">The horizontal dotted lines represent the limit of </w:t>
      </w:r>
      <w:r w:rsidR="00491EF9">
        <w:rPr>
          <w:rFonts w:ascii="Times New Roman" w:hAnsi="Times New Roman" w:cs="Times New Roman"/>
        </w:rPr>
        <w:t>detection</w:t>
      </w:r>
      <w:r w:rsidR="0081663A">
        <w:rPr>
          <w:rFonts w:ascii="Times New Roman" w:hAnsi="Times New Roman" w:cs="Times New Roman"/>
        </w:rPr>
        <w:t xml:space="preserve"> of the </w:t>
      </w:r>
      <w:proofErr w:type="spellStart"/>
      <w:r w:rsidR="0081663A">
        <w:rPr>
          <w:rFonts w:ascii="Times New Roman" w:hAnsi="Times New Roman" w:cs="Times New Roman"/>
        </w:rPr>
        <w:t>qRT</w:t>
      </w:r>
      <w:proofErr w:type="spellEnd"/>
      <w:r w:rsidR="0081663A">
        <w:rPr>
          <w:rFonts w:ascii="Times New Roman" w:hAnsi="Times New Roman" w:cs="Times New Roman"/>
        </w:rPr>
        <w:t xml:space="preserve">-PCR assays. </w:t>
      </w:r>
    </w:p>
    <w:p w14:paraId="793E5D3A" w14:textId="2A0B20A8" w:rsidR="006322EB" w:rsidRDefault="006322EB" w:rsidP="00FA2D26">
      <w:pPr>
        <w:rPr>
          <w:rFonts w:ascii="Times New Roman" w:hAnsi="Times New Roman" w:cs="Times New Roman"/>
        </w:rPr>
      </w:pPr>
    </w:p>
    <w:p w14:paraId="07F0A1EE" w14:textId="103C6220" w:rsidR="006322EB" w:rsidRPr="006322EB" w:rsidRDefault="006322EB" w:rsidP="006322EB">
      <w:pPr>
        <w:pStyle w:val="Caption"/>
        <w:keepNext/>
        <w:ind w:firstLine="0"/>
        <w:jc w:val="left"/>
        <w:rPr>
          <w:rFonts w:cs="Times New Roman"/>
          <w:i w:val="0"/>
          <w:color w:val="auto"/>
          <w:sz w:val="22"/>
          <w:szCs w:val="22"/>
        </w:rPr>
      </w:pPr>
      <w:r w:rsidRPr="006322EB">
        <w:rPr>
          <w:rFonts w:cs="Times New Roman"/>
          <w:b/>
          <w:i w:val="0"/>
          <w:color w:val="auto"/>
          <w:sz w:val="22"/>
          <w:szCs w:val="22"/>
        </w:rPr>
        <w:lastRenderedPageBreak/>
        <w:t>Table S1.</w:t>
      </w:r>
      <w:r w:rsidRPr="006322EB">
        <w:rPr>
          <w:rFonts w:cs="Times New Roman"/>
          <w:i w:val="0"/>
          <w:color w:val="auto"/>
          <w:sz w:val="22"/>
          <w:szCs w:val="22"/>
        </w:rPr>
        <w:t xml:space="preserve"> </w:t>
      </w:r>
      <w:r w:rsidRPr="00D6264A">
        <w:rPr>
          <w:rFonts w:cs="Times New Roman"/>
          <w:i w:val="0"/>
          <w:color w:val="auto"/>
          <w:sz w:val="22"/>
          <w:szCs w:val="22"/>
        </w:rPr>
        <w:t xml:space="preserve">Change in the ratio of </w:t>
      </w:r>
      <w:proofErr w:type="spellStart"/>
      <w:r w:rsidRPr="00D6264A">
        <w:rPr>
          <w:rFonts w:cs="Times New Roman"/>
          <w:color w:val="auto"/>
          <w:sz w:val="22"/>
          <w:szCs w:val="22"/>
        </w:rPr>
        <w:t>pfMGET</w:t>
      </w:r>
      <w:proofErr w:type="spellEnd"/>
      <w:r w:rsidRPr="00D6264A">
        <w:rPr>
          <w:rFonts w:cs="Times New Roman"/>
          <w:i w:val="0"/>
          <w:color w:val="auto"/>
          <w:sz w:val="22"/>
          <w:szCs w:val="22"/>
        </w:rPr>
        <w:t xml:space="preserve"> to </w:t>
      </w:r>
      <w:r w:rsidRPr="00D6264A">
        <w:rPr>
          <w:rFonts w:cs="Times New Roman"/>
          <w:color w:val="auto"/>
          <w:sz w:val="22"/>
          <w:szCs w:val="22"/>
        </w:rPr>
        <w:t>pfs25</w:t>
      </w:r>
      <w:r w:rsidRPr="00D6264A">
        <w:rPr>
          <w:rFonts w:cs="Times New Roman"/>
          <w:i w:val="0"/>
          <w:color w:val="auto"/>
          <w:sz w:val="22"/>
          <w:szCs w:val="22"/>
        </w:rPr>
        <w:t xml:space="preserve"> transcripts </w:t>
      </w:r>
      <w:r w:rsidR="00DB14D1" w:rsidRPr="00D6264A">
        <w:rPr>
          <w:rFonts w:cs="Times New Roman"/>
          <w:i w:val="0"/>
          <w:color w:val="auto"/>
          <w:sz w:val="22"/>
          <w:szCs w:val="22"/>
        </w:rPr>
        <w:t>from pre-</w:t>
      </w:r>
      <w:proofErr w:type="spellStart"/>
      <w:r w:rsidR="00DB14D1" w:rsidRPr="00D6264A">
        <w:rPr>
          <w:rFonts w:cs="Times New Roman"/>
          <w:i w:val="0"/>
          <w:color w:val="auto"/>
          <w:sz w:val="22"/>
          <w:szCs w:val="22"/>
        </w:rPr>
        <w:t>tafenoquine</w:t>
      </w:r>
      <w:proofErr w:type="spellEnd"/>
      <w:r w:rsidR="00DB14D1" w:rsidRPr="00D6264A">
        <w:rPr>
          <w:rFonts w:cs="Times New Roman"/>
          <w:i w:val="0"/>
          <w:color w:val="auto"/>
          <w:sz w:val="22"/>
          <w:szCs w:val="22"/>
        </w:rPr>
        <w:t xml:space="preserve"> dosing to </w:t>
      </w:r>
      <w:r w:rsidRPr="00D6264A">
        <w:rPr>
          <w:rFonts w:cs="Times New Roman"/>
          <w:i w:val="0"/>
          <w:color w:val="auto"/>
          <w:sz w:val="22"/>
          <w:szCs w:val="22"/>
        </w:rPr>
        <w:t>post-treatment time-points.</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426"/>
        <w:gridCol w:w="2268"/>
        <w:gridCol w:w="2401"/>
        <w:gridCol w:w="576"/>
        <w:gridCol w:w="1052"/>
      </w:tblGrid>
      <w:tr w:rsidR="006322EB" w:rsidRPr="00266DE9" w14:paraId="176528B3" w14:textId="77777777" w:rsidTr="00D6264A">
        <w:trPr>
          <w:trHeight w:val="74"/>
          <w:jc w:val="center"/>
        </w:trPr>
        <w:tc>
          <w:tcPr>
            <w:tcW w:w="2404" w:type="dxa"/>
            <w:shd w:val="clear" w:color="auto" w:fill="auto"/>
            <w:vAlign w:val="center"/>
            <w:hideMark/>
          </w:tcPr>
          <w:p w14:paraId="09DDAE6E" w14:textId="01D64DBF" w:rsidR="006322EB" w:rsidRPr="00266DE9" w:rsidRDefault="006322EB" w:rsidP="006322EB">
            <w:pPr>
              <w:spacing w:after="0" w:line="240" w:lineRule="auto"/>
              <w:rPr>
                <w:rFonts w:ascii="Times New Roman" w:eastAsia="Times New Roman" w:hAnsi="Times New Roman" w:cs="Times New Roman"/>
                <w:b/>
                <w:bCs/>
                <w:sz w:val="20"/>
                <w:szCs w:val="20"/>
                <w:lang w:eastAsia="en-AU"/>
              </w:rPr>
            </w:pPr>
            <w:r w:rsidRPr="00266DE9">
              <w:rPr>
                <w:rFonts w:ascii="Times New Roman" w:eastAsia="Times New Roman" w:hAnsi="Times New Roman" w:cs="Times New Roman"/>
                <w:b/>
                <w:bCs/>
                <w:sz w:val="20"/>
                <w:szCs w:val="20"/>
                <w:lang w:eastAsia="en-AU"/>
              </w:rPr>
              <w:t>Time-point</w:t>
            </w:r>
            <w:r w:rsidR="00DB14D1" w:rsidRPr="00266DE9">
              <w:rPr>
                <w:rFonts w:ascii="Times New Roman" w:eastAsia="Times New Roman" w:hAnsi="Times New Roman" w:cs="Times New Roman"/>
                <w:b/>
                <w:bCs/>
                <w:sz w:val="20"/>
                <w:szCs w:val="20"/>
                <w:lang w:eastAsia="en-AU"/>
              </w:rPr>
              <w:t xml:space="preserve"> (days relative to </w:t>
            </w:r>
            <w:proofErr w:type="spellStart"/>
            <w:r w:rsidR="00DB14D1" w:rsidRPr="00266DE9">
              <w:rPr>
                <w:rFonts w:ascii="Times New Roman" w:eastAsia="Times New Roman" w:hAnsi="Times New Roman" w:cs="Times New Roman"/>
                <w:b/>
                <w:bCs/>
                <w:sz w:val="20"/>
                <w:szCs w:val="20"/>
                <w:lang w:eastAsia="en-AU"/>
              </w:rPr>
              <w:t>tafenoquine</w:t>
            </w:r>
            <w:proofErr w:type="spellEnd"/>
            <w:r w:rsidR="00DB14D1" w:rsidRPr="00266DE9">
              <w:rPr>
                <w:rFonts w:ascii="Times New Roman" w:eastAsia="Times New Roman" w:hAnsi="Times New Roman" w:cs="Times New Roman"/>
                <w:b/>
                <w:bCs/>
                <w:sz w:val="20"/>
                <w:szCs w:val="20"/>
                <w:lang w:eastAsia="en-AU"/>
              </w:rPr>
              <w:t xml:space="preserve"> dosing)</w:t>
            </w:r>
          </w:p>
        </w:tc>
        <w:tc>
          <w:tcPr>
            <w:tcW w:w="426" w:type="dxa"/>
            <w:shd w:val="clear" w:color="auto" w:fill="auto"/>
            <w:vAlign w:val="center"/>
            <w:hideMark/>
          </w:tcPr>
          <w:p w14:paraId="18796D02" w14:textId="497CC0CF" w:rsidR="006322EB" w:rsidRPr="00266DE9" w:rsidRDefault="006322EB" w:rsidP="006322EB">
            <w:pPr>
              <w:spacing w:after="0" w:line="240" w:lineRule="auto"/>
              <w:jc w:val="center"/>
              <w:rPr>
                <w:rFonts w:ascii="Times New Roman" w:eastAsia="Times New Roman" w:hAnsi="Times New Roman" w:cs="Times New Roman"/>
                <w:b/>
                <w:bCs/>
                <w:sz w:val="20"/>
                <w:szCs w:val="20"/>
                <w:lang w:eastAsia="en-AU"/>
              </w:rPr>
            </w:pPr>
            <w:r w:rsidRPr="00266DE9">
              <w:rPr>
                <w:rFonts w:ascii="Times New Roman" w:eastAsia="Times New Roman" w:hAnsi="Times New Roman" w:cs="Times New Roman"/>
                <w:b/>
                <w:bCs/>
                <w:sz w:val="20"/>
                <w:szCs w:val="20"/>
                <w:lang w:eastAsia="en-AU"/>
              </w:rPr>
              <w:t>N</w:t>
            </w:r>
          </w:p>
        </w:tc>
        <w:tc>
          <w:tcPr>
            <w:tcW w:w="2268" w:type="dxa"/>
            <w:shd w:val="clear" w:color="auto" w:fill="auto"/>
            <w:vAlign w:val="center"/>
            <w:hideMark/>
          </w:tcPr>
          <w:p w14:paraId="0D60A8C6" w14:textId="317F50D9" w:rsidR="006322EB" w:rsidRPr="00266DE9" w:rsidRDefault="00DB14D1" w:rsidP="00DB14D1">
            <w:pPr>
              <w:spacing w:after="0" w:line="240" w:lineRule="auto"/>
              <w:jc w:val="center"/>
              <w:rPr>
                <w:rFonts w:ascii="Times New Roman" w:eastAsia="Times New Roman" w:hAnsi="Times New Roman" w:cs="Times New Roman"/>
                <w:b/>
                <w:bCs/>
                <w:sz w:val="20"/>
                <w:szCs w:val="20"/>
                <w:lang w:eastAsia="en-AU"/>
              </w:rPr>
            </w:pPr>
            <w:r w:rsidRPr="00266DE9">
              <w:rPr>
                <w:rFonts w:ascii="Times New Roman" w:eastAsia="Times New Roman" w:hAnsi="Times New Roman" w:cs="Times New Roman"/>
                <w:b/>
                <w:bCs/>
                <w:sz w:val="20"/>
                <w:szCs w:val="20"/>
                <w:lang w:eastAsia="en-AU"/>
              </w:rPr>
              <w:t>M</w:t>
            </w:r>
            <w:r w:rsidR="006322EB" w:rsidRPr="00266DE9">
              <w:rPr>
                <w:rFonts w:ascii="Times New Roman" w:eastAsia="Times New Roman" w:hAnsi="Times New Roman" w:cs="Times New Roman"/>
                <w:b/>
                <w:bCs/>
                <w:sz w:val="20"/>
                <w:szCs w:val="20"/>
                <w:lang w:eastAsia="en-AU"/>
              </w:rPr>
              <w:t xml:space="preserve">edian </w:t>
            </w:r>
            <w:r w:rsidRPr="00266DE9">
              <w:rPr>
                <w:rFonts w:ascii="Times New Roman" w:eastAsia="Times New Roman" w:hAnsi="Times New Roman" w:cs="Times New Roman"/>
                <w:b/>
                <w:bCs/>
                <w:sz w:val="20"/>
                <w:szCs w:val="20"/>
                <w:lang w:eastAsia="en-AU"/>
              </w:rPr>
              <w:t xml:space="preserve">transcript ratio </w:t>
            </w:r>
            <w:r w:rsidR="006322EB" w:rsidRPr="00266DE9">
              <w:rPr>
                <w:rFonts w:ascii="Times New Roman" w:eastAsia="Times New Roman" w:hAnsi="Times New Roman" w:cs="Times New Roman"/>
                <w:b/>
                <w:bCs/>
                <w:sz w:val="20"/>
                <w:szCs w:val="20"/>
                <w:lang w:eastAsia="en-AU"/>
              </w:rPr>
              <w:t>(range)</w:t>
            </w:r>
          </w:p>
        </w:tc>
        <w:tc>
          <w:tcPr>
            <w:tcW w:w="2401" w:type="dxa"/>
            <w:shd w:val="clear" w:color="auto" w:fill="auto"/>
            <w:vAlign w:val="center"/>
            <w:hideMark/>
          </w:tcPr>
          <w:p w14:paraId="76B52767" w14:textId="1DEFD579" w:rsidR="006322EB" w:rsidRPr="00266DE9" w:rsidRDefault="00DB14D1" w:rsidP="00DB14D1">
            <w:pPr>
              <w:spacing w:after="0" w:line="240" w:lineRule="auto"/>
              <w:jc w:val="center"/>
              <w:rPr>
                <w:rFonts w:ascii="Times New Roman" w:eastAsia="Times New Roman" w:hAnsi="Times New Roman" w:cs="Times New Roman"/>
                <w:b/>
                <w:bCs/>
                <w:sz w:val="20"/>
                <w:szCs w:val="20"/>
                <w:lang w:eastAsia="en-AU"/>
              </w:rPr>
            </w:pPr>
            <w:r w:rsidRPr="00266DE9">
              <w:rPr>
                <w:rFonts w:ascii="Times New Roman" w:eastAsia="Times New Roman" w:hAnsi="Times New Roman" w:cs="Times New Roman"/>
                <w:b/>
                <w:bCs/>
                <w:sz w:val="20"/>
                <w:szCs w:val="20"/>
                <w:lang w:eastAsia="en-AU"/>
              </w:rPr>
              <w:t>Median c</w:t>
            </w:r>
            <w:r w:rsidR="006322EB" w:rsidRPr="00266DE9">
              <w:rPr>
                <w:rFonts w:ascii="Times New Roman" w:eastAsia="Times New Roman" w:hAnsi="Times New Roman" w:cs="Times New Roman"/>
                <w:b/>
                <w:bCs/>
                <w:sz w:val="20"/>
                <w:szCs w:val="20"/>
                <w:lang w:eastAsia="en-AU"/>
              </w:rPr>
              <w:t xml:space="preserve">hange in </w:t>
            </w:r>
            <w:r w:rsidRPr="00266DE9">
              <w:rPr>
                <w:rFonts w:ascii="Times New Roman" w:eastAsia="Times New Roman" w:hAnsi="Times New Roman" w:cs="Times New Roman"/>
                <w:b/>
                <w:bCs/>
                <w:sz w:val="20"/>
                <w:szCs w:val="20"/>
                <w:lang w:eastAsia="en-AU"/>
              </w:rPr>
              <w:t xml:space="preserve">transcript ratio </w:t>
            </w:r>
            <w:r w:rsidR="006322EB" w:rsidRPr="00266DE9">
              <w:rPr>
                <w:rFonts w:ascii="Times New Roman" w:eastAsia="Times New Roman" w:hAnsi="Times New Roman" w:cs="Times New Roman"/>
                <w:b/>
                <w:bCs/>
                <w:sz w:val="20"/>
                <w:szCs w:val="20"/>
                <w:lang w:eastAsia="en-AU"/>
              </w:rPr>
              <w:t>(range)</w:t>
            </w:r>
          </w:p>
        </w:tc>
        <w:tc>
          <w:tcPr>
            <w:tcW w:w="576" w:type="dxa"/>
            <w:shd w:val="clear" w:color="auto" w:fill="auto"/>
            <w:vAlign w:val="center"/>
            <w:hideMark/>
          </w:tcPr>
          <w:p w14:paraId="1EB5833F" w14:textId="77777777" w:rsidR="006322EB" w:rsidRPr="00266DE9" w:rsidRDefault="006322EB" w:rsidP="006322EB">
            <w:pPr>
              <w:spacing w:after="0" w:line="240" w:lineRule="auto"/>
              <w:jc w:val="center"/>
              <w:rPr>
                <w:rFonts w:ascii="Times New Roman" w:eastAsia="Times New Roman" w:hAnsi="Times New Roman" w:cs="Times New Roman"/>
                <w:b/>
                <w:bCs/>
                <w:sz w:val="20"/>
                <w:szCs w:val="20"/>
                <w:lang w:eastAsia="en-AU"/>
              </w:rPr>
            </w:pPr>
            <w:r w:rsidRPr="00266DE9">
              <w:rPr>
                <w:rFonts w:ascii="Times New Roman" w:eastAsia="Times New Roman" w:hAnsi="Times New Roman" w:cs="Times New Roman"/>
                <w:b/>
                <w:bCs/>
                <w:sz w:val="20"/>
                <w:szCs w:val="20"/>
                <w:lang w:eastAsia="en-AU"/>
              </w:rPr>
              <w:t>z</w:t>
            </w:r>
          </w:p>
        </w:tc>
        <w:tc>
          <w:tcPr>
            <w:tcW w:w="1052" w:type="dxa"/>
            <w:shd w:val="clear" w:color="auto" w:fill="auto"/>
            <w:vAlign w:val="center"/>
            <w:hideMark/>
          </w:tcPr>
          <w:p w14:paraId="3478BFDC" w14:textId="0AA39DC8" w:rsidR="006322EB" w:rsidRPr="00266DE9" w:rsidRDefault="00DB14D1" w:rsidP="006322EB">
            <w:pPr>
              <w:spacing w:after="0" w:line="240" w:lineRule="auto"/>
              <w:jc w:val="center"/>
              <w:rPr>
                <w:rFonts w:ascii="Times New Roman" w:eastAsia="Times New Roman" w:hAnsi="Times New Roman" w:cs="Times New Roman"/>
                <w:b/>
                <w:bCs/>
                <w:sz w:val="20"/>
                <w:szCs w:val="20"/>
                <w:lang w:eastAsia="en-AU"/>
              </w:rPr>
            </w:pPr>
            <w:r w:rsidRPr="00266DE9">
              <w:rPr>
                <w:rFonts w:ascii="Times New Roman" w:eastAsia="Times New Roman" w:hAnsi="Times New Roman" w:cs="Times New Roman"/>
                <w:b/>
                <w:bCs/>
                <w:i/>
                <w:sz w:val="20"/>
                <w:szCs w:val="20"/>
                <w:lang w:eastAsia="en-AU"/>
              </w:rPr>
              <w:t>P</w:t>
            </w:r>
            <w:r w:rsidR="006322EB" w:rsidRPr="00266DE9">
              <w:rPr>
                <w:rFonts w:ascii="Times New Roman" w:eastAsia="Times New Roman" w:hAnsi="Times New Roman" w:cs="Times New Roman"/>
                <w:b/>
                <w:bCs/>
                <w:sz w:val="20"/>
                <w:szCs w:val="20"/>
                <w:lang w:eastAsia="en-AU"/>
              </w:rPr>
              <w:t>-value</w:t>
            </w:r>
            <w:r w:rsidRPr="00266DE9">
              <w:rPr>
                <w:rFonts w:ascii="Times New Roman" w:eastAsia="Times New Roman" w:hAnsi="Times New Roman" w:cs="Times New Roman"/>
                <w:b/>
                <w:bCs/>
                <w:sz w:val="20"/>
                <w:szCs w:val="20"/>
                <w:lang w:eastAsia="en-AU"/>
              </w:rPr>
              <w:t>*</w:t>
            </w:r>
          </w:p>
        </w:tc>
      </w:tr>
      <w:tr w:rsidR="00266DE9" w:rsidRPr="00266DE9" w14:paraId="6829EDC8" w14:textId="77777777" w:rsidTr="00D6264A">
        <w:trPr>
          <w:trHeight w:val="27"/>
          <w:jc w:val="center"/>
        </w:trPr>
        <w:tc>
          <w:tcPr>
            <w:tcW w:w="2404" w:type="dxa"/>
            <w:shd w:val="clear" w:color="auto" w:fill="auto"/>
            <w:vAlign w:val="center"/>
            <w:hideMark/>
          </w:tcPr>
          <w:p w14:paraId="1ED72356" w14:textId="5AF8D470" w:rsidR="00266DE9" w:rsidRPr="00327F52" w:rsidRDefault="00266DE9" w:rsidP="00266DE9">
            <w:pPr>
              <w:spacing w:after="0" w:line="240" w:lineRule="auto"/>
              <w:rPr>
                <w:rFonts w:ascii="Times New Roman" w:eastAsia="Times New Roman" w:hAnsi="Times New Roman" w:cs="Times New Roman"/>
                <w:bCs/>
                <w:sz w:val="20"/>
                <w:szCs w:val="20"/>
                <w:lang w:eastAsia="en-AU"/>
              </w:rPr>
            </w:pPr>
            <w:r w:rsidRPr="00327F52">
              <w:rPr>
                <w:rFonts w:ascii="Times New Roman" w:eastAsia="Times New Roman" w:hAnsi="Times New Roman" w:cs="Times New Roman"/>
                <w:bCs/>
                <w:sz w:val="20"/>
                <w:szCs w:val="20"/>
                <w:lang w:eastAsia="en-AU"/>
              </w:rPr>
              <w:t>0 (pre-</w:t>
            </w:r>
            <w:proofErr w:type="spellStart"/>
            <w:r w:rsidRPr="00327F52">
              <w:rPr>
                <w:rFonts w:ascii="Times New Roman" w:eastAsia="Times New Roman" w:hAnsi="Times New Roman" w:cs="Times New Roman"/>
                <w:bCs/>
                <w:sz w:val="20"/>
                <w:szCs w:val="20"/>
                <w:lang w:eastAsia="en-AU"/>
              </w:rPr>
              <w:t>tafenoquine</w:t>
            </w:r>
            <w:proofErr w:type="spellEnd"/>
            <w:r w:rsidRPr="00327F52">
              <w:rPr>
                <w:rFonts w:ascii="Times New Roman" w:eastAsia="Times New Roman" w:hAnsi="Times New Roman" w:cs="Times New Roman"/>
                <w:bCs/>
                <w:sz w:val="20"/>
                <w:szCs w:val="20"/>
                <w:lang w:eastAsia="en-AU"/>
              </w:rPr>
              <w:t>)</w:t>
            </w:r>
          </w:p>
        </w:tc>
        <w:tc>
          <w:tcPr>
            <w:tcW w:w="426" w:type="dxa"/>
            <w:shd w:val="clear" w:color="auto" w:fill="auto"/>
            <w:vAlign w:val="center"/>
            <w:hideMark/>
          </w:tcPr>
          <w:p w14:paraId="3E735895" w14:textId="77777777" w:rsidR="00266DE9" w:rsidRPr="00266DE9" w:rsidRDefault="00266DE9" w:rsidP="00266DE9">
            <w:pPr>
              <w:spacing w:after="0" w:line="240" w:lineRule="auto"/>
              <w:jc w:val="center"/>
              <w:rPr>
                <w:rFonts w:ascii="Times New Roman" w:eastAsia="Times New Roman" w:hAnsi="Times New Roman" w:cs="Times New Roman"/>
                <w:sz w:val="20"/>
                <w:szCs w:val="20"/>
                <w:lang w:eastAsia="en-AU"/>
              </w:rPr>
            </w:pPr>
            <w:r w:rsidRPr="00266DE9">
              <w:rPr>
                <w:rFonts w:ascii="Times New Roman" w:eastAsia="Times New Roman" w:hAnsi="Times New Roman" w:cs="Times New Roman"/>
                <w:sz w:val="20"/>
                <w:szCs w:val="20"/>
                <w:lang w:eastAsia="en-AU"/>
              </w:rPr>
              <w:t>6</w:t>
            </w:r>
          </w:p>
        </w:tc>
        <w:tc>
          <w:tcPr>
            <w:tcW w:w="2268" w:type="dxa"/>
            <w:vAlign w:val="center"/>
          </w:tcPr>
          <w:p w14:paraId="6A1A2AC3" w14:textId="4633A1CA" w:rsidR="00266DE9" w:rsidRPr="00266DE9" w:rsidRDefault="00266DE9" w:rsidP="00266DE9">
            <w:pPr>
              <w:spacing w:after="0" w:line="240" w:lineRule="auto"/>
              <w:jc w:val="center"/>
              <w:rPr>
                <w:rFonts w:ascii="Times New Roman" w:eastAsia="Times New Roman" w:hAnsi="Times New Roman" w:cs="Times New Roman"/>
                <w:sz w:val="20"/>
                <w:szCs w:val="20"/>
                <w:lang w:eastAsia="en-AU"/>
              </w:rPr>
            </w:pPr>
            <w:r w:rsidRPr="00266DE9">
              <w:rPr>
                <w:rFonts w:ascii="Times New Roman" w:hAnsi="Times New Roman" w:cs="Times New Roman"/>
                <w:color w:val="000000"/>
                <w:sz w:val="20"/>
                <w:szCs w:val="20"/>
                <w:lang w:eastAsia="en-AU"/>
              </w:rPr>
              <w:t>0.0022 (0.0017 – 0.0044)</w:t>
            </w:r>
          </w:p>
        </w:tc>
        <w:tc>
          <w:tcPr>
            <w:tcW w:w="2401" w:type="dxa"/>
            <w:vAlign w:val="center"/>
          </w:tcPr>
          <w:p w14:paraId="08E7647E" w14:textId="045A011D" w:rsidR="00266DE9" w:rsidRPr="00266DE9" w:rsidRDefault="00266DE9" w:rsidP="00266DE9">
            <w:pPr>
              <w:spacing w:after="0" w:line="240" w:lineRule="auto"/>
              <w:jc w:val="center"/>
              <w:rPr>
                <w:rFonts w:ascii="Times New Roman" w:eastAsia="Times New Roman" w:hAnsi="Times New Roman" w:cs="Times New Roman"/>
                <w:b/>
                <w:bCs/>
                <w:sz w:val="20"/>
                <w:szCs w:val="20"/>
                <w:lang w:eastAsia="en-AU"/>
              </w:rPr>
            </w:pPr>
            <w:r w:rsidRPr="00266DE9">
              <w:rPr>
                <w:rFonts w:ascii="Times New Roman" w:hAnsi="Times New Roman" w:cs="Times New Roman"/>
                <w:b/>
                <w:bCs/>
                <w:color w:val="000000"/>
                <w:sz w:val="20"/>
                <w:szCs w:val="20"/>
                <w:lang w:eastAsia="en-AU"/>
              </w:rPr>
              <w:t>-</w:t>
            </w:r>
          </w:p>
        </w:tc>
        <w:tc>
          <w:tcPr>
            <w:tcW w:w="576" w:type="dxa"/>
            <w:shd w:val="clear" w:color="auto" w:fill="auto"/>
            <w:vAlign w:val="center"/>
            <w:hideMark/>
          </w:tcPr>
          <w:p w14:paraId="3006ED99" w14:textId="77777777" w:rsidR="00266DE9" w:rsidRPr="00266DE9" w:rsidRDefault="00266DE9" w:rsidP="00266DE9">
            <w:pPr>
              <w:spacing w:after="0" w:line="240" w:lineRule="auto"/>
              <w:jc w:val="center"/>
              <w:rPr>
                <w:rFonts w:ascii="Times New Roman" w:eastAsia="Times New Roman" w:hAnsi="Times New Roman" w:cs="Times New Roman"/>
                <w:b/>
                <w:bCs/>
                <w:sz w:val="20"/>
                <w:szCs w:val="20"/>
                <w:lang w:eastAsia="en-AU"/>
              </w:rPr>
            </w:pPr>
            <w:r w:rsidRPr="00266DE9">
              <w:rPr>
                <w:rFonts w:ascii="Times New Roman" w:eastAsia="Times New Roman" w:hAnsi="Times New Roman" w:cs="Times New Roman"/>
                <w:b/>
                <w:bCs/>
                <w:sz w:val="20"/>
                <w:szCs w:val="20"/>
                <w:lang w:eastAsia="en-AU"/>
              </w:rPr>
              <w:t>-</w:t>
            </w:r>
          </w:p>
        </w:tc>
        <w:tc>
          <w:tcPr>
            <w:tcW w:w="1052" w:type="dxa"/>
            <w:shd w:val="clear" w:color="auto" w:fill="auto"/>
            <w:noWrap/>
            <w:vAlign w:val="center"/>
            <w:hideMark/>
          </w:tcPr>
          <w:p w14:paraId="14D5C66D" w14:textId="4F25B4A1" w:rsidR="00266DE9" w:rsidRPr="00266DE9" w:rsidRDefault="00D6264A" w:rsidP="00266DE9">
            <w:pPr>
              <w:spacing w:after="0" w:line="240" w:lineRule="auto"/>
              <w:jc w:val="center"/>
              <w:rPr>
                <w:rFonts w:ascii="Times New Roman" w:eastAsia="Times New Roman" w:hAnsi="Times New Roman" w:cs="Times New Roman"/>
                <w:b/>
                <w:bCs/>
                <w:sz w:val="20"/>
                <w:szCs w:val="20"/>
                <w:lang w:eastAsia="en-AU"/>
              </w:rPr>
            </w:pPr>
            <w:r>
              <w:rPr>
                <w:rFonts w:ascii="Times New Roman" w:eastAsia="Times New Roman" w:hAnsi="Times New Roman" w:cs="Times New Roman"/>
                <w:b/>
                <w:bCs/>
                <w:sz w:val="20"/>
                <w:szCs w:val="20"/>
                <w:lang w:eastAsia="en-AU"/>
              </w:rPr>
              <w:t>-</w:t>
            </w:r>
          </w:p>
        </w:tc>
      </w:tr>
      <w:tr w:rsidR="00D6264A" w:rsidRPr="00266DE9" w14:paraId="11888C81" w14:textId="77777777" w:rsidTr="00D6264A">
        <w:trPr>
          <w:trHeight w:val="29"/>
          <w:jc w:val="center"/>
        </w:trPr>
        <w:tc>
          <w:tcPr>
            <w:tcW w:w="2404" w:type="dxa"/>
            <w:shd w:val="clear" w:color="auto" w:fill="auto"/>
            <w:vAlign w:val="center"/>
            <w:hideMark/>
          </w:tcPr>
          <w:p w14:paraId="2B93F59D" w14:textId="7FEAD8F1" w:rsidR="00D6264A" w:rsidRPr="00327F52" w:rsidRDefault="00D6264A" w:rsidP="00D6264A">
            <w:pPr>
              <w:spacing w:after="0" w:line="240" w:lineRule="auto"/>
              <w:rPr>
                <w:rFonts w:ascii="Times New Roman" w:eastAsia="Times New Roman" w:hAnsi="Times New Roman" w:cs="Times New Roman"/>
                <w:bCs/>
                <w:sz w:val="20"/>
                <w:szCs w:val="20"/>
                <w:lang w:eastAsia="en-AU"/>
              </w:rPr>
            </w:pPr>
            <w:r w:rsidRPr="00327F52">
              <w:rPr>
                <w:rFonts w:ascii="Times New Roman" w:eastAsia="Times New Roman" w:hAnsi="Times New Roman" w:cs="Times New Roman"/>
                <w:bCs/>
                <w:sz w:val="20"/>
                <w:szCs w:val="20"/>
                <w:lang w:eastAsia="en-AU"/>
              </w:rPr>
              <w:t>1</w:t>
            </w:r>
          </w:p>
        </w:tc>
        <w:tc>
          <w:tcPr>
            <w:tcW w:w="426" w:type="dxa"/>
            <w:shd w:val="clear" w:color="auto" w:fill="auto"/>
            <w:vAlign w:val="center"/>
          </w:tcPr>
          <w:p w14:paraId="66424759" w14:textId="39ADCA1E" w:rsidR="00D6264A" w:rsidRPr="00266DE9" w:rsidRDefault="00D6264A" w:rsidP="00D6264A">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w:t>
            </w:r>
          </w:p>
        </w:tc>
        <w:tc>
          <w:tcPr>
            <w:tcW w:w="2268" w:type="dxa"/>
            <w:vAlign w:val="center"/>
          </w:tcPr>
          <w:p w14:paraId="17B80DD5" w14:textId="17B8DEAC" w:rsidR="00D6264A" w:rsidRPr="00D6264A" w:rsidRDefault="00F978B4" w:rsidP="00D6264A">
            <w:pPr>
              <w:spacing w:after="0" w:line="240" w:lineRule="auto"/>
              <w:rPr>
                <w:rFonts w:ascii="Times New Roman" w:eastAsia="Times New Roman" w:hAnsi="Times New Roman" w:cs="Times New Roman"/>
                <w:sz w:val="20"/>
                <w:szCs w:val="20"/>
                <w:lang w:eastAsia="en-AU"/>
              </w:rPr>
            </w:pPr>
            <w:r>
              <w:rPr>
                <w:rFonts w:ascii="Times New Roman" w:hAnsi="Times New Roman" w:cs="Times New Roman"/>
                <w:sz w:val="20"/>
                <w:szCs w:val="20"/>
              </w:rPr>
              <w:t xml:space="preserve">0.0012 (0.0001 </w:t>
            </w:r>
            <w:r w:rsidRPr="00D6264A">
              <w:rPr>
                <w:rFonts w:ascii="Times New Roman" w:hAnsi="Times New Roman" w:cs="Times New Roman"/>
                <w:color w:val="000000"/>
                <w:sz w:val="20"/>
                <w:szCs w:val="20"/>
              </w:rPr>
              <w:t>–</w:t>
            </w:r>
            <w:r w:rsidR="00D6264A" w:rsidRPr="00D6264A">
              <w:rPr>
                <w:rFonts w:ascii="Times New Roman" w:hAnsi="Times New Roman" w:cs="Times New Roman"/>
                <w:sz w:val="20"/>
                <w:szCs w:val="20"/>
              </w:rPr>
              <w:t xml:space="preserve"> 0.0019)</w:t>
            </w:r>
          </w:p>
        </w:tc>
        <w:tc>
          <w:tcPr>
            <w:tcW w:w="2401" w:type="dxa"/>
            <w:vAlign w:val="center"/>
          </w:tcPr>
          <w:p w14:paraId="0AF75875" w14:textId="59988089" w:rsidR="00D6264A" w:rsidRPr="00D6264A" w:rsidRDefault="00D6264A" w:rsidP="00D6264A">
            <w:pPr>
              <w:spacing w:after="0" w:line="240" w:lineRule="auto"/>
              <w:jc w:val="center"/>
              <w:rPr>
                <w:rFonts w:ascii="Times New Roman" w:eastAsia="Times New Roman" w:hAnsi="Times New Roman" w:cs="Times New Roman"/>
                <w:sz w:val="20"/>
                <w:szCs w:val="20"/>
                <w:lang w:eastAsia="en-AU"/>
              </w:rPr>
            </w:pPr>
            <w:r w:rsidRPr="00D6264A">
              <w:rPr>
                <w:rFonts w:ascii="Times New Roman" w:hAnsi="Times New Roman" w:cs="Times New Roman"/>
                <w:color w:val="000000"/>
                <w:sz w:val="20"/>
                <w:szCs w:val="20"/>
              </w:rPr>
              <w:t>-0.0013 (-0.0034 – 0.0)</w:t>
            </w:r>
          </w:p>
        </w:tc>
        <w:tc>
          <w:tcPr>
            <w:tcW w:w="576" w:type="dxa"/>
            <w:vAlign w:val="center"/>
          </w:tcPr>
          <w:p w14:paraId="4E093D32" w14:textId="4A880067" w:rsidR="00D6264A" w:rsidRPr="00D6264A" w:rsidRDefault="00D6264A" w:rsidP="00D6264A">
            <w:pPr>
              <w:spacing w:after="0" w:line="240" w:lineRule="auto"/>
              <w:jc w:val="center"/>
              <w:rPr>
                <w:rFonts w:ascii="Times New Roman" w:eastAsia="Times New Roman" w:hAnsi="Times New Roman" w:cs="Times New Roman"/>
                <w:sz w:val="20"/>
                <w:szCs w:val="20"/>
                <w:lang w:eastAsia="en-AU"/>
              </w:rPr>
            </w:pPr>
            <w:r w:rsidRPr="00D6264A">
              <w:rPr>
                <w:rFonts w:ascii="Times New Roman" w:hAnsi="Times New Roman" w:cs="Times New Roman"/>
                <w:sz w:val="20"/>
                <w:szCs w:val="20"/>
              </w:rPr>
              <w:t>1.99</w:t>
            </w:r>
          </w:p>
        </w:tc>
        <w:tc>
          <w:tcPr>
            <w:tcW w:w="1052" w:type="dxa"/>
            <w:noWrap/>
            <w:vAlign w:val="center"/>
          </w:tcPr>
          <w:p w14:paraId="537D85F3" w14:textId="5E845A30" w:rsidR="00D6264A" w:rsidRPr="00D6264A" w:rsidRDefault="00D6264A" w:rsidP="00D6264A">
            <w:pPr>
              <w:spacing w:after="0" w:line="240" w:lineRule="auto"/>
              <w:jc w:val="center"/>
              <w:rPr>
                <w:rFonts w:ascii="Times New Roman" w:eastAsia="Times New Roman" w:hAnsi="Times New Roman" w:cs="Times New Roman"/>
                <w:sz w:val="20"/>
                <w:szCs w:val="20"/>
                <w:lang w:eastAsia="en-AU"/>
              </w:rPr>
            </w:pPr>
            <w:r w:rsidRPr="00D6264A">
              <w:rPr>
                <w:rFonts w:ascii="Times New Roman" w:hAnsi="Times New Roman" w:cs="Times New Roman"/>
                <w:sz w:val="20"/>
                <w:szCs w:val="20"/>
              </w:rPr>
              <w:t>0.046</w:t>
            </w:r>
          </w:p>
        </w:tc>
      </w:tr>
      <w:tr w:rsidR="00D6264A" w:rsidRPr="00266DE9" w14:paraId="1520DC95" w14:textId="77777777" w:rsidTr="006435DE">
        <w:trPr>
          <w:trHeight w:val="24"/>
          <w:jc w:val="center"/>
        </w:trPr>
        <w:tc>
          <w:tcPr>
            <w:tcW w:w="2404" w:type="dxa"/>
            <w:shd w:val="clear" w:color="auto" w:fill="auto"/>
            <w:vAlign w:val="center"/>
            <w:hideMark/>
          </w:tcPr>
          <w:p w14:paraId="3E82E071" w14:textId="1B0FEFD4" w:rsidR="00D6264A" w:rsidRPr="00327F52" w:rsidRDefault="00D6264A" w:rsidP="00D6264A">
            <w:pPr>
              <w:spacing w:after="0" w:line="240" w:lineRule="auto"/>
              <w:rPr>
                <w:rFonts w:ascii="Times New Roman" w:eastAsia="Times New Roman" w:hAnsi="Times New Roman" w:cs="Times New Roman"/>
                <w:bCs/>
                <w:sz w:val="20"/>
                <w:szCs w:val="20"/>
                <w:lang w:eastAsia="en-AU"/>
              </w:rPr>
            </w:pPr>
            <w:r w:rsidRPr="00327F52">
              <w:rPr>
                <w:rFonts w:ascii="Times New Roman" w:eastAsia="Times New Roman" w:hAnsi="Times New Roman" w:cs="Times New Roman"/>
                <w:bCs/>
                <w:sz w:val="20"/>
                <w:szCs w:val="20"/>
                <w:lang w:eastAsia="en-AU"/>
              </w:rPr>
              <w:t>4</w:t>
            </w:r>
          </w:p>
        </w:tc>
        <w:tc>
          <w:tcPr>
            <w:tcW w:w="426" w:type="dxa"/>
            <w:shd w:val="clear" w:color="auto" w:fill="auto"/>
            <w:vAlign w:val="center"/>
          </w:tcPr>
          <w:p w14:paraId="3DE93601" w14:textId="520AC6FC" w:rsidR="00D6264A" w:rsidRPr="00266DE9" w:rsidRDefault="00D6264A" w:rsidP="00D6264A">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w:t>
            </w:r>
          </w:p>
        </w:tc>
        <w:tc>
          <w:tcPr>
            <w:tcW w:w="2268" w:type="dxa"/>
            <w:tcBorders>
              <w:bottom w:val="single" w:sz="4" w:space="0" w:color="auto"/>
            </w:tcBorders>
            <w:vAlign w:val="center"/>
          </w:tcPr>
          <w:p w14:paraId="36C98DDE" w14:textId="71E2F3FF" w:rsidR="00D6264A" w:rsidRPr="00D6264A" w:rsidRDefault="00D6264A" w:rsidP="00D6264A">
            <w:pPr>
              <w:spacing w:after="0" w:line="240" w:lineRule="auto"/>
              <w:jc w:val="center"/>
              <w:rPr>
                <w:rFonts w:ascii="Times New Roman" w:eastAsia="Times New Roman" w:hAnsi="Times New Roman" w:cs="Times New Roman"/>
                <w:sz w:val="20"/>
                <w:szCs w:val="20"/>
                <w:lang w:eastAsia="en-AU"/>
              </w:rPr>
            </w:pPr>
            <w:r w:rsidRPr="00D6264A">
              <w:rPr>
                <w:rFonts w:ascii="Times New Roman" w:hAnsi="Times New Roman" w:cs="Times New Roman"/>
                <w:sz w:val="20"/>
                <w:szCs w:val="20"/>
              </w:rPr>
              <w:t>0.0017 (0.0003</w:t>
            </w:r>
            <w:r w:rsidR="00F978B4">
              <w:rPr>
                <w:rFonts w:ascii="Times New Roman" w:hAnsi="Times New Roman" w:cs="Times New Roman"/>
                <w:sz w:val="20"/>
                <w:szCs w:val="20"/>
              </w:rPr>
              <w:t xml:space="preserve"> </w:t>
            </w:r>
            <w:r w:rsidR="00F978B4" w:rsidRPr="00D6264A">
              <w:rPr>
                <w:rFonts w:ascii="Times New Roman" w:hAnsi="Times New Roman" w:cs="Times New Roman"/>
                <w:color w:val="000000"/>
                <w:sz w:val="20"/>
                <w:szCs w:val="20"/>
              </w:rPr>
              <w:t>–</w:t>
            </w:r>
            <w:r w:rsidR="00F978B4">
              <w:rPr>
                <w:rFonts w:ascii="Times New Roman" w:hAnsi="Times New Roman" w:cs="Times New Roman"/>
                <w:sz w:val="20"/>
                <w:szCs w:val="20"/>
              </w:rPr>
              <w:t xml:space="preserve"> </w:t>
            </w:r>
            <w:r w:rsidRPr="00D6264A">
              <w:rPr>
                <w:rFonts w:ascii="Times New Roman" w:hAnsi="Times New Roman" w:cs="Times New Roman"/>
                <w:sz w:val="20"/>
                <w:szCs w:val="20"/>
              </w:rPr>
              <w:t>0.0040)</w:t>
            </w:r>
          </w:p>
        </w:tc>
        <w:tc>
          <w:tcPr>
            <w:tcW w:w="2401" w:type="dxa"/>
            <w:tcBorders>
              <w:bottom w:val="single" w:sz="4" w:space="0" w:color="auto"/>
            </w:tcBorders>
            <w:vAlign w:val="center"/>
          </w:tcPr>
          <w:p w14:paraId="6D545EC1" w14:textId="78B39B30" w:rsidR="00D6264A" w:rsidRPr="00D6264A" w:rsidRDefault="00F978B4" w:rsidP="00D6264A">
            <w:pPr>
              <w:spacing w:after="0" w:line="240" w:lineRule="auto"/>
              <w:jc w:val="center"/>
              <w:rPr>
                <w:rFonts w:ascii="Times New Roman" w:eastAsia="Times New Roman" w:hAnsi="Times New Roman" w:cs="Times New Roman"/>
                <w:sz w:val="20"/>
                <w:szCs w:val="20"/>
                <w:lang w:eastAsia="en-AU"/>
              </w:rPr>
            </w:pPr>
            <w:r>
              <w:rPr>
                <w:rFonts w:ascii="Times New Roman" w:hAnsi="Times New Roman" w:cs="Times New Roman"/>
                <w:color w:val="000000"/>
                <w:sz w:val="20"/>
                <w:szCs w:val="20"/>
              </w:rPr>
              <w:t xml:space="preserve">-0.0007 (-0.0023 </w:t>
            </w:r>
            <w:r w:rsidRPr="00D6264A">
              <w:rPr>
                <w:rFonts w:ascii="Times New Roman" w:hAnsi="Times New Roman" w:cs="Times New Roman"/>
                <w:color w:val="000000"/>
                <w:sz w:val="20"/>
                <w:szCs w:val="20"/>
              </w:rPr>
              <w:t>–</w:t>
            </w:r>
            <w:r w:rsidR="00D6264A" w:rsidRPr="00D6264A">
              <w:rPr>
                <w:rFonts w:ascii="Times New Roman" w:hAnsi="Times New Roman" w:cs="Times New Roman"/>
                <w:color w:val="000000"/>
                <w:sz w:val="20"/>
                <w:szCs w:val="20"/>
              </w:rPr>
              <w:t xml:space="preserve"> 0.0003)</w:t>
            </w:r>
          </w:p>
        </w:tc>
        <w:tc>
          <w:tcPr>
            <w:tcW w:w="576" w:type="dxa"/>
            <w:tcBorders>
              <w:bottom w:val="single" w:sz="4" w:space="0" w:color="auto"/>
            </w:tcBorders>
            <w:vAlign w:val="center"/>
          </w:tcPr>
          <w:p w14:paraId="58C3FB89" w14:textId="6AC307B6" w:rsidR="00D6264A" w:rsidRPr="00D6264A" w:rsidRDefault="00D6264A" w:rsidP="00D6264A">
            <w:pPr>
              <w:spacing w:after="0" w:line="240" w:lineRule="auto"/>
              <w:jc w:val="center"/>
              <w:rPr>
                <w:rFonts w:ascii="Times New Roman" w:eastAsia="Times New Roman" w:hAnsi="Times New Roman" w:cs="Times New Roman"/>
                <w:sz w:val="20"/>
                <w:szCs w:val="20"/>
                <w:lang w:eastAsia="en-AU"/>
              </w:rPr>
            </w:pPr>
            <w:r w:rsidRPr="00D6264A">
              <w:rPr>
                <w:rFonts w:ascii="Times New Roman" w:hAnsi="Times New Roman" w:cs="Times New Roman"/>
                <w:sz w:val="20"/>
                <w:szCs w:val="20"/>
              </w:rPr>
              <w:t>1.57</w:t>
            </w:r>
          </w:p>
        </w:tc>
        <w:tc>
          <w:tcPr>
            <w:tcW w:w="1052" w:type="dxa"/>
            <w:tcBorders>
              <w:bottom w:val="single" w:sz="4" w:space="0" w:color="auto"/>
            </w:tcBorders>
            <w:noWrap/>
            <w:vAlign w:val="center"/>
          </w:tcPr>
          <w:p w14:paraId="7195A67C" w14:textId="570BCCFA" w:rsidR="00D6264A" w:rsidRPr="00D6264A" w:rsidRDefault="00D6264A" w:rsidP="00D6264A">
            <w:pPr>
              <w:spacing w:after="0" w:line="240" w:lineRule="auto"/>
              <w:jc w:val="center"/>
              <w:rPr>
                <w:rFonts w:ascii="Times New Roman" w:eastAsia="Times New Roman" w:hAnsi="Times New Roman" w:cs="Times New Roman"/>
                <w:sz w:val="20"/>
                <w:szCs w:val="20"/>
                <w:lang w:eastAsia="en-AU"/>
              </w:rPr>
            </w:pPr>
            <w:r w:rsidRPr="00D6264A">
              <w:rPr>
                <w:rFonts w:ascii="Times New Roman" w:hAnsi="Times New Roman" w:cs="Times New Roman"/>
                <w:sz w:val="20"/>
                <w:szCs w:val="20"/>
              </w:rPr>
              <w:t>0.12</w:t>
            </w:r>
          </w:p>
        </w:tc>
      </w:tr>
      <w:tr w:rsidR="006435DE" w:rsidRPr="00266DE9" w14:paraId="7979F3CE" w14:textId="77777777" w:rsidTr="006435DE">
        <w:trPr>
          <w:trHeight w:val="24"/>
          <w:jc w:val="center"/>
        </w:trPr>
        <w:tc>
          <w:tcPr>
            <w:tcW w:w="2404" w:type="dxa"/>
            <w:shd w:val="clear" w:color="auto" w:fill="auto"/>
            <w:vAlign w:val="center"/>
            <w:hideMark/>
          </w:tcPr>
          <w:p w14:paraId="28BB0B95" w14:textId="71921572" w:rsidR="006435DE" w:rsidRPr="00327F52" w:rsidRDefault="006435DE" w:rsidP="006435DE">
            <w:pPr>
              <w:spacing w:after="0" w:line="240" w:lineRule="auto"/>
              <w:rPr>
                <w:rFonts w:ascii="Times New Roman" w:eastAsia="Times New Roman" w:hAnsi="Times New Roman" w:cs="Times New Roman"/>
                <w:bCs/>
                <w:sz w:val="20"/>
                <w:szCs w:val="20"/>
                <w:lang w:eastAsia="en-AU"/>
              </w:rPr>
            </w:pPr>
            <w:r w:rsidRPr="00327F52">
              <w:rPr>
                <w:rFonts w:ascii="Times New Roman" w:eastAsia="Times New Roman" w:hAnsi="Times New Roman" w:cs="Times New Roman"/>
                <w:bCs/>
                <w:sz w:val="20"/>
                <w:szCs w:val="20"/>
                <w:lang w:eastAsia="en-AU"/>
              </w:rPr>
              <w:t>7</w:t>
            </w:r>
          </w:p>
        </w:tc>
        <w:tc>
          <w:tcPr>
            <w:tcW w:w="426" w:type="dxa"/>
            <w:shd w:val="clear" w:color="auto" w:fill="auto"/>
            <w:vAlign w:val="center"/>
          </w:tcPr>
          <w:p w14:paraId="2AB82999" w14:textId="78D42ED7" w:rsidR="006435DE" w:rsidRPr="00266DE9" w:rsidRDefault="006435DE" w:rsidP="006435DE">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w:t>
            </w:r>
            <w:r w:rsidRPr="00D6264A">
              <w:rPr>
                <w:rFonts w:ascii="Times New Roman" w:eastAsia="Times New Roman" w:hAnsi="Times New Roman" w:cs="Times New Roman"/>
                <w:sz w:val="20"/>
                <w:szCs w:val="20"/>
                <w:vertAlign w:val="superscript"/>
                <w:lang w:eastAsia="en-AU"/>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76209D95" w14:textId="367F505B" w:rsidR="006435DE" w:rsidRPr="006435DE" w:rsidRDefault="006435DE" w:rsidP="006435DE">
            <w:pPr>
              <w:spacing w:after="0" w:line="240" w:lineRule="auto"/>
              <w:jc w:val="center"/>
              <w:rPr>
                <w:rFonts w:ascii="Times New Roman" w:eastAsia="Times New Roman" w:hAnsi="Times New Roman" w:cs="Times New Roman"/>
                <w:sz w:val="20"/>
                <w:szCs w:val="20"/>
                <w:lang w:eastAsia="en-AU"/>
              </w:rPr>
            </w:pPr>
            <w:r w:rsidRPr="006435DE">
              <w:rPr>
                <w:rFonts w:ascii="Times New Roman" w:hAnsi="Times New Roman" w:cs="Times New Roman"/>
                <w:sz w:val="20"/>
                <w:szCs w:val="20"/>
              </w:rPr>
              <w:t xml:space="preserve">0.0018 (0.0008 </w:t>
            </w:r>
            <w:r w:rsidR="00491EF9" w:rsidRPr="00D6264A">
              <w:rPr>
                <w:rFonts w:ascii="Times New Roman" w:hAnsi="Times New Roman" w:cs="Times New Roman"/>
                <w:color w:val="000000"/>
                <w:sz w:val="20"/>
                <w:szCs w:val="20"/>
              </w:rPr>
              <w:t>–</w:t>
            </w:r>
            <w:r w:rsidR="00491EF9">
              <w:rPr>
                <w:rFonts w:ascii="Times New Roman" w:hAnsi="Times New Roman" w:cs="Times New Roman"/>
                <w:sz w:val="20"/>
                <w:szCs w:val="20"/>
              </w:rPr>
              <w:t xml:space="preserve"> </w:t>
            </w:r>
            <w:r w:rsidRPr="006435DE">
              <w:rPr>
                <w:rFonts w:ascii="Times New Roman" w:hAnsi="Times New Roman" w:cs="Times New Roman"/>
                <w:sz w:val="20"/>
                <w:szCs w:val="20"/>
              </w:rPr>
              <w:t>0.0045)</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5C4A5683" w14:textId="673EA60D" w:rsidR="006435DE" w:rsidRPr="006435DE" w:rsidRDefault="006435DE" w:rsidP="006435DE">
            <w:pPr>
              <w:spacing w:after="0" w:line="240" w:lineRule="auto"/>
              <w:jc w:val="center"/>
              <w:rPr>
                <w:rFonts w:ascii="Times New Roman" w:eastAsia="Times New Roman" w:hAnsi="Times New Roman" w:cs="Times New Roman"/>
                <w:sz w:val="20"/>
                <w:szCs w:val="20"/>
                <w:lang w:eastAsia="en-AU"/>
              </w:rPr>
            </w:pPr>
            <w:r w:rsidRPr="006435DE">
              <w:rPr>
                <w:rFonts w:ascii="Times New Roman" w:hAnsi="Times New Roman" w:cs="Times New Roman"/>
                <w:color w:val="000000"/>
                <w:sz w:val="20"/>
                <w:szCs w:val="20"/>
              </w:rPr>
              <w:t>-0.0005 (-0.0016 – 0.0003)</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AE5C352" w14:textId="69751CF5" w:rsidR="006435DE" w:rsidRPr="006435DE" w:rsidRDefault="006435DE" w:rsidP="006435DE">
            <w:pPr>
              <w:spacing w:after="0" w:line="240" w:lineRule="auto"/>
              <w:jc w:val="center"/>
              <w:rPr>
                <w:rFonts w:ascii="Times New Roman" w:eastAsia="Times New Roman" w:hAnsi="Times New Roman" w:cs="Times New Roman"/>
                <w:sz w:val="20"/>
                <w:szCs w:val="20"/>
                <w:lang w:eastAsia="en-AU"/>
              </w:rPr>
            </w:pPr>
            <w:r w:rsidRPr="006435DE">
              <w:rPr>
                <w:rFonts w:ascii="Times New Roman" w:hAnsi="Times New Roman" w:cs="Times New Roman"/>
                <w:sz w:val="20"/>
                <w:szCs w:val="20"/>
              </w:rPr>
              <w:t>1.15</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2F190" w14:textId="4CE4D3D8" w:rsidR="006435DE" w:rsidRPr="006435DE" w:rsidRDefault="006435DE" w:rsidP="006435DE">
            <w:pPr>
              <w:spacing w:after="0" w:line="240" w:lineRule="auto"/>
              <w:jc w:val="center"/>
              <w:rPr>
                <w:rFonts w:ascii="Times New Roman" w:eastAsia="Times New Roman" w:hAnsi="Times New Roman" w:cs="Times New Roman"/>
                <w:sz w:val="20"/>
                <w:szCs w:val="20"/>
                <w:lang w:eastAsia="en-AU"/>
              </w:rPr>
            </w:pPr>
            <w:r w:rsidRPr="006435DE">
              <w:rPr>
                <w:rFonts w:ascii="Times New Roman" w:hAnsi="Times New Roman" w:cs="Times New Roman"/>
                <w:sz w:val="20"/>
                <w:szCs w:val="20"/>
              </w:rPr>
              <w:t>0.25</w:t>
            </w:r>
          </w:p>
        </w:tc>
      </w:tr>
    </w:tbl>
    <w:p w14:paraId="7F195EFD" w14:textId="3E4728DF" w:rsidR="006322EB" w:rsidRPr="00DB14D1" w:rsidRDefault="00DB14D1" w:rsidP="00FA2D26">
      <w:pPr>
        <w:rPr>
          <w:rFonts w:ascii="Times New Roman" w:hAnsi="Times New Roman" w:cs="Times New Roman"/>
          <w:sz w:val="20"/>
          <w:szCs w:val="20"/>
        </w:rPr>
      </w:pPr>
      <w:r w:rsidRPr="00DB14D1">
        <w:rPr>
          <w:rFonts w:ascii="Times New Roman" w:hAnsi="Times New Roman" w:cs="Times New Roman"/>
          <w:sz w:val="20"/>
          <w:szCs w:val="20"/>
          <w:vertAlign w:val="superscript"/>
        </w:rPr>
        <w:t>#</w:t>
      </w:r>
      <w:r w:rsidR="006322EB" w:rsidRPr="00DB14D1">
        <w:rPr>
          <w:rFonts w:ascii="Times New Roman" w:hAnsi="Times New Roman" w:cs="Times New Roman"/>
          <w:sz w:val="20"/>
          <w:szCs w:val="20"/>
        </w:rPr>
        <w:t xml:space="preserve"> </w:t>
      </w:r>
      <w:proofErr w:type="spellStart"/>
      <w:proofErr w:type="gramStart"/>
      <w:r w:rsidR="00D6264A">
        <w:rPr>
          <w:rFonts w:ascii="Times New Roman" w:hAnsi="Times New Roman" w:cs="Times New Roman"/>
          <w:i/>
          <w:sz w:val="20"/>
          <w:szCs w:val="20"/>
        </w:rPr>
        <w:t>p</w:t>
      </w:r>
      <w:r w:rsidR="00D6264A" w:rsidRPr="00D6264A">
        <w:rPr>
          <w:rFonts w:ascii="Times New Roman" w:hAnsi="Times New Roman" w:cs="Times New Roman"/>
          <w:i/>
          <w:sz w:val="20"/>
          <w:szCs w:val="20"/>
        </w:rPr>
        <w:t>fMGET</w:t>
      </w:r>
      <w:proofErr w:type="spellEnd"/>
      <w:proofErr w:type="gramEnd"/>
      <w:r w:rsidR="00D6264A">
        <w:rPr>
          <w:rFonts w:ascii="Times New Roman" w:hAnsi="Times New Roman" w:cs="Times New Roman"/>
          <w:sz w:val="20"/>
          <w:szCs w:val="20"/>
        </w:rPr>
        <w:t xml:space="preserve"> transcripts could not be detected in one participant at the 7 day post-doing time point. For the purpose of analysis, a value corresponding with </w:t>
      </w:r>
      <w:r w:rsidR="00304EC8">
        <w:rPr>
          <w:rFonts w:ascii="Times New Roman" w:hAnsi="Times New Roman" w:cs="Times New Roman"/>
          <w:sz w:val="20"/>
          <w:szCs w:val="20"/>
        </w:rPr>
        <w:t>half the limit of detection</w:t>
      </w:r>
      <w:r w:rsidR="00D6264A">
        <w:rPr>
          <w:rFonts w:ascii="Times New Roman" w:hAnsi="Times New Roman" w:cs="Times New Roman"/>
          <w:sz w:val="20"/>
          <w:szCs w:val="20"/>
        </w:rPr>
        <w:t xml:space="preserve"> of the assay was assigned. </w:t>
      </w:r>
      <w:r w:rsidR="00085E88">
        <w:rPr>
          <w:rFonts w:ascii="Times New Roman" w:hAnsi="Times New Roman" w:cs="Times New Roman"/>
          <w:sz w:val="20"/>
          <w:szCs w:val="20"/>
        </w:rPr>
        <w:t>*</w:t>
      </w:r>
      <w:r w:rsidRPr="00DB14D1">
        <w:rPr>
          <w:rFonts w:ascii="Times New Roman" w:hAnsi="Times New Roman" w:cs="Times New Roman"/>
          <w:sz w:val="20"/>
          <w:szCs w:val="20"/>
        </w:rPr>
        <w:t>Change in transcript ratio was assessed u</w:t>
      </w:r>
      <w:r>
        <w:rPr>
          <w:rFonts w:ascii="Times New Roman" w:hAnsi="Times New Roman" w:cs="Times New Roman"/>
          <w:sz w:val="20"/>
          <w:szCs w:val="20"/>
        </w:rPr>
        <w:t xml:space="preserve">sing a Wilcoxon </w:t>
      </w:r>
      <w:r w:rsidRPr="00DB14D1">
        <w:rPr>
          <w:rFonts w:ascii="Times New Roman" w:hAnsi="Times New Roman" w:cs="Times New Roman"/>
          <w:sz w:val="20"/>
          <w:szCs w:val="20"/>
        </w:rPr>
        <w:t xml:space="preserve">rank </w:t>
      </w:r>
      <w:r>
        <w:rPr>
          <w:rFonts w:ascii="Times New Roman" w:hAnsi="Times New Roman" w:cs="Times New Roman"/>
          <w:sz w:val="20"/>
          <w:szCs w:val="20"/>
        </w:rPr>
        <w:t xml:space="preserve">sum </w:t>
      </w:r>
      <w:r w:rsidRPr="00DB14D1">
        <w:rPr>
          <w:rFonts w:ascii="Times New Roman" w:hAnsi="Times New Roman" w:cs="Times New Roman"/>
          <w:sz w:val="20"/>
          <w:szCs w:val="20"/>
        </w:rPr>
        <w:t xml:space="preserve">test. </w:t>
      </w:r>
    </w:p>
    <w:p w14:paraId="090B4F09" w14:textId="2284AE52" w:rsidR="006322EB" w:rsidRDefault="006322EB" w:rsidP="00FA2D26">
      <w:pPr>
        <w:rPr>
          <w:rFonts w:ascii="Times New Roman" w:hAnsi="Times New Roman" w:cs="Times New Roman"/>
        </w:rPr>
      </w:pPr>
    </w:p>
    <w:p w14:paraId="57204685" w14:textId="77777777" w:rsidR="006322EB" w:rsidRPr="007636FF" w:rsidRDefault="006322EB" w:rsidP="00FA2D26">
      <w:pPr>
        <w:rPr>
          <w:rFonts w:ascii="Times New Roman" w:hAnsi="Times New Roman" w:cs="Times New Roman"/>
        </w:rPr>
      </w:pPr>
    </w:p>
    <w:p w14:paraId="37919ED5" w14:textId="451866B3" w:rsidR="001542B1" w:rsidRDefault="001542B1" w:rsidP="00CD7DA3">
      <w:pPr>
        <w:pStyle w:val="Heading3"/>
        <w:rPr>
          <w:b/>
        </w:rPr>
      </w:pPr>
    </w:p>
    <w:p w14:paraId="10CB63AE" w14:textId="67D7947D" w:rsidR="00EB2B5B" w:rsidRDefault="00396801" w:rsidP="00EB2B5B">
      <w:r>
        <w:object w:dxaOrig="11061" w:dyaOrig="14494" w14:anchorId="620260AD">
          <v:shape id="_x0000_i1026" type="#_x0000_t75" style="width:450.8pt;height:591.65pt" o:ole="">
            <v:imagedata r:id="rId10" o:title=""/>
          </v:shape>
          <o:OLEObject Type="Embed" ProgID="Prism8.Document" ShapeID="_x0000_i1026" DrawAspect="Content" ObjectID="_1708933741" r:id="rId11"/>
        </w:object>
      </w:r>
    </w:p>
    <w:p w14:paraId="5701B4BB" w14:textId="77777777" w:rsidR="00853D8F" w:rsidRDefault="00EB2B5B" w:rsidP="00393DBE">
      <w:pPr>
        <w:pStyle w:val="Heading1"/>
        <w:rPr>
          <w:rFonts w:ascii="Times New Roman" w:hAnsi="Times New Roman" w:cs="Times New Roman"/>
          <w:color w:val="auto"/>
          <w:sz w:val="22"/>
          <w:szCs w:val="22"/>
        </w:rPr>
      </w:pPr>
      <w:bookmarkStart w:id="2" w:name="_Toc98320997"/>
      <w:r w:rsidRPr="00393DBE">
        <w:rPr>
          <w:rFonts w:ascii="Times New Roman" w:hAnsi="Times New Roman" w:cs="Times New Roman"/>
          <w:b/>
          <w:color w:val="auto"/>
          <w:sz w:val="22"/>
          <w:szCs w:val="22"/>
        </w:rPr>
        <w:t>Figure S2.</w:t>
      </w:r>
      <w:r w:rsidRPr="00393DBE">
        <w:rPr>
          <w:rFonts w:ascii="Times New Roman" w:hAnsi="Times New Roman" w:cs="Times New Roman"/>
          <w:color w:val="auto"/>
          <w:sz w:val="22"/>
          <w:szCs w:val="22"/>
        </w:rPr>
        <w:t xml:space="preserve"> Individual participant </w:t>
      </w:r>
      <w:proofErr w:type="spellStart"/>
      <w:r w:rsidRPr="00393DBE">
        <w:rPr>
          <w:rFonts w:ascii="Times New Roman" w:hAnsi="Times New Roman" w:cs="Times New Roman"/>
          <w:color w:val="auto"/>
          <w:sz w:val="22"/>
          <w:szCs w:val="22"/>
        </w:rPr>
        <w:t>hemoglobin</w:t>
      </w:r>
      <w:proofErr w:type="spellEnd"/>
      <w:r w:rsidRPr="00393DBE">
        <w:rPr>
          <w:rFonts w:ascii="Times New Roman" w:hAnsi="Times New Roman" w:cs="Times New Roman"/>
          <w:color w:val="auto"/>
          <w:sz w:val="22"/>
          <w:szCs w:val="22"/>
        </w:rPr>
        <w:t>-time profiles.</w:t>
      </w:r>
      <w:bookmarkEnd w:id="2"/>
      <w:r w:rsidRPr="00393DBE">
        <w:rPr>
          <w:rFonts w:ascii="Times New Roman" w:hAnsi="Times New Roman" w:cs="Times New Roman"/>
          <w:color w:val="auto"/>
          <w:sz w:val="22"/>
          <w:szCs w:val="22"/>
        </w:rPr>
        <w:t xml:space="preserve"> </w:t>
      </w:r>
    </w:p>
    <w:p w14:paraId="65BBB571" w14:textId="257A1198" w:rsidR="00EB2B5B" w:rsidRPr="00393DBE" w:rsidRDefault="00393DBE" w:rsidP="00853D8F">
      <w:pPr>
        <w:pStyle w:val="CSRnormal"/>
      </w:pPr>
      <w:r>
        <w:t>LLN= lower limit of normal.</w:t>
      </w:r>
    </w:p>
    <w:p w14:paraId="73762F7D" w14:textId="32660CCC" w:rsidR="00EB2B5B" w:rsidRDefault="00EB2B5B" w:rsidP="00EB2B5B"/>
    <w:p w14:paraId="758E87AA" w14:textId="24C66C2A" w:rsidR="00EB2B5B" w:rsidRDefault="00EB2B5B" w:rsidP="00EB2B5B">
      <w:pPr>
        <w:pStyle w:val="Heading3"/>
        <w:sectPr w:rsidR="00EB2B5B">
          <w:footerReference w:type="default" r:id="rId12"/>
          <w:pgSz w:w="11906" w:h="16838"/>
          <w:pgMar w:top="1440" w:right="1440" w:bottom="1440" w:left="1440" w:header="708" w:footer="708" w:gutter="0"/>
          <w:cols w:space="708"/>
          <w:docGrid w:linePitch="360"/>
        </w:sectPr>
      </w:pPr>
    </w:p>
    <w:p w14:paraId="48F66F02" w14:textId="10D01AD0" w:rsidR="00DF6BCB" w:rsidRPr="00393DBE" w:rsidRDefault="00EB2B5B" w:rsidP="00393DBE">
      <w:pPr>
        <w:pStyle w:val="Heading1"/>
        <w:rPr>
          <w:rFonts w:ascii="Times New Roman" w:hAnsi="Times New Roman" w:cs="Times New Roman"/>
          <w:color w:val="auto"/>
          <w:sz w:val="22"/>
          <w:szCs w:val="22"/>
        </w:rPr>
      </w:pPr>
      <w:bookmarkStart w:id="3" w:name="_Toc98320998"/>
      <w:r w:rsidRPr="00393DBE">
        <w:rPr>
          <w:rFonts w:ascii="Times New Roman" w:hAnsi="Times New Roman" w:cs="Times New Roman"/>
          <w:b/>
          <w:color w:val="auto"/>
          <w:sz w:val="22"/>
          <w:szCs w:val="22"/>
        </w:rPr>
        <w:lastRenderedPageBreak/>
        <w:t xml:space="preserve">Table </w:t>
      </w:r>
      <w:r w:rsidR="006407D1" w:rsidRPr="00393DBE">
        <w:rPr>
          <w:rFonts w:ascii="Times New Roman" w:hAnsi="Times New Roman" w:cs="Times New Roman"/>
          <w:b/>
          <w:color w:val="auto"/>
          <w:sz w:val="22"/>
          <w:szCs w:val="22"/>
        </w:rPr>
        <w:t>S</w:t>
      </w:r>
      <w:r w:rsidRPr="00393DBE">
        <w:rPr>
          <w:rFonts w:ascii="Times New Roman" w:hAnsi="Times New Roman" w:cs="Times New Roman"/>
          <w:b/>
          <w:color w:val="auto"/>
          <w:sz w:val="22"/>
          <w:szCs w:val="22"/>
        </w:rPr>
        <w:t>1.</w:t>
      </w:r>
      <w:r w:rsidRPr="00393DBE">
        <w:rPr>
          <w:rFonts w:ascii="Times New Roman" w:hAnsi="Times New Roman" w:cs="Times New Roman"/>
          <w:color w:val="auto"/>
          <w:sz w:val="22"/>
          <w:szCs w:val="22"/>
        </w:rPr>
        <w:t xml:space="preserve"> Incidence of adverse events by participant</w:t>
      </w:r>
      <w:r w:rsidR="00393DBE">
        <w:rPr>
          <w:rFonts w:ascii="Times New Roman" w:hAnsi="Times New Roman" w:cs="Times New Roman"/>
          <w:color w:val="auto"/>
          <w:sz w:val="22"/>
          <w:szCs w:val="22"/>
        </w:rPr>
        <w:t>.</w:t>
      </w:r>
      <w:bookmarkEnd w:id="3"/>
    </w:p>
    <w:tbl>
      <w:tblPr>
        <w:tblStyle w:val="TableGrid"/>
        <w:tblW w:w="5000" w:type="pct"/>
        <w:tblLook w:val="04A0" w:firstRow="1" w:lastRow="0" w:firstColumn="1" w:lastColumn="0" w:noHBand="0" w:noVBand="1"/>
      </w:tblPr>
      <w:tblGrid>
        <w:gridCol w:w="2971"/>
        <w:gridCol w:w="1420"/>
        <w:gridCol w:w="1417"/>
        <w:gridCol w:w="1417"/>
        <w:gridCol w:w="1417"/>
        <w:gridCol w:w="1417"/>
        <w:gridCol w:w="1417"/>
        <w:gridCol w:w="2472"/>
      </w:tblGrid>
      <w:tr w:rsidR="00EB2B5B" w:rsidRPr="00543772" w14:paraId="073F7737" w14:textId="1CE4FB96" w:rsidTr="00F81E3B">
        <w:trPr>
          <w:trHeight w:val="227"/>
        </w:trPr>
        <w:tc>
          <w:tcPr>
            <w:tcW w:w="1065" w:type="pct"/>
            <w:vMerge w:val="restart"/>
            <w:shd w:val="clear" w:color="auto" w:fill="auto"/>
          </w:tcPr>
          <w:p w14:paraId="77AF66E3" w14:textId="77777777" w:rsidR="00EB2B5B" w:rsidRPr="00543772" w:rsidRDefault="00EB2B5B" w:rsidP="006322EB">
            <w:pPr>
              <w:pStyle w:val="CSRguidance"/>
              <w:spacing w:after="0"/>
              <w:rPr>
                <w:b/>
                <w:i w:val="0"/>
                <w:color w:val="auto"/>
                <w:sz w:val="20"/>
              </w:rPr>
            </w:pPr>
            <w:r w:rsidRPr="00543772">
              <w:rPr>
                <w:b/>
                <w:i w:val="0"/>
                <w:color w:val="auto"/>
                <w:sz w:val="20"/>
              </w:rPr>
              <w:t>Adverse Event Preferred Term</w:t>
            </w:r>
          </w:p>
        </w:tc>
        <w:tc>
          <w:tcPr>
            <w:tcW w:w="3935" w:type="pct"/>
            <w:gridSpan w:val="7"/>
            <w:shd w:val="clear" w:color="auto" w:fill="auto"/>
          </w:tcPr>
          <w:p w14:paraId="17947805" w14:textId="48543931" w:rsidR="00EB2B5B" w:rsidRPr="00543772" w:rsidRDefault="00EB2B5B" w:rsidP="006322EB">
            <w:pPr>
              <w:pStyle w:val="CSRguidance"/>
              <w:spacing w:after="0"/>
              <w:jc w:val="center"/>
              <w:rPr>
                <w:b/>
                <w:i w:val="0"/>
                <w:color w:val="auto"/>
                <w:sz w:val="20"/>
              </w:rPr>
            </w:pPr>
            <w:r w:rsidRPr="00543772">
              <w:rPr>
                <w:b/>
                <w:i w:val="0"/>
                <w:color w:val="auto"/>
                <w:sz w:val="20"/>
              </w:rPr>
              <w:t>Number of events</w:t>
            </w:r>
          </w:p>
        </w:tc>
      </w:tr>
      <w:tr w:rsidR="003467A5" w:rsidRPr="00543772" w14:paraId="12648BD3" w14:textId="35CD1914" w:rsidTr="0022402A">
        <w:trPr>
          <w:trHeight w:val="285"/>
        </w:trPr>
        <w:tc>
          <w:tcPr>
            <w:tcW w:w="1065" w:type="pct"/>
            <w:vMerge/>
            <w:shd w:val="clear" w:color="auto" w:fill="auto"/>
          </w:tcPr>
          <w:p w14:paraId="28CD3812" w14:textId="77777777" w:rsidR="00EB2B5B" w:rsidRPr="00543772" w:rsidRDefault="00EB2B5B" w:rsidP="006322EB">
            <w:pPr>
              <w:pStyle w:val="CSRguidance"/>
              <w:spacing w:after="0"/>
              <w:rPr>
                <w:i w:val="0"/>
                <w:color w:val="auto"/>
                <w:sz w:val="20"/>
              </w:rPr>
            </w:pPr>
          </w:p>
        </w:tc>
        <w:tc>
          <w:tcPr>
            <w:tcW w:w="509" w:type="pct"/>
            <w:shd w:val="clear" w:color="auto" w:fill="auto"/>
          </w:tcPr>
          <w:p w14:paraId="63ECE221" w14:textId="2E8A18BD" w:rsidR="00EB2B5B" w:rsidRPr="00543772" w:rsidRDefault="00EB2B5B" w:rsidP="003467A5">
            <w:pPr>
              <w:pStyle w:val="CSRguidance"/>
              <w:spacing w:after="0"/>
              <w:jc w:val="center"/>
              <w:rPr>
                <w:b/>
                <w:i w:val="0"/>
                <w:color w:val="auto"/>
                <w:sz w:val="20"/>
              </w:rPr>
            </w:pPr>
            <w:r>
              <w:rPr>
                <w:b/>
                <w:i w:val="0"/>
                <w:color w:val="auto"/>
                <w:sz w:val="20"/>
              </w:rPr>
              <w:t>Participant 1</w:t>
            </w:r>
          </w:p>
        </w:tc>
        <w:tc>
          <w:tcPr>
            <w:tcW w:w="508" w:type="pct"/>
            <w:shd w:val="clear" w:color="auto" w:fill="auto"/>
          </w:tcPr>
          <w:p w14:paraId="632B4F74" w14:textId="3CA532E9" w:rsidR="00EB2B5B" w:rsidRPr="00543772" w:rsidRDefault="00EB2B5B" w:rsidP="003467A5">
            <w:pPr>
              <w:pStyle w:val="CSRguidance"/>
              <w:spacing w:after="0"/>
              <w:jc w:val="center"/>
              <w:rPr>
                <w:b/>
                <w:i w:val="0"/>
                <w:color w:val="auto"/>
                <w:sz w:val="20"/>
              </w:rPr>
            </w:pPr>
            <w:r>
              <w:rPr>
                <w:b/>
                <w:i w:val="0"/>
                <w:color w:val="auto"/>
                <w:sz w:val="20"/>
              </w:rPr>
              <w:t>Participant 2</w:t>
            </w:r>
          </w:p>
        </w:tc>
        <w:tc>
          <w:tcPr>
            <w:tcW w:w="508" w:type="pct"/>
            <w:shd w:val="clear" w:color="auto" w:fill="auto"/>
          </w:tcPr>
          <w:p w14:paraId="11ABF2CB" w14:textId="430EC739" w:rsidR="00EB2B5B" w:rsidRPr="00543772" w:rsidRDefault="00EB2B5B" w:rsidP="003467A5">
            <w:pPr>
              <w:pStyle w:val="CSRguidance"/>
              <w:spacing w:after="0"/>
              <w:jc w:val="center"/>
              <w:rPr>
                <w:b/>
                <w:i w:val="0"/>
                <w:color w:val="auto"/>
                <w:sz w:val="20"/>
              </w:rPr>
            </w:pPr>
            <w:r>
              <w:rPr>
                <w:b/>
                <w:i w:val="0"/>
                <w:color w:val="auto"/>
                <w:sz w:val="20"/>
              </w:rPr>
              <w:t>Participant 3</w:t>
            </w:r>
          </w:p>
        </w:tc>
        <w:tc>
          <w:tcPr>
            <w:tcW w:w="508" w:type="pct"/>
            <w:shd w:val="clear" w:color="auto" w:fill="auto"/>
          </w:tcPr>
          <w:p w14:paraId="22716BEE" w14:textId="6D2BD4E1" w:rsidR="00EB2B5B" w:rsidRPr="00543772" w:rsidRDefault="00EB2B5B" w:rsidP="003467A5">
            <w:pPr>
              <w:pStyle w:val="CSRguidance"/>
              <w:spacing w:after="0"/>
              <w:jc w:val="center"/>
              <w:rPr>
                <w:b/>
                <w:i w:val="0"/>
                <w:color w:val="auto"/>
                <w:sz w:val="20"/>
              </w:rPr>
            </w:pPr>
            <w:r>
              <w:rPr>
                <w:b/>
                <w:i w:val="0"/>
                <w:color w:val="auto"/>
                <w:sz w:val="20"/>
              </w:rPr>
              <w:t>Participant 4</w:t>
            </w:r>
          </w:p>
        </w:tc>
        <w:tc>
          <w:tcPr>
            <w:tcW w:w="508" w:type="pct"/>
            <w:shd w:val="clear" w:color="auto" w:fill="auto"/>
          </w:tcPr>
          <w:p w14:paraId="0C8E1151" w14:textId="6D18FCC7" w:rsidR="00EB2B5B" w:rsidRPr="00543772" w:rsidRDefault="00EB2B5B" w:rsidP="003467A5">
            <w:pPr>
              <w:pStyle w:val="CSRguidance"/>
              <w:spacing w:after="0"/>
              <w:jc w:val="center"/>
              <w:rPr>
                <w:b/>
                <w:i w:val="0"/>
                <w:color w:val="auto"/>
                <w:sz w:val="20"/>
              </w:rPr>
            </w:pPr>
            <w:r>
              <w:rPr>
                <w:b/>
                <w:i w:val="0"/>
                <w:color w:val="auto"/>
                <w:sz w:val="20"/>
              </w:rPr>
              <w:t>Participant 5</w:t>
            </w:r>
          </w:p>
        </w:tc>
        <w:tc>
          <w:tcPr>
            <w:tcW w:w="508" w:type="pct"/>
            <w:shd w:val="clear" w:color="auto" w:fill="auto"/>
          </w:tcPr>
          <w:p w14:paraId="5B084A2D" w14:textId="2396152D" w:rsidR="00EB2B5B" w:rsidRPr="00543772" w:rsidRDefault="00EB2B5B" w:rsidP="003467A5">
            <w:pPr>
              <w:pStyle w:val="CSRguidance"/>
              <w:spacing w:after="0"/>
              <w:jc w:val="center"/>
              <w:rPr>
                <w:b/>
                <w:i w:val="0"/>
                <w:color w:val="auto"/>
                <w:sz w:val="20"/>
              </w:rPr>
            </w:pPr>
            <w:r>
              <w:rPr>
                <w:b/>
                <w:i w:val="0"/>
                <w:color w:val="auto"/>
                <w:sz w:val="20"/>
              </w:rPr>
              <w:t>Participant 6</w:t>
            </w:r>
          </w:p>
        </w:tc>
        <w:tc>
          <w:tcPr>
            <w:tcW w:w="886" w:type="pct"/>
            <w:shd w:val="clear" w:color="auto" w:fill="EEECE1" w:themeFill="background2"/>
          </w:tcPr>
          <w:p w14:paraId="1847F620" w14:textId="6620B8E7" w:rsidR="00EB2B5B" w:rsidRDefault="00EB2B5B" w:rsidP="003467A5">
            <w:pPr>
              <w:pStyle w:val="CSRguidance"/>
              <w:spacing w:after="0"/>
              <w:jc w:val="center"/>
              <w:rPr>
                <w:b/>
                <w:i w:val="0"/>
                <w:color w:val="auto"/>
                <w:sz w:val="20"/>
              </w:rPr>
            </w:pPr>
            <w:r>
              <w:rPr>
                <w:b/>
                <w:i w:val="0"/>
                <w:color w:val="auto"/>
                <w:sz w:val="20"/>
              </w:rPr>
              <w:t>Total</w:t>
            </w:r>
          </w:p>
        </w:tc>
      </w:tr>
      <w:tr w:rsidR="003467A5" w:rsidRPr="00543772" w14:paraId="5C58D346" w14:textId="1EE72EFE" w:rsidTr="0022402A">
        <w:trPr>
          <w:trHeight w:val="227"/>
        </w:trPr>
        <w:tc>
          <w:tcPr>
            <w:tcW w:w="1065" w:type="pct"/>
            <w:vAlign w:val="center"/>
          </w:tcPr>
          <w:p w14:paraId="39D4323B" w14:textId="77777777" w:rsidR="00EB2B5B" w:rsidRPr="00543772" w:rsidRDefault="00EB2B5B" w:rsidP="006322EB">
            <w:pPr>
              <w:pStyle w:val="CSRguidance"/>
              <w:spacing w:after="0"/>
              <w:rPr>
                <w:i w:val="0"/>
                <w:color w:val="auto"/>
                <w:sz w:val="20"/>
              </w:rPr>
            </w:pPr>
            <w:r w:rsidRPr="00543772">
              <w:rPr>
                <w:i w:val="0"/>
                <w:color w:val="auto"/>
                <w:sz w:val="20"/>
              </w:rPr>
              <w:t>Arthralgia</w:t>
            </w:r>
          </w:p>
        </w:tc>
        <w:tc>
          <w:tcPr>
            <w:tcW w:w="509" w:type="pct"/>
            <w:vAlign w:val="center"/>
          </w:tcPr>
          <w:p w14:paraId="1C97C35F" w14:textId="3752F400" w:rsidR="00EB2B5B" w:rsidRPr="00543772" w:rsidRDefault="00A13568" w:rsidP="006322EB">
            <w:pPr>
              <w:pStyle w:val="CSRguidance"/>
              <w:spacing w:after="0"/>
              <w:jc w:val="center"/>
              <w:rPr>
                <w:i w:val="0"/>
                <w:color w:val="auto"/>
                <w:sz w:val="20"/>
              </w:rPr>
            </w:pPr>
            <w:r>
              <w:rPr>
                <w:i w:val="0"/>
                <w:color w:val="auto"/>
                <w:sz w:val="20"/>
              </w:rPr>
              <w:t>1</w:t>
            </w:r>
          </w:p>
        </w:tc>
        <w:tc>
          <w:tcPr>
            <w:tcW w:w="508" w:type="pct"/>
            <w:vAlign w:val="center"/>
          </w:tcPr>
          <w:p w14:paraId="052EE75C" w14:textId="63984247" w:rsidR="00EB2B5B" w:rsidRPr="00543772" w:rsidRDefault="00EB2B5B" w:rsidP="006322EB">
            <w:pPr>
              <w:pStyle w:val="CSRguidance"/>
              <w:spacing w:after="0"/>
              <w:jc w:val="center"/>
              <w:rPr>
                <w:i w:val="0"/>
                <w:color w:val="auto"/>
                <w:sz w:val="20"/>
              </w:rPr>
            </w:pPr>
          </w:p>
        </w:tc>
        <w:tc>
          <w:tcPr>
            <w:tcW w:w="508" w:type="pct"/>
            <w:vAlign w:val="center"/>
          </w:tcPr>
          <w:p w14:paraId="736E71B6" w14:textId="635C3634" w:rsidR="00EB2B5B" w:rsidRPr="00543772" w:rsidRDefault="00EB2B5B" w:rsidP="006322EB">
            <w:pPr>
              <w:pStyle w:val="CSRguidance"/>
              <w:spacing w:after="0"/>
              <w:jc w:val="center"/>
              <w:rPr>
                <w:i w:val="0"/>
                <w:color w:val="auto"/>
                <w:sz w:val="20"/>
              </w:rPr>
            </w:pPr>
          </w:p>
        </w:tc>
        <w:tc>
          <w:tcPr>
            <w:tcW w:w="508" w:type="pct"/>
            <w:vAlign w:val="center"/>
          </w:tcPr>
          <w:p w14:paraId="6F0D4348" w14:textId="314C9E28" w:rsidR="00EB2B5B" w:rsidRPr="00543772" w:rsidRDefault="00EB2B5B" w:rsidP="006322EB">
            <w:pPr>
              <w:pStyle w:val="CSRguidance"/>
              <w:spacing w:after="0"/>
              <w:jc w:val="center"/>
              <w:rPr>
                <w:i w:val="0"/>
                <w:color w:val="auto"/>
                <w:sz w:val="20"/>
              </w:rPr>
            </w:pPr>
          </w:p>
        </w:tc>
        <w:tc>
          <w:tcPr>
            <w:tcW w:w="508" w:type="pct"/>
            <w:vAlign w:val="center"/>
          </w:tcPr>
          <w:p w14:paraId="6ADB1E36" w14:textId="25B1CE85" w:rsidR="00EB2B5B" w:rsidRPr="00543772" w:rsidRDefault="00EB2B5B" w:rsidP="006322EB">
            <w:pPr>
              <w:pStyle w:val="CSRguidance"/>
              <w:spacing w:after="0"/>
              <w:jc w:val="center"/>
              <w:rPr>
                <w:i w:val="0"/>
                <w:color w:val="auto"/>
                <w:sz w:val="20"/>
              </w:rPr>
            </w:pPr>
          </w:p>
        </w:tc>
        <w:tc>
          <w:tcPr>
            <w:tcW w:w="508" w:type="pct"/>
            <w:vAlign w:val="center"/>
          </w:tcPr>
          <w:p w14:paraId="7322DD99" w14:textId="06E1F648"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2602896A" w14:textId="73D53160" w:rsidR="00EB2B5B" w:rsidRPr="00543772" w:rsidRDefault="003467A5" w:rsidP="006322EB">
            <w:pPr>
              <w:pStyle w:val="CSRguidance"/>
              <w:spacing w:after="0"/>
              <w:jc w:val="center"/>
              <w:rPr>
                <w:i w:val="0"/>
                <w:color w:val="auto"/>
                <w:sz w:val="20"/>
              </w:rPr>
            </w:pPr>
            <w:r w:rsidRPr="00A13568">
              <w:rPr>
                <w:i w:val="0"/>
                <w:color w:val="auto"/>
                <w:sz w:val="20"/>
              </w:rPr>
              <w:t>1</w:t>
            </w:r>
          </w:p>
        </w:tc>
      </w:tr>
      <w:tr w:rsidR="003467A5" w:rsidRPr="00543772" w14:paraId="5847666C" w14:textId="4A5E6865" w:rsidTr="0022402A">
        <w:trPr>
          <w:trHeight w:val="227"/>
        </w:trPr>
        <w:tc>
          <w:tcPr>
            <w:tcW w:w="1065" w:type="pct"/>
            <w:vAlign w:val="center"/>
          </w:tcPr>
          <w:p w14:paraId="56ADFE91" w14:textId="77777777" w:rsidR="00EB2B5B" w:rsidRPr="00543772" w:rsidRDefault="00EB2B5B" w:rsidP="006322EB">
            <w:pPr>
              <w:pStyle w:val="CSRguidance"/>
              <w:spacing w:after="0"/>
              <w:rPr>
                <w:i w:val="0"/>
                <w:color w:val="auto"/>
                <w:sz w:val="20"/>
              </w:rPr>
            </w:pPr>
            <w:r w:rsidRPr="00543772">
              <w:rPr>
                <w:i w:val="0"/>
                <w:color w:val="auto"/>
                <w:sz w:val="20"/>
              </w:rPr>
              <w:t>Back pain</w:t>
            </w:r>
          </w:p>
        </w:tc>
        <w:tc>
          <w:tcPr>
            <w:tcW w:w="509" w:type="pct"/>
            <w:vAlign w:val="center"/>
          </w:tcPr>
          <w:p w14:paraId="6C0BEE38" w14:textId="746C55C6" w:rsidR="00EB2B5B" w:rsidRPr="00543772" w:rsidRDefault="00F81E3B" w:rsidP="006322EB">
            <w:pPr>
              <w:pStyle w:val="CSRguidance"/>
              <w:spacing w:after="0"/>
              <w:jc w:val="center"/>
              <w:rPr>
                <w:i w:val="0"/>
                <w:color w:val="auto"/>
                <w:sz w:val="20"/>
              </w:rPr>
            </w:pPr>
            <w:r>
              <w:rPr>
                <w:i w:val="0"/>
                <w:color w:val="auto"/>
                <w:sz w:val="20"/>
              </w:rPr>
              <w:t>1</w:t>
            </w:r>
          </w:p>
        </w:tc>
        <w:tc>
          <w:tcPr>
            <w:tcW w:w="508" w:type="pct"/>
            <w:vAlign w:val="center"/>
          </w:tcPr>
          <w:p w14:paraId="20BEC99D" w14:textId="6896DB73" w:rsidR="00EB2B5B" w:rsidRPr="00543772" w:rsidRDefault="00EB2B5B" w:rsidP="006322EB">
            <w:pPr>
              <w:pStyle w:val="CSRguidance"/>
              <w:spacing w:after="0"/>
              <w:jc w:val="center"/>
              <w:rPr>
                <w:i w:val="0"/>
                <w:color w:val="auto"/>
                <w:sz w:val="20"/>
              </w:rPr>
            </w:pPr>
          </w:p>
        </w:tc>
        <w:tc>
          <w:tcPr>
            <w:tcW w:w="508" w:type="pct"/>
            <w:vAlign w:val="center"/>
          </w:tcPr>
          <w:p w14:paraId="52495BD5" w14:textId="06077EC4" w:rsidR="00EB2B5B" w:rsidRPr="00543772" w:rsidRDefault="00EB2B5B" w:rsidP="006322EB">
            <w:pPr>
              <w:pStyle w:val="CSRguidance"/>
              <w:spacing w:after="0"/>
              <w:jc w:val="center"/>
              <w:rPr>
                <w:i w:val="0"/>
                <w:color w:val="auto"/>
                <w:sz w:val="20"/>
              </w:rPr>
            </w:pPr>
          </w:p>
        </w:tc>
        <w:tc>
          <w:tcPr>
            <w:tcW w:w="508" w:type="pct"/>
            <w:vAlign w:val="center"/>
          </w:tcPr>
          <w:p w14:paraId="6354E560" w14:textId="4796FA27" w:rsidR="00EB2B5B" w:rsidRPr="00543772" w:rsidRDefault="00EB2B5B" w:rsidP="006322EB">
            <w:pPr>
              <w:pStyle w:val="CSRguidance"/>
              <w:spacing w:after="0"/>
              <w:jc w:val="center"/>
              <w:rPr>
                <w:i w:val="0"/>
                <w:color w:val="auto"/>
                <w:sz w:val="20"/>
              </w:rPr>
            </w:pPr>
          </w:p>
        </w:tc>
        <w:tc>
          <w:tcPr>
            <w:tcW w:w="508" w:type="pct"/>
            <w:vAlign w:val="center"/>
          </w:tcPr>
          <w:p w14:paraId="4AF07C66" w14:textId="4DE5C199" w:rsidR="00EB2B5B" w:rsidRPr="00543772" w:rsidRDefault="003E728F" w:rsidP="006322EB">
            <w:pPr>
              <w:pStyle w:val="CSRguidance"/>
              <w:spacing w:after="0"/>
              <w:jc w:val="center"/>
              <w:rPr>
                <w:i w:val="0"/>
                <w:color w:val="auto"/>
                <w:sz w:val="20"/>
              </w:rPr>
            </w:pPr>
            <w:r>
              <w:rPr>
                <w:i w:val="0"/>
                <w:color w:val="auto"/>
                <w:sz w:val="20"/>
              </w:rPr>
              <w:t>2</w:t>
            </w:r>
          </w:p>
        </w:tc>
        <w:tc>
          <w:tcPr>
            <w:tcW w:w="508" w:type="pct"/>
            <w:vAlign w:val="center"/>
          </w:tcPr>
          <w:p w14:paraId="06E13DCF" w14:textId="4C83855B"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22D7D012" w14:textId="10359842" w:rsidR="00EB2B5B" w:rsidRPr="00543772" w:rsidRDefault="003467A5" w:rsidP="006322EB">
            <w:pPr>
              <w:pStyle w:val="CSRguidance"/>
              <w:spacing w:after="0"/>
              <w:jc w:val="center"/>
              <w:rPr>
                <w:i w:val="0"/>
                <w:color w:val="auto"/>
                <w:sz w:val="20"/>
              </w:rPr>
            </w:pPr>
            <w:r>
              <w:rPr>
                <w:i w:val="0"/>
                <w:color w:val="auto"/>
                <w:sz w:val="20"/>
              </w:rPr>
              <w:t>3</w:t>
            </w:r>
          </w:p>
        </w:tc>
      </w:tr>
      <w:tr w:rsidR="003467A5" w:rsidRPr="00543772" w14:paraId="769B4424" w14:textId="6DEE917B" w:rsidTr="0022402A">
        <w:trPr>
          <w:trHeight w:val="227"/>
        </w:trPr>
        <w:tc>
          <w:tcPr>
            <w:tcW w:w="1065" w:type="pct"/>
            <w:vAlign w:val="center"/>
          </w:tcPr>
          <w:p w14:paraId="18BD38AC" w14:textId="77777777" w:rsidR="00EB2B5B" w:rsidRPr="00543772" w:rsidRDefault="00EB2B5B" w:rsidP="006322EB">
            <w:pPr>
              <w:pStyle w:val="CSRguidance"/>
              <w:spacing w:after="0"/>
              <w:rPr>
                <w:i w:val="0"/>
                <w:color w:val="auto"/>
                <w:sz w:val="20"/>
              </w:rPr>
            </w:pPr>
            <w:r w:rsidRPr="00543772">
              <w:rPr>
                <w:i w:val="0"/>
                <w:color w:val="auto"/>
                <w:sz w:val="20"/>
              </w:rPr>
              <w:t>Chills</w:t>
            </w:r>
          </w:p>
        </w:tc>
        <w:tc>
          <w:tcPr>
            <w:tcW w:w="509" w:type="pct"/>
            <w:vAlign w:val="center"/>
          </w:tcPr>
          <w:p w14:paraId="2E33D8A1" w14:textId="7F24CAC3" w:rsidR="00EB2B5B" w:rsidRPr="00543772" w:rsidRDefault="00EB2B5B" w:rsidP="006322EB">
            <w:pPr>
              <w:pStyle w:val="CSRguidance"/>
              <w:spacing w:after="0"/>
              <w:jc w:val="center"/>
              <w:rPr>
                <w:i w:val="0"/>
                <w:color w:val="auto"/>
                <w:sz w:val="20"/>
              </w:rPr>
            </w:pPr>
          </w:p>
        </w:tc>
        <w:tc>
          <w:tcPr>
            <w:tcW w:w="508" w:type="pct"/>
            <w:vAlign w:val="center"/>
          </w:tcPr>
          <w:p w14:paraId="160A7088" w14:textId="1F2F92F0" w:rsidR="00EB2B5B" w:rsidRPr="00543772" w:rsidRDefault="00EB2B5B" w:rsidP="006322EB">
            <w:pPr>
              <w:pStyle w:val="CSRguidance"/>
              <w:spacing w:after="0"/>
              <w:jc w:val="center"/>
              <w:rPr>
                <w:i w:val="0"/>
                <w:color w:val="auto"/>
                <w:sz w:val="20"/>
              </w:rPr>
            </w:pPr>
          </w:p>
        </w:tc>
        <w:tc>
          <w:tcPr>
            <w:tcW w:w="508" w:type="pct"/>
            <w:vAlign w:val="center"/>
          </w:tcPr>
          <w:p w14:paraId="298BD54B" w14:textId="634D151B" w:rsidR="00EB2B5B" w:rsidRPr="00543772" w:rsidRDefault="00EB2B5B" w:rsidP="006322EB">
            <w:pPr>
              <w:pStyle w:val="CSRguidance"/>
              <w:spacing w:after="0"/>
              <w:jc w:val="center"/>
              <w:rPr>
                <w:i w:val="0"/>
                <w:color w:val="auto"/>
                <w:sz w:val="20"/>
              </w:rPr>
            </w:pPr>
          </w:p>
        </w:tc>
        <w:tc>
          <w:tcPr>
            <w:tcW w:w="508" w:type="pct"/>
            <w:vAlign w:val="center"/>
          </w:tcPr>
          <w:p w14:paraId="74826773" w14:textId="0CD7D4FA" w:rsidR="00EB2B5B" w:rsidRPr="00543772" w:rsidRDefault="003E728F" w:rsidP="006322EB">
            <w:pPr>
              <w:pStyle w:val="CSRguidance"/>
              <w:spacing w:after="0"/>
              <w:jc w:val="center"/>
              <w:rPr>
                <w:i w:val="0"/>
                <w:color w:val="auto"/>
                <w:sz w:val="20"/>
              </w:rPr>
            </w:pPr>
            <w:r>
              <w:rPr>
                <w:i w:val="0"/>
                <w:color w:val="auto"/>
                <w:sz w:val="20"/>
              </w:rPr>
              <w:t>2</w:t>
            </w:r>
          </w:p>
        </w:tc>
        <w:tc>
          <w:tcPr>
            <w:tcW w:w="508" w:type="pct"/>
            <w:vAlign w:val="center"/>
          </w:tcPr>
          <w:p w14:paraId="49C79260" w14:textId="0859D596" w:rsidR="00EB2B5B" w:rsidRPr="00543772" w:rsidRDefault="003E728F" w:rsidP="006322EB">
            <w:pPr>
              <w:pStyle w:val="CSRguidance"/>
              <w:spacing w:after="0"/>
              <w:jc w:val="center"/>
              <w:rPr>
                <w:i w:val="0"/>
                <w:color w:val="auto"/>
                <w:sz w:val="20"/>
              </w:rPr>
            </w:pPr>
            <w:r>
              <w:rPr>
                <w:i w:val="0"/>
                <w:color w:val="auto"/>
                <w:sz w:val="20"/>
              </w:rPr>
              <w:t>1</w:t>
            </w:r>
          </w:p>
        </w:tc>
        <w:tc>
          <w:tcPr>
            <w:tcW w:w="508" w:type="pct"/>
            <w:vAlign w:val="center"/>
          </w:tcPr>
          <w:p w14:paraId="0847406C" w14:textId="7F0C36AA"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7450088D" w14:textId="40E1D096" w:rsidR="00EB2B5B" w:rsidRPr="00543772" w:rsidRDefault="003467A5" w:rsidP="006322EB">
            <w:pPr>
              <w:pStyle w:val="CSRguidance"/>
              <w:spacing w:after="0"/>
              <w:jc w:val="center"/>
              <w:rPr>
                <w:i w:val="0"/>
                <w:color w:val="auto"/>
                <w:sz w:val="20"/>
              </w:rPr>
            </w:pPr>
            <w:r>
              <w:rPr>
                <w:i w:val="0"/>
                <w:color w:val="auto"/>
                <w:sz w:val="20"/>
              </w:rPr>
              <w:t>3</w:t>
            </w:r>
          </w:p>
        </w:tc>
      </w:tr>
      <w:tr w:rsidR="003467A5" w:rsidRPr="00543772" w14:paraId="19972DDC" w14:textId="77777777" w:rsidTr="0022402A">
        <w:trPr>
          <w:trHeight w:val="227"/>
        </w:trPr>
        <w:tc>
          <w:tcPr>
            <w:tcW w:w="1065" w:type="pct"/>
            <w:vAlign w:val="center"/>
          </w:tcPr>
          <w:p w14:paraId="70C19114" w14:textId="0BD7947E" w:rsidR="003467A5" w:rsidRPr="00543772" w:rsidRDefault="003467A5" w:rsidP="006322EB">
            <w:pPr>
              <w:pStyle w:val="CSRguidance"/>
              <w:spacing w:after="0"/>
              <w:rPr>
                <w:i w:val="0"/>
                <w:color w:val="auto"/>
                <w:sz w:val="20"/>
              </w:rPr>
            </w:pPr>
            <w:r>
              <w:rPr>
                <w:i w:val="0"/>
                <w:color w:val="auto"/>
                <w:sz w:val="20"/>
              </w:rPr>
              <w:t>Decreased appetite</w:t>
            </w:r>
          </w:p>
        </w:tc>
        <w:tc>
          <w:tcPr>
            <w:tcW w:w="509" w:type="pct"/>
            <w:vAlign w:val="center"/>
          </w:tcPr>
          <w:p w14:paraId="4CE790BE" w14:textId="77777777" w:rsidR="003467A5" w:rsidRPr="00543772" w:rsidRDefault="003467A5" w:rsidP="006322EB">
            <w:pPr>
              <w:pStyle w:val="CSRguidance"/>
              <w:spacing w:after="0"/>
              <w:jc w:val="center"/>
              <w:rPr>
                <w:i w:val="0"/>
                <w:color w:val="auto"/>
                <w:sz w:val="20"/>
              </w:rPr>
            </w:pPr>
          </w:p>
        </w:tc>
        <w:tc>
          <w:tcPr>
            <w:tcW w:w="508" w:type="pct"/>
            <w:vAlign w:val="center"/>
          </w:tcPr>
          <w:p w14:paraId="6AA8B930" w14:textId="77777777" w:rsidR="003467A5" w:rsidRPr="00543772" w:rsidRDefault="003467A5" w:rsidP="006322EB">
            <w:pPr>
              <w:pStyle w:val="CSRguidance"/>
              <w:spacing w:after="0"/>
              <w:jc w:val="center"/>
              <w:rPr>
                <w:i w:val="0"/>
                <w:color w:val="auto"/>
                <w:sz w:val="20"/>
              </w:rPr>
            </w:pPr>
          </w:p>
        </w:tc>
        <w:tc>
          <w:tcPr>
            <w:tcW w:w="508" w:type="pct"/>
            <w:vAlign w:val="center"/>
          </w:tcPr>
          <w:p w14:paraId="65D5636A" w14:textId="77777777" w:rsidR="003467A5" w:rsidRPr="00543772" w:rsidRDefault="003467A5" w:rsidP="006322EB">
            <w:pPr>
              <w:pStyle w:val="CSRguidance"/>
              <w:spacing w:after="0"/>
              <w:jc w:val="center"/>
              <w:rPr>
                <w:i w:val="0"/>
                <w:color w:val="auto"/>
                <w:sz w:val="20"/>
              </w:rPr>
            </w:pPr>
          </w:p>
        </w:tc>
        <w:tc>
          <w:tcPr>
            <w:tcW w:w="508" w:type="pct"/>
            <w:vAlign w:val="center"/>
          </w:tcPr>
          <w:p w14:paraId="4653D8D0" w14:textId="77777777" w:rsidR="003467A5" w:rsidRPr="00543772" w:rsidRDefault="003467A5" w:rsidP="006322EB">
            <w:pPr>
              <w:pStyle w:val="CSRguidance"/>
              <w:spacing w:after="0"/>
              <w:jc w:val="center"/>
              <w:rPr>
                <w:i w:val="0"/>
                <w:color w:val="auto"/>
                <w:sz w:val="20"/>
              </w:rPr>
            </w:pPr>
          </w:p>
        </w:tc>
        <w:tc>
          <w:tcPr>
            <w:tcW w:w="508" w:type="pct"/>
            <w:vAlign w:val="center"/>
          </w:tcPr>
          <w:p w14:paraId="19B16E58" w14:textId="6453E1F0" w:rsidR="003467A5" w:rsidRPr="00543772" w:rsidRDefault="003E728F" w:rsidP="006322EB">
            <w:pPr>
              <w:pStyle w:val="CSRguidance"/>
              <w:spacing w:after="0"/>
              <w:jc w:val="center"/>
              <w:rPr>
                <w:i w:val="0"/>
                <w:color w:val="auto"/>
                <w:sz w:val="20"/>
              </w:rPr>
            </w:pPr>
            <w:r>
              <w:rPr>
                <w:i w:val="0"/>
                <w:color w:val="auto"/>
                <w:sz w:val="20"/>
              </w:rPr>
              <w:t>2</w:t>
            </w:r>
            <w:r w:rsidR="00AA7BD2" w:rsidRPr="00AA7BD2">
              <w:rPr>
                <w:i w:val="0"/>
                <w:color w:val="auto"/>
                <w:sz w:val="20"/>
                <w:vertAlign w:val="superscript"/>
              </w:rPr>
              <w:t>b</w:t>
            </w:r>
          </w:p>
        </w:tc>
        <w:tc>
          <w:tcPr>
            <w:tcW w:w="508" w:type="pct"/>
            <w:vAlign w:val="center"/>
          </w:tcPr>
          <w:p w14:paraId="46E2E416" w14:textId="77777777" w:rsidR="003467A5" w:rsidRPr="00543772" w:rsidRDefault="003467A5" w:rsidP="006322EB">
            <w:pPr>
              <w:pStyle w:val="CSRguidance"/>
              <w:spacing w:after="0"/>
              <w:jc w:val="center"/>
              <w:rPr>
                <w:i w:val="0"/>
                <w:color w:val="auto"/>
                <w:sz w:val="20"/>
              </w:rPr>
            </w:pPr>
          </w:p>
        </w:tc>
        <w:tc>
          <w:tcPr>
            <w:tcW w:w="886" w:type="pct"/>
            <w:shd w:val="clear" w:color="auto" w:fill="EEECE1" w:themeFill="background2"/>
          </w:tcPr>
          <w:p w14:paraId="0954E9BA" w14:textId="48768A0C" w:rsidR="003467A5" w:rsidRPr="00543772" w:rsidRDefault="003467A5" w:rsidP="006322EB">
            <w:pPr>
              <w:pStyle w:val="CSRguidance"/>
              <w:spacing w:after="0"/>
              <w:jc w:val="center"/>
              <w:rPr>
                <w:i w:val="0"/>
                <w:color w:val="auto"/>
                <w:sz w:val="20"/>
              </w:rPr>
            </w:pPr>
            <w:r>
              <w:rPr>
                <w:i w:val="0"/>
                <w:color w:val="auto"/>
                <w:sz w:val="20"/>
              </w:rPr>
              <w:t>2</w:t>
            </w:r>
          </w:p>
        </w:tc>
      </w:tr>
      <w:tr w:rsidR="003467A5" w:rsidRPr="00543772" w14:paraId="0B3C45D5" w14:textId="440FF617" w:rsidTr="0022402A">
        <w:trPr>
          <w:trHeight w:val="227"/>
        </w:trPr>
        <w:tc>
          <w:tcPr>
            <w:tcW w:w="1065" w:type="pct"/>
            <w:vAlign w:val="center"/>
          </w:tcPr>
          <w:p w14:paraId="539A14EF" w14:textId="130BB6B1" w:rsidR="00EB2B5B" w:rsidRPr="00543772" w:rsidRDefault="00EB2B5B" w:rsidP="006322EB">
            <w:pPr>
              <w:pStyle w:val="CSRguidance"/>
              <w:spacing w:after="0"/>
              <w:rPr>
                <w:i w:val="0"/>
                <w:color w:val="auto"/>
                <w:sz w:val="20"/>
              </w:rPr>
            </w:pPr>
            <w:r>
              <w:rPr>
                <w:i w:val="0"/>
                <w:color w:val="auto"/>
                <w:sz w:val="20"/>
              </w:rPr>
              <w:t>Eye pain</w:t>
            </w:r>
          </w:p>
        </w:tc>
        <w:tc>
          <w:tcPr>
            <w:tcW w:w="509" w:type="pct"/>
            <w:vAlign w:val="center"/>
          </w:tcPr>
          <w:p w14:paraId="5921F5EE" w14:textId="7DEB3657" w:rsidR="00EB2B5B" w:rsidRPr="00543772" w:rsidRDefault="00F81E3B" w:rsidP="006322EB">
            <w:pPr>
              <w:pStyle w:val="CSRguidance"/>
              <w:spacing w:after="0"/>
              <w:jc w:val="center"/>
              <w:rPr>
                <w:i w:val="0"/>
                <w:color w:val="auto"/>
                <w:sz w:val="20"/>
              </w:rPr>
            </w:pPr>
            <w:r>
              <w:rPr>
                <w:i w:val="0"/>
                <w:color w:val="auto"/>
                <w:sz w:val="20"/>
              </w:rPr>
              <w:t>1</w:t>
            </w:r>
          </w:p>
        </w:tc>
        <w:tc>
          <w:tcPr>
            <w:tcW w:w="508" w:type="pct"/>
            <w:vAlign w:val="center"/>
          </w:tcPr>
          <w:p w14:paraId="06E494E4" w14:textId="77777777" w:rsidR="00EB2B5B" w:rsidRPr="00543772" w:rsidRDefault="00EB2B5B" w:rsidP="006322EB">
            <w:pPr>
              <w:pStyle w:val="CSRguidance"/>
              <w:spacing w:after="0"/>
              <w:jc w:val="center"/>
              <w:rPr>
                <w:i w:val="0"/>
                <w:color w:val="auto"/>
                <w:sz w:val="20"/>
              </w:rPr>
            </w:pPr>
          </w:p>
        </w:tc>
        <w:tc>
          <w:tcPr>
            <w:tcW w:w="508" w:type="pct"/>
            <w:vAlign w:val="center"/>
          </w:tcPr>
          <w:p w14:paraId="0A3091C0" w14:textId="77777777" w:rsidR="00EB2B5B" w:rsidRPr="00543772" w:rsidRDefault="00EB2B5B" w:rsidP="006322EB">
            <w:pPr>
              <w:pStyle w:val="CSRguidance"/>
              <w:spacing w:after="0"/>
              <w:jc w:val="center"/>
              <w:rPr>
                <w:i w:val="0"/>
                <w:color w:val="auto"/>
                <w:sz w:val="20"/>
              </w:rPr>
            </w:pPr>
          </w:p>
        </w:tc>
        <w:tc>
          <w:tcPr>
            <w:tcW w:w="508" w:type="pct"/>
            <w:vAlign w:val="center"/>
          </w:tcPr>
          <w:p w14:paraId="04541898" w14:textId="77777777" w:rsidR="00EB2B5B" w:rsidRPr="00543772" w:rsidRDefault="00EB2B5B" w:rsidP="006322EB">
            <w:pPr>
              <w:pStyle w:val="CSRguidance"/>
              <w:spacing w:after="0"/>
              <w:jc w:val="center"/>
              <w:rPr>
                <w:i w:val="0"/>
                <w:color w:val="auto"/>
                <w:sz w:val="20"/>
              </w:rPr>
            </w:pPr>
          </w:p>
        </w:tc>
        <w:tc>
          <w:tcPr>
            <w:tcW w:w="508" w:type="pct"/>
            <w:vAlign w:val="center"/>
          </w:tcPr>
          <w:p w14:paraId="29402848" w14:textId="77777777" w:rsidR="00EB2B5B" w:rsidRPr="00543772" w:rsidRDefault="00EB2B5B" w:rsidP="006322EB">
            <w:pPr>
              <w:pStyle w:val="CSRguidance"/>
              <w:spacing w:after="0"/>
              <w:jc w:val="center"/>
              <w:rPr>
                <w:i w:val="0"/>
                <w:color w:val="auto"/>
                <w:sz w:val="20"/>
              </w:rPr>
            </w:pPr>
          </w:p>
        </w:tc>
        <w:tc>
          <w:tcPr>
            <w:tcW w:w="508" w:type="pct"/>
            <w:vAlign w:val="center"/>
          </w:tcPr>
          <w:p w14:paraId="1D561A51" w14:textId="77777777"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3360AACC" w14:textId="07E2D7E2" w:rsidR="00EB2B5B" w:rsidRPr="00543772" w:rsidRDefault="003467A5" w:rsidP="006322EB">
            <w:pPr>
              <w:pStyle w:val="CSRguidance"/>
              <w:spacing w:after="0"/>
              <w:jc w:val="center"/>
              <w:rPr>
                <w:i w:val="0"/>
                <w:color w:val="auto"/>
                <w:sz w:val="20"/>
              </w:rPr>
            </w:pPr>
            <w:r>
              <w:rPr>
                <w:i w:val="0"/>
                <w:color w:val="auto"/>
                <w:sz w:val="20"/>
              </w:rPr>
              <w:t>1</w:t>
            </w:r>
          </w:p>
        </w:tc>
      </w:tr>
      <w:tr w:rsidR="003467A5" w:rsidRPr="00543772" w14:paraId="4AF9A9D7" w14:textId="1E8510CE" w:rsidTr="0022402A">
        <w:trPr>
          <w:trHeight w:val="227"/>
        </w:trPr>
        <w:tc>
          <w:tcPr>
            <w:tcW w:w="1065" w:type="pct"/>
            <w:vAlign w:val="center"/>
          </w:tcPr>
          <w:p w14:paraId="59867D81" w14:textId="77777777" w:rsidR="00EB2B5B" w:rsidRPr="00543772" w:rsidRDefault="00EB2B5B" w:rsidP="006322EB">
            <w:pPr>
              <w:pStyle w:val="CSRguidance"/>
              <w:spacing w:after="0"/>
              <w:rPr>
                <w:i w:val="0"/>
                <w:color w:val="auto"/>
                <w:sz w:val="20"/>
              </w:rPr>
            </w:pPr>
            <w:r w:rsidRPr="00543772">
              <w:rPr>
                <w:i w:val="0"/>
                <w:color w:val="auto"/>
                <w:sz w:val="20"/>
              </w:rPr>
              <w:t>Fatigue</w:t>
            </w:r>
          </w:p>
        </w:tc>
        <w:tc>
          <w:tcPr>
            <w:tcW w:w="509" w:type="pct"/>
            <w:vAlign w:val="center"/>
          </w:tcPr>
          <w:p w14:paraId="17899741" w14:textId="34702087" w:rsidR="00EB2B5B" w:rsidRPr="00543772" w:rsidRDefault="00EB2B5B" w:rsidP="006322EB">
            <w:pPr>
              <w:pStyle w:val="CSRguidance"/>
              <w:spacing w:after="0"/>
              <w:jc w:val="center"/>
              <w:rPr>
                <w:i w:val="0"/>
                <w:color w:val="auto"/>
                <w:sz w:val="20"/>
              </w:rPr>
            </w:pPr>
          </w:p>
        </w:tc>
        <w:tc>
          <w:tcPr>
            <w:tcW w:w="508" w:type="pct"/>
            <w:vAlign w:val="center"/>
          </w:tcPr>
          <w:p w14:paraId="147C66D7" w14:textId="63CC6CA0" w:rsidR="00EB2B5B" w:rsidRPr="00543772" w:rsidRDefault="00EB2B5B" w:rsidP="006322EB">
            <w:pPr>
              <w:pStyle w:val="CSRguidance"/>
              <w:spacing w:after="0"/>
              <w:jc w:val="center"/>
              <w:rPr>
                <w:i w:val="0"/>
                <w:color w:val="auto"/>
                <w:sz w:val="20"/>
              </w:rPr>
            </w:pPr>
          </w:p>
        </w:tc>
        <w:tc>
          <w:tcPr>
            <w:tcW w:w="508" w:type="pct"/>
            <w:vAlign w:val="center"/>
          </w:tcPr>
          <w:p w14:paraId="038211DD" w14:textId="02C8936D" w:rsidR="00EB2B5B" w:rsidRPr="00543772" w:rsidRDefault="00EB2B5B" w:rsidP="006322EB">
            <w:pPr>
              <w:pStyle w:val="CSRguidance"/>
              <w:spacing w:after="0"/>
              <w:jc w:val="center"/>
              <w:rPr>
                <w:i w:val="0"/>
                <w:color w:val="auto"/>
                <w:sz w:val="20"/>
              </w:rPr>
            </w:pPr>
          </w:p>
        </w:tc>
        <w:tc>
          <w:tcPr>
            <w:tcW w:w="508" w:type="pct"/>
            <w:vAlign w:val="center"/>
          </w:tcPr>
          <w:p w14:paraId="2FF3F0E7" w14:textId="68258768" w:rsidR="00EB2B5B" w:rsidRPr="00543772" w:rsidRDefault="00EB2B5B" w:rsidP="006322EB">
            <w:pPr>
              <w:pStyle w:val="CSRguidance"/>
              <w:spacing w:after="0"/>
              <w:jc w:val="center"/>
              <w:rPr>
                <w:i w:val="0"/>
                <w:color w:val="auto"/>
                <w:sz w:val="20"/>
              </w:rPr>
            </w:pPr>
          </w:p>
        </w:tc>
        <w:tc>
          <w:tcPr>
            <w:tcW w:w="508" w:type="pct"/>
            <w:vAlign w:val="center"/>
          </w:tcPr>
          <w:p w14:paraId="3C6D8870" w14:textId="26B616CA" w:rsidR="00EB2B5B" w:rsidRPr="00543772" w:rsidRDefault="003E728F" w:rsidP="006322EB">
            <w:pPr>
              <w:pStyle w:val="CSRguidance"/>
              <w:spacing w:after="0"/>
              <w:jc w:val="center"/>
              <w:rPr>
                <w:i w:val="0"/>
                <w:color w:val="auto"/>
                <w:sz w:val="20"/>
              </w:rPr>
            </w:pPr>
            <w:r>
              <w:rPr>
                <w:i w:val="0"/>
                <w:color w:val="auto"/>
                <w:sz w:val="20"/>
              </w:rPr>
              <w:t>1</w:t>
            </w:r>
            <w:r w:rsidR="00152C4B" w:rsidRPr="00152C4B">
              <w:rPr>
                <w:i w:val="0"/>
                <w:color w:val="auto"/>
                <w:sz w:val="20"/>
                <w:vertAlign w:val="superscript"/>
              </w:rPr>
              <w:t>a</w:t>
            </w:r>
          </w:p>
        </w:tc>
        <w:tc>
          <w:tcPr>
            <w:tcW w:w="508" w:type="pct"/>
            <w:vAlign w:val="center"/>
          </w:tcPr>
          <w:p w14:paraId="51180535" w14:textId="7FB676E0"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71E26741" w14:textId="40B5122B" w:rsidR="00EB2B5B" w:rsidRPr="00543772" w:rsidRDefault="003467A5" w:rsidP="006322EB">
            <w:pPr>
              <w:pStyle w:val="CSRguidance"/>
              <w:spacing w:after="0"/>
              <w:jc w:val="center"/>
              <w:rPr>
                <w:i w:val="0"/>
                <w:color w:val="auto"/>
                <w:sz w:val="20"/>
              </w:rPr>
            </w:pPr>
            <w:r>
              <w:rPr>
                <w:i w:val="0"/>
                <w:color w:val="auto"/>
                <w:sz w:val="20"/>
              </w:rPr>
              <w:t>1</w:t>
            </w:r>
          </w:p>
        </w:tc>
      </w:tr>
      <w:tr w:rsidR="003467A5" w:rsidRPr="00543772" w14:paraId="2A32973F" w14:textId="77777777" w:rsidTr="0022402A">
        <w:trPr>
          <w:trHeight w:val="227"/>
        </w:trPr>
        <w:tc>
          <w:tcPr>
            <w:tcW w:w="1065" w:type="pct"/>
            <w:vAlign w:val="center"/>
          </w:tcPr>
          <w:p w14:paraId="77FABD08" w14:textId="07BCC02B" w:rsidR="003467A5" w:rsidRPr="00543772" w:rsidRDefault="003467A5" w:rsidP="006322EB">
            <w:pPr>
              <w:pStyle w:val="CSRguidance"/>
              <w:spacing w:after="0"/>
              <w:rPr>
                <w:i w:val="0"/>
                <w:color w:val="auto"/>
                <w:sz w:val="20"/>
              </w:rPr>
            </w:pPr>
            <w:r>
              <w:rPr>
                <w:i w:val="0"/>
                <w:color w:val="auto"/>
                <w:sz w:val="20"/>
              </w:rPr>
              <w:t>Groin pain</w:t>
            </w:r>
          </w:p>
        </w:tc>
        <w:tc>
          <w:tcPr>
            <w:tcW w:w="509" w:type="pct"/>
            <w:vAlign w:val="center"/>
          </w:tcPr>
          <w:p w14:paraId="6932DEA7" w14:textId="675B33D8" w:rsidR="003467A5" w:rsidRPr="00543772" w:rsidRDefault="003467A5" w:rsidP="006322EB">
            <w:pPr>
              <w:pStyle w:val="CSRguidance"/>
              <w:spacing w:after="0"/>
              <w:jc w:val="center"/>
              <w:rPr>
                <w:i w:val="0"/>
                <w:color w:val="auto"/>
                <w:sz w:val="20"/>
              </w:rPr>
            </w:pPr>
          </w:p>
        </w:tc>
        <w:tc>
          <w:tcPr>
            <w:tcW w:w="508" w:type="pct"/>
            <w:vAlign w:val="center"/>
          </w:tcPr>
          <w:p w14:paraId="5F94AB85" w14:textId="1B095270" w:rsidR="003467A5" w:rsidRPr="00543772" w:rsidRDefault="00F81E3B" w:rsidP="006322EB">
            <w:pPr>
              <w:pStyle w:val="CSRguidance"/>
              <w:spacing w:after="0"/>
              <w:jc w:val="center"/>
              <w:rPr>
                <w:i w:val="0"/>
                <w:color w:val="auto"/>
                <w:sz w:val="20"/>
              </w:rPr>
            </w:pPr>
            <w:r>
              <w:rPr>
                <w:i w:val="0"/>
                <w:color w:val="auto"/>
                <w:sz w:val="20"/>
              </w:rPr>
              <w:t>1</w:t>
            </w:r>
            <w:r w:rsidR="00152C4B" w:rsidRPr="00152C4B">
              <w:rPr>
                <w:i w:val="0"/>
                <w:color w:val="auto"/>
                <w:sz w:val="20"/>
                <w:vertAlign w:val="superscript"/>
              </w:rPr>
              <w:t>a</w:t>
            </w:r>
          </w:p>
        </w:tc>
        <w:tc>
          <w:tcPr>
            <w:tcW w:w="508" w:type="pct"/>
            <w:vAlign w:val="center"/>
          </w:tcPr>
          <w:p w14:paraId="6584FB02" w14:textId="77777777" w:rsidR="003467A5" w:rsidRPr="00543772" w:rsidRDefault="003467A5" w:rsidP="006322EB">
            <w:pPr>
              <w:pStyle w:val="CSRguidance"/>
              <w:spacing w:after="0"/>
              <w:jc w:val="center"/>
              <w:rPr>
                <w:i w:val="0"/>
                <w:color w:val="auto"/>
                <w:sz w:val="20"/>
              </w:rPr>
            </w:pPr>
          </w:p>
        </w:tc>
        <w:tc>
          <w:tcPr>
            <w:tcW w:w="508" w:type="pct"/>
            <w:vAlign w:val="center"/>
          </w:tcPr>
          <w:p w14:paraId="399E78EF" w14:textId="77777777" w:rsidR="003467A5" w:rsidRPr="00543772" w:rsidRDefault="003467A5" w:rsidP="006322EB">
            <w:pPr>
              <w:pStyle w:val="CSRguidance"/>
              <w:spacing w:after="0"/>
              <w:jc w:val="center"/>
              <w:rPr>
                <w:i w:val="0"/>
                <w:color w:val="auto"/>
                <w:sz w:val="20"/>
              </w:rPr>
            </w:pPr>
          </w:p>
        </w:tc>
        <w:tc>
          <w:tcPr>
            <w:tcW w:w="508" w:type="pct"/>
            <w:vAlign w:val="center"/>
          </w:tcPr>
          <w:p w14:paraId="0F92304F" w14:textId="77777777" w:rsidR="003467A5" w:rsidRPr="00543772" w:rsidRDefault="003467A5" w:rsidP="006322EB">
            <w:pPr>
              <w:pStyle w:val="CSRguidance"/>
              <w:spacing w:after="0"/>
              <w:jc w:val="center"/>
              <w:rPr>
                <w:i w:val="0"/>
                <w:color w:val="auto"/>
                <w:sz w:val="20"/>
              </w:rPr>
            </w:pPr>
          </w:p>
        </w:tc>
        <w:tc>
          <w:tcPr>
            <w:tcW w:w="508" w:type="pct"/>
            <w:vAlign w:val="center"/>
          </w:tcPr>
          <w:p w14:paraId="7654051D" w14:textId="77777777" w:rsidR="003467A5" w:rsidRPr="00543772" w:rsidRDefault="003467A5" w:rsidP="006322EB">
            <w:pPr>
              <w:pStyle w:val="CSRguidance"/>
              <w:spacing w:after="0"/>
              <w:jc w:val="center"/>
              <w:rPr>
                <w:i w:val="0"/>
                <w:color w:val="auto"/>
                <w:sz w:val="20"/>
              </w:rPr>
            </w:pPr>
          </w:p>
        </w:tc>
        <w:tc>
          <w:tcPr>
            <w:tcW w:w="886" w:type="pct"/>
            <w:shd w:val="clear" w:color="auto" w:fill="EEECE1" w:themeFill="background2"/>
          </w:tcPr>
          <w:p w14:paraId="10550F24" w14:textId="0D7C452F" w:rsidR="003467A5" w:rsidRPr="00543772" w:rsidRDefault="003467A5" w:rsidP="006322EB">
            <w:pPr>
              <w:pStyle w:val="CSRguidance"/>
              <w:spacing w:after="0"/>
              <w:jc w:val="center"/>
              <w:rPr>
                <w:i w:val="0"/>
                <w:color w:val="auto"/>
                <w:sz w:val="20"/>
              </w:rPr>
            </w:pPr>
            <w:r>
              <w:rPr>
                <w:i w:val="0"/>
                <w:color w:val="auto"/>
                <w:sz w:val="20"/>
              </w:rPr>
              <w:t>1</w:t>
            </w:r>
          </w:p>
        </w:tc>
      </w:tr>
      <w:tr w:rsidR="003467A5" w:rsidRPr="00543772" w14:paraId="7E68E330" w14:textId="77777777" w:rsidTr="0022402A">
        <w:trPr>
          <w:trHeight w:val="227"/>
        </w:trPr>
        <w:tc>
          <w:tcPr>
            <w:tcW w:w="1065" w:type="pct"/>
            <w:vAlign w:val="center"/>
          </w:tcPr>
          <w:p w14:paraId="1BF4F2DA" w14:textId="3F67EF87" w:rsidR="003467A5" w:rsidRPr="00543772" w:rsidRDefault="003467A5" w:rsidP="006322EB">
            <w:pPr>
              <w:pStyle w:val="CSRguidance"/>
              <w:spacing w:after="0"/>
              <w:rPr>
                <w:i w:val="0"/>
                <w:color w:val="auto"/>
                <w:sz w:val="20"/>
              </w:rPr>
            </w:pPr>
            <w:proofErr w:type="spellStart"/>
            <w:r>
              <w:rPr>
                <w:i w:val="0"/>
                <w:color w:val="auto"/>
                <w:sz w:val="20"/>
              </w:rPr>
              <w:t>Hemoglobin</w:t>
            </w:r>
            <w:proofErr w:type="spellEnd"/>
            <w:r>
              <w:rPr>
                <w:i w:val="0"/>
                <w:color w:val="auto"/>
                <w:sz w:val="20"/>
              </w:rPr>
              <w:t xml:space="preserve"> decreased</w:t>
            </w:r>
          </w:p>
        </w:tc>
        <w:tc>
          <w:tcPr>
            <w:tcW w:w="509" w:type="pct"/>
            <w:vAlign w:val="center"/>
          </w:tcPr>
          <w:p w14:paraId="1F154587" w14:textId="20F2A488" w:rsidR="003467A5" w:rsidRPr="00543772" w:rsidRDefault="00F81E3B" w:rsidP="006322EB">
            <w:pPr>
              <w:pStyle w:val="CSRguidance"/>
              <w:spacing w:after="0"/>
              <w:jc w:val="center"/>
              <w:rPr>
                <w:i w:val="0"/>
                <w:color w:val="auto"/>
                <w:sz w:val="20"/>
              </w:rPr>
            </w:pPr>
            <w:r>
              <w:rPr>
                <w:i w:val="0"/>
                <w:color w:val="auto"/>
                <w:sz w:val="20"/>
              </w:rPr>
              <w:t>1</w:t>
            </w:r>
          </w:p>
        </w:tc>
        <w:tc>
          <w:tcPr>
            <w:tcW w:w="508" w:type="pct"/>
            <w:vAlign w:val="center"/>
          </w:tcPr>
          <w:p w14:paraId="0E190597" w14:textId="77777777" w:rsidR="003467A5" w:rsidRPr="00543772" w:rsidRDefault="003467A5" w:rsidP="006322EB">
            <w:pPr>
              <w:pStyle w:val="CSRguidance"/>
              <w:spacing w:after="0"/>
              <w:jc w:val="center"/>
              <w:rPr>
                <w:i w:val="0"/>
                <w:color w:val="auto"/>
                <w:sz w:val="20"/>
              </w:rPr>
            </w:pPr>
          </w:p>
        </w:tc>
        <w:tc>
          <w:tcPr>
            <w:tcW w:w="508" w:type="pct"/>
            <w:vAlign w:val="center"/>
          </w:tcPr>
          <w:p w14:paraId="70F83883" w14:textId="77777777" w:rsidR="003467A5" w:rsidRPr="00543772" w:rsidRDefault="003467A5" w:rsidP="006322EB">
            <w:pPr>
              <w:pStyle w:val="CSRguidance"/>
              <w:spacing w:after="0"/>
              <w:jc w:val="center"/>
              <w:rPr>
                <w:i w:val="0"/>
                <w:color w:val="auto"/>
                <w:sz w:val="20"/>
              </w:rPr>
            </w:pPr>
          </w:p>
        </w:tc>
        <w:tc>
          <w:tcPr>
            <w:tcW w:w="508" w:type="pct"/>
            <w:vAlign w:val="center"/>
          </w:tcPr>
          <w:p w14:paraId="7D9CDE71" w14:textId="673A199C" w:rsidR="003467A5" w:rsidRPr="00543772" w:rsidRDefault="003E728F" w:rsidP="006322EB">
            <w:pPr>
              <w:pStyle w:val="CSRguidance"/>
              <w:spacing w:after="0"/>
              <w:jc w:val="center"/>
              <w:rPr>
                <w:i w:val="0"/>
                <w:color w:val="auto"/>
                <w:sz w:val="20"/>
              </w:rPr>
            </w:pPr>
            <w:r>
              <w:rPr>
                <w:i w:val="0"/>
                <w:color w:val="auto"/>
                <w:sz w:val="20"/>
              </w:rPr>
              <w:t>1</w:t>
            </w:r>
          </w:p>
        </w:tc>
        <w:tc>
          <w:tcPr>
            <w:tcW w:w="508" w:type="pct"/>
            <w:vAlign w:val="center"/>
          </w:tcPr>
          <w:p w14:paraId="060E81C7" w14:textId="77777777" w:rsidR="003467A5" w:rsidRPr="00543772" w:rsidRDefault="003467A5" w:rsidP="006322EB">
            <w:pPr>
              <w:pStyle w:val="CSRguidance"/>
              <w:spacing w:after="0"/>
              <w:jc w:val="center"/>
              <w:rPr>
                <w:i w:val="0"/>
                <w:color w:val="auto"/>
                <w:sz w:val="20"/>
              </w:rPr>
            </w:pPr>
          </w:p>
        </w:tc>
        <w:tc>
          <w:tcPr>
            <w:tcW w:w="508" w:type="pct"/>
            <w:vAlign w:val="center"/>
          </w:tcPr>
          <w:p w14:paraId="759551FB" w14:textId="3032DDED" w:rsidR="003467A5" w:rsidRPr="00543772" w:rsidRDefault="003E728F" w:rsidP="006322EB">
            <w:pPr>
              <w:pStyle w:val="CSRguidance"/>
              <w:spacing w:after="0"/>
              <w:jc w:val="center"/>
              <w:rPr>
                <w:i w:val="0"/>
                <w:color w:val="auto"/>
                <w:sz w:val="20"/>
              </w:rPr>
            </w:pPr>
            <w:r>
              <w:rPr>
                <w:i w:val="0"/>
                <w:color w:val="auto"/>
                <w:sz w:val="20"/>
              </w:rPr>
              <w:t>1</w:t>
            </w:r>
          </w:p>
        </w:tc>
        <w:tc>
          <w:tcPr>
            <w:tcW w:w="886" w:type="pct"/>
            <w:shd w:val="clear" w:color="auto" w:fill="EEECE1" w:themeFill="background2"/>
          </w:tcPr>
          <w:p w14:paraId="7C770E34" w14:textId="0E0EE5DF" w:rsidR="003467A5" w:rsidRPr="00543772" w:rsidRDefault="003467A5" w:rsidP="006322EB">
            <w:pPr>
              <w:pStyle w:val="CSRguidance"/>
              <w:spacing w:after="0"/>
              <w:jc w:val="center"/>
              <w:rPr>
                <w:i w:val="0"/>
                <w:color w:val="auto"/>
                <w:sz w:val="20"/>
              </w:rPr>
            </w:pPr>
            <w:r>
              <w:rPr>
                <w:i w:val="0"/>
                <w:color w:val="auto"/>
                <w:sz w:val="20"/>
              </w:rPr>
              <w:t>3</w:t>
            </w:r>
          </w:p>
        </w:tc>
      </w:tr>
      <w:tr w:rsidR="003467A5" w:rsidRPr="00543772" w14:paraId="5229B515" w14:textId="0E04548C" w:rsidTr="0022402A">
        <w:trPr>
          <w:trHeight w:val="227"/>
        </w:trPr>
        <w:tc>
          <w:tcPr>
            <w:tcW w:w="1065" w:type="pct"/>
            <w:vAlign w:val="center"/>
          </w:tcPr>
          <w:p w14:paraId="2CE74699" w14:textId="77777777" w:rsidR="00EB2B5B" w:rsidRPr="00543772" w:rsidRDefault="00EB2B5B" w:rsidP="006322EB">
            <w:pPr>
              <w:pStyle w:val="CSRguidance"/>
              <w:spacing w:after="0"/>
              <w:rPr>
                <w:i w:val="0"/>
                <w:color w:val="auto"/>
                <w:sz w:val="20"/>
              </w:rPr>
            </w:pPr>
            <w:r w:rsidRPr="00543772">
              <w:rPr>
                <w:i w:val="0"/>
                <w:color w:val="auto"/>
                <w:sz w:val="20"/>
              </w:rPr>
              <w:t>Headache</w:t>
            </w:r>
          </w:p>
        </w:tc>
        <w:tc>
          <w:tcPr>
            <w:tcW w:w="509" w:type="pct"/>
            <w:vAlign w:val="center"/>
          </w:tcPr>
          <w:p w14:paraId="3F8C1E91" w14:textId="2FD47158" w:rsidR="00EB2B5B" w:rsidRPr="00543772" w:rsidRDefault="00F81E3B" w:rsidP="006322EB">
            <w:pPr>
              <w:pStyle w:val="CSRguidance"/>
              <w:spacing w:after="0"/>
              <w:jc w:val="center"/>
              <w:rPr>
                <w:i w:val="0"/>
                <w:color w:val="auto"/>
                <w:sz w:val="20"/>
              </w:rPr>
            </w:pPr>
            <w:r>
              <w:rPr>
                <w:i w:val="0"/>
                <w:color w:val="auto"/>
                <w:sz w:val="20"/>
              </w:rPr>
              <w:t>1</w:t>
            </w:r>
          </w:p>
        </w:tc>
        <w:tc>
          <w:tcPr>
            <w:tcW w:w="508" w:type="pct"/>
            <w:vAlign w:val="center"/>
          </w:tcPr>
          <w:p w14:paraId="7D7D8959" w14:textId="0D792F2F" w:rsidR="00EB2B5B" w:rsidRPr="00543772" w:rsidRDefault="00F81E3B" w:rsidP="006322EB">
            <w:pPr>
              <w:pStyle w:val="CSRguidance"/>
              <w:spacing w:after="0"/>
              <w:jc w:val="center"/>
              <w:rPr>
                <w:i w:val="0"/>
                <w:color w:val="auto"/>
                <w:sz w:val="20"/>
              </w:rPr>
            </w:pPr>
            <w:r>
              <w:rPr>
                <w:i w:val="0"/>
                <w:color w:val="auto"/>
                <w:sz w:val="20"/>
              </w:rPr>
              <w:t>1</w:t>
            </w:r>
          </w:p>
        </w:tc>
        <w:tc>
          <w:tcPr>
            <w:tcW w:w="508" w:type="pct"/>
            <w:vAlign w:val="center"/>
          </w:tcPr>
          <w:p w14:paraId="540B1204" w14:textId="3F6B4A9E" w:rsidR="00EB2B5B" w:rsidRPr="00543772" w:rsidRDefault="00F81E3B" w:rsidP="006322EB">
            <w:pPr>
              <w:pStyle w:val="CSRguidance"/>
              <w:spacing w:after="0"/>
              <w:jc w:val="center"/>
              <w:rPr>
                <w:i w:val="0"/>
                <w:color w:val="auto"/>
                <w:sz w:val="20"/>
              </w:rPr>
            </w:pPr>
            <w:r>
              <w:rPr>
                <w:i w:val="0"/>
                <w:color w:val="auto"/>
                <w:sz w:val="20"/>
              </w:rPr>
              <w:t>2</w:t>
            </w:r>
          </w:p>
        </w:tc>
        <w:tc>
          <w:tcPr>
            <w:tcW w:w="508" w:type="pct"/>
            <w:vAlign w:val="center"/>
          </w:tcPr>
          <w:p w14:paraId="47BF18DE" w14:textId="7759C608" w:rsidR="00EB2B5B" w:rsidRPr="00543772" w:rsidRDefault="003E728F" w:rsidP="006322EB">
            <w:pPr>
              <w:pStyle w:val="CSRguidance"/>
              <w:spacing w:after="0"/>
              <w:jc w:val="center"/>
              <w:rPr>
                <w:i w:val="0"/>
                <w:color w:val="auto"/>
                <w:sz w:val="20"/>
              </w:rPr>
            </w:pPr>
            <w:r>
              <w:rPr>
                <w:i w:val="0"/>
                <w:color w:val="auto"/>
                <w:sz w:val="20"/>
              </w:rPr>
              <w:t>4</w:t>
            </w:r>
          </w:p>
        </w:tc>
        <w:tc>
          <w:tcPr>
            <w:tcW w:w="508" w:type="pct"/>
            <w:vAlign w:val="center"/>
          </w:tcPr>
          <w:p w14:paraId="0929C854" w14:textId="626FDAD4" w:rsidR="00EB2B5B" w:rsidRPr="00543772" w:rsidRDefault="003E728F" w:rsidP="006322EB">
            <w:pPr>
              <w:pStyle w:val="CSRguidance"/>
              <w:spacing w:after="0"/>
              <w:jc w:val="center"/>
              <w:rPr>
                <w:i w:val="0"/>
                <w:color w:val="auto"/>
                <w:sz w:val="20"/>
              </w:rPr>
            </w:pPr>
            <w:r>
              <w:rPr>
                <w:i w:val="0"/>
                <w:color w:val="auto"/>
                <w:sz w:val="20"/>
              </w:rPr>
              <w:t>5</w:t>
            </w:r>
            <w:r w:rsidR="00152C4B" w:rsidRPr="00152C4B">
              <w:rPr>
                <w:i w:val="0"/>
                <w:color w:val="auto"/>
                <w:sz w:val="20"/>
                <w:vertAlign w:val="superscript"/>
              </w:rPr>
              <w:t>c</w:t>
            </w:r>
          </w:p>
        </w:tc>
        <w:tc>
          <w:tcPr>
            <w:tcW w:w="508" w:type="pct"/>
            <w:vAlign w:val="center"/>
          </w:tcPr>
          <w:p w14:paraId="22F70387" w14:textId="106B377B" w:rsidR="00EB2B5B" w:rsidRPr="00543772" w:rsidRDefault="003E728F" w:rsidP="006322EB">
            <w:pPr>
              <w:pStyle w:val="CSRguidance"/>
              <w:spacing w:after="0"/>
              <w:jc w:val="center"/>
              <w:rPr>
                <w:i w:val="0"/>
                <w:color w:val="auto"/>
                <w:sz w:val="20"/>
              </w:rPr>
            </w:pPr>
            <w:r>
              <w:rPr>
                <w:i w:val="0"/>
                <w:color w:val="auto"/>
                <w:sz w:val="20"/>
              </w:rPr>
              <w:t>2</w:t>
            </w:r>
          </w:p>
        </w:tc>
        <w:tc>
          <w:tcPr>
            <w:tcW w:w="886" w:type="pct"/>
            <w:shd w:val="clear" w:color="auto" w:fill="EEECE1" w:themeFill="background2"/>
          </w:tcPr>
          <w:p w14:paraId="572C485D" w14:textId="0F2E9E93" w:rsidR="00EB2B5B" w:rsidRPr="00543772" w:rsidRDefault="003467A5" w:rsidP="006322EB">
            <w:pPr>
              <w:pStyle w:val="CSRguidance"/>
              <w:spacing w:after="0"/>
              <w:jc w:val="center"/>
              <w:rPr>
                <w:i w:val="0"/>
                <w:color w:val="auto"/>
                <w:sz w:val="20"/>
              </w:rPr>
            </w:pPr>
            <w:r>
              <w:rPr>
                <w:i w:val="0"/>
                <w:color w:val="auto"/>
                <w:sz w:val="20"/>
              </w:rPr>
              <w:t>15</w:t>
            </w:r>
          </w:p>
        </w:tc>
      </w:tr>
      <w:tr w:rsidR="003467A5" w:rsidRPr="00543772" w14:paraId="2E80A525" w14:textId="77777777" w:rsidTr="0022402A">
        <w:trPr>
          <w:trHeight w:val="227"/>
        </w:trPr>
        <w:tc>
          <w:tcPr>
            <w:tcW w:w="1065" w:type="pct"/>
            <w:vAlign w:val="center"/>
          </w:tcPr>
          <w:p w14:paraId="1829DB0A" w14:textId="2D773BAD" w:rsidR="003467A5" w:rsidRPr="00543772" w:rsidRDefault="003467A5" w:rsidP="006322EB">
            <w:pPr>
              <w:pStyle w:val="CSRguidance"/>
              <w:spacing w:after="0"/>
              <w:rPr>
                <w:i w:val="0"/>
                <w:color w:val="auto"/>
                <w:sz w:val="20"/>
              </w:rPr>
            </w:pPr>
            <w:r>
              <w:rPr>
                <w:i w:val="0"/>
                <w:color w:val="auto"/>
                <w:sz w:val="20"/>
              </w:rPr>
              <w:t>Hot flush</w:t>
            </w:r>
          </w:p>
        </w:tc>
        <w:tc>
          <w:tcPr>
            <w:tcW w:w="509" w:type="pct"/>
            <w:vAlign w:val="center"/>
          </w:tcPr>
          <w:p w14:paraId="18C4DFC8" w14:textId="77777777" w:rsidR="003467A5" w:rsidRPr="00543772" w:rsidRDefault="003467A5" w:rsidP="006322EB">
            <w:pPr>
              <w:pStyle w:val="CSRguidance"/>
              <w:spacing w:after="0"/>
              <w:jc w:val="center"/>
              <w:rPr>
                <w:i w:val="0"/>
                <w:color w:val="auto"/>
                <w:sz w:val="20"/>
              </w:rPr>
            </w:pPr>
          </w:p>
        </w:tc>
        <w:tc>
          <w:tcPr>
            <w:tcW w:w="508" w:type="pct"/>
            <w:vAlign w:val="center"/>
          </w:tcPr>
          <w:p w14:paraId="53C9CAA1" w14:textId="77777777" w:rsidR="003467A5" w:rsidRPr="00543772" w:rsidRDefault="003467A5" w:rsidP="006322EB">
            <w:pPr>
              <w:pStyle w:val="CSRguidance"/>
              <w:spacing w:after="0"/>
              <w:jc w:val="center"/>
              <w:rPr>
                <w:i w:val="0"/>
                <w:color w:val="auto"/>
                <w:sz w:val="20"/>
              </w:rPr>
            </w:pPr>
          </w:p>
        </w:tc>
        <w:tc>
          <w:tcPr>
            <w:tcW w:w="508" w:type="pct"/>
            <w:vAlign w:val="center"/>
          </w:tcPr>
          <w:p w14:paraId="7F6F6D8F" w14:textId="77777777" w:rsidR="003467A5" w:rsidRPr="00543772" w:rsidRDefault="003467A5" w:rsidP="006322EB">
            <w:pPr>
              <w:pStyle w:val="CSRguidance"/>
              <w:spacing w:after="0"/>
              <w:jc w:val="center"/>
              <w:rPr>
                <w:i w:val="0"/>
                <w:color w:val="auto"/>
                <w:sz w:val="20"/>
              </w:rPr>
            </w:pPr>
          </w:p>
        </w:tc>
        <w:tc>
          <w:tcPr>
            <w:tcW w:w="508" w:type="pct"/>
            <w:vAlign w:val="center"/>
          </w:tcPr>
          <w:p w14:paraId="70CAF671" w14:textId="77777777" w:rsidR="003467A5" w:rsidRPr="00543772" w:rsidRDefault="003467A5" w:rsidP="006322EB">
            <w:pPr>
              <w:pStyle w:val="CSRguidance"/>
              <w:spacing w:after="0"/>
              <w:jc w:val="center"/>
              <w:rPr>
                <w:i w:val="0"/>
                <w:color w:val="auto"/>
                <w:sz w:val="20"/>
              </w:rPr>
            </w:pPr>
          </w:p>
        </w:tc>
        <w:tc>
          <w:tcPr>
            <w:tcW w:w="508" w:type="pct"/>
            <w:vAlign w:val="center"/>
          </w:tcPr>
          <w:p w14:paraId="355D31AE" w14:textId="33B4DAB4" w:rsidR="003467A5" w:rsidRPr="00543772" w:rsidRDefault="003E728F" w:rsidP="006322EB">
            <w:pPr>
              <w:pStyle w:val="CSRguidance"/>
              <w:spacing w:after="0"/>
              <w:jc w:val="center"/>
              <w:rPr>
                <w:i w:val="0"/>
                <w:color w:val="auto"/>
                <w:sz w:val="20"/>
              </w:rPr>
            </w:pPr>
            <w:r>
              <w:rPr>
                <w:i w:val="0"/>
                <w:color w:val="auto"/>
                <w:sz w:val="20"/>
              </w:rPr>
              <w:t>1</w:t>
            </w:r>
          </w:p>
        </w:tc>
        <w:tc>
          <w:tcPr>
            <w:tcW w:w="508" w:type="pct"/>
            <w:vAlign w:val="center"/>
          </w:tcPr>
          <w:p w14:paraId="5347B7F3" w14:textId="77777777" w:rsidR="003467A5" w:rsidRPr="00543772" w:rsidRDefault="003467A5" w:rsidP="006322EB">
            <w:pPr>
              <w:pStyle w:val="CSRguidance"/>
              <w:spacing w:after="0"/>
              <w:jc w:val="center"/>
              <w:rPr>
                <w:i w:val="0"/>
                <w:color w:val="auto"/>
                <w:sz w:val="20"/>
              </w:rPr>
            </w:pPr>
          </w:p>
        </w:tc>
        <w:tc>
          <w:tcPr>
            <w:tcW w:w="886" w:type="pct"/>
            <w:shd w:val="clear" w:color="auto" w:fill="EEECE1" w:themeFill="background2"/>
          </w:tcPr>
          <w:p w14:paraId="0168DA05" w14:textId="455D9E5F" w:rsidR="003467A5" w:rsidRDefault="003467A5" w:rsidP="006322EB">
            <w:pPr>
              <w:pStyle w:val="CSRguidance"/>
              <w:spacing w:after="0"/>
              <w:jc w:val="center"/>
              <w:rPr>
                <w:i w:val="0"/>
                <w:color w:val="auto"/>
                <w:sz w:val="20"/>
              </w:rPr>
            </w:pPr>
            <w:r>
              <w:rPr>
                <w:i w:val="0"/>
                <w:color w:val="auto"/>
                <w:sz w:val="20"/>
              </w:rPr>
              <w:t>1</w:t>
            </w:r>
          </w:p>
        </w:tc>
      </w:tr>
      <w:tr w:rsidR="003467A5" w:rsidRPr="00543772" w14:paraId="6684046F" w14:textId="58E0F8E4" w:rsidTr="0022402A">
        <w:trPr>
          <w:trHeight w:val="227"/>
        </w:trPr>
        <w:tc>
          <w:tcPr>
            <w:tcW w:w="1065" w:type="pct"/>
            <w:vAlign w:val="center"/>
          </w:tcPr>
          <w:p w14:paraId="2514CD48" w14:textId="77777777" w:rsidR="00EB2B5B" w:rsidRPr="00543772" w:rsidRDefault="00EB2B5B" w:rsidP="006322EB">
            <w:pPr>
              <w:pStyle w:val="CSRguidance"/>
              <w:spacing w:after="0"/>
              <w:rPr>
                <w:i w:val="0"/>
                <w:color w:val="auto"/>
                <w:sz w:val="20"/>
              </w:rPr>
            </w:pPr>
            <w:r w:rsidRPr="00543772">
              <w:rPr>
                <w:i w:val="0"/>
                <w:color w:val="auto"/>
                <w:sz w:val="20"/>
              </w:rPr>
              <w:t>Hyperhidrosis</w:t>
            </w:r>
          </w:p>
        </w:tc>
        <w:tc>
          <w:tcPr>
            <w:tcW w:w="509" w:type="pct"/>
            <w:vAlign w:val="center"/>
          </w:tcPr>
          <w:p w14:paraId="2A141727" w14:textId="31C6DBD0" w:rsidR="00EB2B5B" w:rsidRPr="00543772" w:rsidRDefault="00EB2B5B" w:rsidP="006322EB">
            <w:pPr>
              <w:pStyle w:val="CSRguidance"/>
              <w:spacing w:after="0"/>
              <w:jc w:val="center"/>
              <w:rPr>
                <w:i w:val="0"/>
                <w:color w:val="auto"/>
                <w:sz w:val="20"/>
              </w:rPr>
            </w:pPr>
          </w:p>
        </w:tc>
        <w:tc>
          <w:tcPr>
            <w:tcW w:w="508" w:type="pct"/>
            <w:vAlign w:val="center"/>
          </w:tcPr>
          <w:p w14:paraId="5FC8FE65" w14:textId="03F6D3AB" w:rsidR="00EB2B5B" w:rsidRPr="00543772" w:rsidRDefault="00F81E3B" w:rsidP="006322EB">
            <w:pPr>
              <w:pStyle w:val="CSRguidance"/>
              <w:spacing w:after="0"/>
              <w:jc w:val="center"/>
              <w:rPr>
                <w:i w:val="0"/>
                <w:color w:val="auto"/>
                <w:sz w:val="20"/>
              </w:rPr>
            </w:pPr>
            <w:r>
              <w:rPr>
                <w:i w:val="0"/>
                <w:color w:val="auto"/>
                <w:sz w:val="20"/>
              </w:rPr>
              <w:t>2</w:t>
            </w:r>
          </w:p>
        </w:tc>
        <w:tc>
          <w:tcPr>
            <w:tcW w:w="508" w:type="pct"/>
            <w:vAlign w:val="center"/>
          </w:tcPr>
          <w:p w14:paraId="3CD4509E" w14:textId="6B2D9FD9" w:rsidR="00EB2B5B" w:rsidRPr="00543772" w:rsidRDefault="00EB2B5B" w:rsidP="006322EB">
            <w:pPr>
              <w:pStyle w:val="CSRguidance"/>
              <w:spacing w:after="0"/>
              <w:jc w:val="center"/>
              <w:rPr>
                <w:i w:val="0"/>
                <w:color w:val="auto"/>
                <w:sz w:val="20"/>
              </w:rPr>
            </w:pPr>
          </w:p>
        </w:tc>
        <w:tc>
          <w:tcPr>
            <w:tcW w:w="508" w:type="pct"/>
            <w:vAlign w:val="center"/>
          </w:tcPr>
          <w:p w14:paraId="382594C4" w14:textId="725CBF8E" w:rsidR="00EB2B5B" w:rsidRPr="00543772" w:rsidRDefault="00EB2B5B" w:rsidP="006322EB">
            <w:pPr>
              <w:pStyle w:val="CSRguidance"/>
              <w:spacing w:after="0"/>
              <w:jc w:val="center"/>
              <w:rPr>
                <w:i w:val="0"/>
                <w:color w:val="auto"/>
                <w:sz w:val="20"/>
              </w:rPr>
            </w:pPr>
          </w:p>
        </w:tc>
        <w:tc>
          <w:tcPr>
            <w:tcW w:w="508" w:type="pct"/>
            <w:vAlign w:val="center"/>
          </w:tcPr>
          <w:p w14:paraId="14C8F51A" w14:textId="026EDE8F" w:rsidR="00EB2B5B" w:rsidRPr="00543772" w:rsidRDefault="00EB2B5B" w:rsidP="006322EB">
            <w:pPr>
              <w:pStyle w:val="CSRguidance"/>
              <w:spacing w:after="0"/>
              <w:jc w:val="center"/>
              <w:rPr>
                <w:i w:val="0"/>
                <w:color w:val="auto"/>
                <w:sz w:val="20"/>
              </w:rPr>
            </w:pPr>
          </w:p>
        </w:tc>
        <w:tc>
          <w:tcPr>
            <w:tcW w:w="508" w:type="pct"/>
            <w:vAlign w:val="center"/>
          </w:tcPr>
          <w:p w14:paraId="7C6FAE60" w14:textId="155F41E0"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49B92C41" w14:textId="20CEFD4B" w:rsidR="00EB2B5B" w:rsidRPr="00543772" w:rsidRDefault="003467A5" w:rsidP="006322EB">
            <w:pPr>
              <w:pStyle w:val="CSRguidance"/>
              <w:spacing w:after="0"/>
              <w:jc w:val="center"/>
              <w:rPr>
                <w:i w:val="0"/>
                <w:color w:val="auto"/>
                <w:sz w:val="20"/>
              </w:rPr>
            </w:pPr>
            <w:r>
              <w:rPr>
                <w:i w:val="0"/>
                <w:color w:val="auto"/>
                <w:sz w:val="20"/>
              </w:rPr>
              <w:t>2</w:t>
            </w:r>
          </w:p>
        </w:tc>
      </w:tr>
      <w:tr w:rsidR="003467A5" w:rsidRPr="00543772" w14:paraId="6F8EFCF3" w14:textId="38228D1E" w:rsidTr="0022402A">
        <w:trPr>
          <w:trHeight w:val="227"/>
        </w:trPr>
        <w:tc>
          <w:tcPr>
            <w:tcW w:w="1065" w:type="pct"/>
            <w:vAlign w:val="center"/>
          </w:tcPr>
          <w:p w14:paraId="50D13756" w14:textId="77777777" w:rsidR="00EB2B5B" w:rsidRPr="00543772" w:rsidRDefault="00EB2B5B" w:rsidP="006322EB">
            <w:pPr>
              <w:pStyle w:val="CSRguidance"/>
              <w:spacing w:after="0"/>
              <w:rPr>
                <w:i w:val="0"/>
                <w:color w:val="auto"/>
                <w:sz w:val="20"/>
              </w:rPr>
            </w:pPr>
            <w:r w:rsidRPr="00543772">
              <w:rPr>
                <w:i w:val="0"/>
                <w:color w:val="auto"/>
                <w:sz w:val="20"/>
              </w:rPr>
              <w:t>Influenza like illness</w:t>
            </w:r>
          </w:p>
        </w:tc>
        <w:tc>
          <w:tcPr>
            <w:tcW w:w="509" w:type="pct"/>
            <w:vAlign w:val="center"/>
          </w:tcPr>
          <w:p w14:paraId="0544B3E4" w14:textId="0D13A8C4" w:rsidR="00EB2B5B" w:rsidRPr="00543772" w:rsidRDefault="00EB2B5B" w:rsidP="006322EB">
            <w:pPr>
              <w:pStyle w:val="CSRguidance"/>
              <w:spacing w:after="0"/>
              <w:jc w:val="center"/>
              <w:rPr>
                <w:i w:val="0"/>
                <w:color w:val="auto"/>
                <w:sz w:val="20"/>
              </w:rPr>
            </w:pPr>
          </w:p>
        </w:tc>
        <w:tc>
          <w:tcPr>
            <w:tcW w:w="508" w:type="pct"/>
            <w:vAlign w:val="center"/>
          </w:tcPr>
          <w:p w14:paraId="37B5D68B" w14:textId="3C546782" w:rsidR="00EB2B5B" w:rsidRPr="00543772" w:rsidRDefault="00EB2B5B" w:rsidP="006322EB">
            <w:pPr>
              <w:pStyle w:val="CSRguidance"/>
              <w:spacing w:after="0"/>
              <w:jc w:val="center"/>
              <w:rPr>
                <w:i w:val="0"/>
                <w:color w:val="auto"/>
                <w:sz w:val="20"/>
              </w:rPr>
            </w:pPr>
          </w:p>
        </w:tc>
        <w:tc>
          <w:tcPr>
            <w:tcW w:w="508" w:type="pct"/>
            <w:vAlign w:val="center"/>
          </w:tcPr>
          <w:p w14:paraId="55F46C7C" w14:textId="53FA1715" w:rsidR="00EB2B5B" w:rsidRPr="00543772" w:rsidRDefault="00EB2B5B" w:rsidP="006322EB">
            <w:pPr>
              <w:pStyle w:val="CSRguidance"/>
              <w:spacing w:after="0"/>
              <w:jc w:val="center"/>
              <w:rPr>
                <w:i w:val="0"/>
                <w:color w:val="auto"/>
                <w:sz w:val="20"/>
              </w:rPr>
            </w:pPr>
          </w:p>
        </w:tc>
        <w:tc>
          <w:tcPr>
            <w:tcW w:w="508" w:type="pct"/>
            <w:vAlign w:val="center"/>
          </w:tcPr>
          <w:p w14:paraId="1CF2B0A8" w14:textId="47528CF6" w:rsidR="00EB2B5B" w:rsidRPr="00543772" w:rsidRDefault="003E728F" w:rsidP="006322EB">
            <w:pPr>
              <w:pStyle w:val="CSRguidance"/>
              <w:spacing w:after="0"/>
              <w:jc w:val="center"/>
              <w:rPr>
                <w:i w:val="0"/>
                <w:color w:val="auto"/>
                <w:sz w:val="20"/>
              </w:rPr>
            </w:pPr>
            <w:r>
              <w:rPr>
                <w:i w:val="0"/>
                <w:color w:val="auto"/>
                <w:sz w:val="20"/>
              </w:rPr>
              <w:t>1</w:t>
            </w:r>
          </w:p>
        </w:tc>
        <w:tc>
          <w:tcPr>
            <w:tcW w:w="508" w:type="pct"/>
            <w:vAlign w:val="center"/>
          </w:tcPr>
          <w:p w14:paraId="256FEE2E" w14:textId="37166E8B" w:rsidR="00EB2B5B" w:rsidRPr="00543772" w:rsidRDefault="00EB2B5B" w:rsidP="006322EB">
            <w:pPr>
              <w:pStyle w:val="CSRguidance"/>
              <w:spacing w:after="0"/>
              <w:jc w:val="center"/>
              <w:rPr>
                <w:i w:val="0"/>
                <w:color w:val="auto"/>
                <w:sz w:val="20"/>
              </w:rPr>
            </w:pPr>
          </w:p>
        </w:tc>
        <w:tc>
          <w:tcPr>
            <w:tcW w:w="508" w:type="pct"/>
            <w:vAlign w:val="center"/>
          </w:tcPr>
          <w:p w14:paraId="521129AF" w14:textId="181D4CC2"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208C800E" w14:textId="031AAAB5" w:rsidR="00EB2B5B" w:rsidRPr="00543772" w:rsidRDefault="003467A5" w:rsidP="006322EB">
            <w:pPr>
              <w:pStyle w:val="CSRguidance"/>
              <w:spacing w:after="0"/>
              <w:jc w:val="center"/>
              <w:rPr>
                <w:i w:val="0"/>
                <w:color w:val="auto"/>
                <w:sz w:val="20"/>
              </w:rPr>
            </w:pPr>
            <w:r>
              <w:rPr>
                <w:i w:val="0"/>
                <w:color w:val="auto"/>
                <w:sz w:val="20"/>
              </w:rPr>
              <w:t>1</w:t>
            </w:r>
          </w:p>
        </w:tc>
      </w:tr>
      <w:tr w:rsidR="003467A5" w:rsidRPr="00543772" w14:paraId="221ADDA5" w14:textId="77777777" w:rsidTr="0022402A">
        <w:trPr>
          <w:trHeight w:val="227"/>
        </w:trPr>
        <w:tc>
          <w:tcPr>
            <w:tcW w:w="1065" w:type="pct"/>
            <w:vAlign w:val="center"/>
          </w:tcPr>
          <w:p w14:paraId="5EB73EED" w14:textId="2A61971F" w:rsidR="003467A5" w:rsidRPr="00543772" w:rsidRDefault="003467A5" w:rsidP="006322EB">
            <w:pPr>
              <w:pStyle w:val="CSRguidance"/>
              <w:spacing w:after="0"/>
              <w:rPr>
                <w:i w:val="0"/>
                <w:color w:val="auto"/>
                <w:sz w:val="20"/>
              </w:rPr>
            </w:pPr>
            <w:r>
              <w:rPr>
                <w:i w:val="0"/>
                <w:color w:val="auto"/>
                <w:sz w:val="20"/>
              </w:rPr>
              <w:t>Lethargy</w:t>
            </w:r>
          </w:p>
        </w:tc>
        <w:tc>
          <w:tcPr>
            <w:tcW w:w="509" w:type="pct"/>
            <w:vAlign w:val="center"/>
          </w:tcPr>
          <w:p w14:paraId="36F5FFA9" w14:textId="77777777" w:rsidR="003467A5" w:rsidRPr="00543772" w:rsidRDefault="003467A5" w:rsidP="006322EB">
            <w:pPr>
              <w:pStyle w:val="CSRguidance"/>
              <w:spacing w:after="0"/>
              <w:jc w:val="center"/>
              <w:rPr>
                <w:i w:val="0"/>
                <w:color w:val="auto"/>
                <w:sz w:val="20"/>
              </w:rPr>
            </w:pPr>
          </w:p>
        </w:tc>
        <w:tc>
          <w:tcPr>
            <w:tcW w:w="508" w:type="pct"/>
            <w:vAlign w:val="center"/>
          </w:tcPr>
          <w:p w14:paraId="165DD003" w14:textId="77777777" w:rsidR="003467A5" w:rsidRPr="00543772" w:rsidRDefault="003467A5" w:rsidP="006322EB">
            <w:pPr>
              <w:pStyle w:val="CSRguidance"/>
              <w:spacing w:after="0"/>
              <w:jc w:val="center"/>
              <w:rPr>
                <w:i w:val="0"/>
                <w:color w:val="auto"/>
                <w:sz w:val="20"/>
              </w:rPr>
            </w:pPr>
          </w:p>
        </w:tc>
        <w:tc>
          <w:tcPr>
            <w:tcW w:w="508" w:type="pct"/>
            <w:vAlign w:val="center"/>
          </w:tcPr>
          <w:p w14:paraId="2801BFDC" w14:textId="3220F665" w:rsidR="003467A5" w:rsidRPr="00543772" w:rsidRDefault="00F81E3B" w:rsidP="006322EB">
            <w:pPr>
              <w:pStyle w:val="CSRguidance"/>
              <w:spacing w:after="0"/>
              <w:jc w:val="center"/>
              <w:rPr>
                <w:i w:val="0"/>
                <w:color w:val="auto"/>
                <w:sz w:val="20"/>
              </w:rPr>
            </w:pPr>
            <w:r>
              <w:rPr>
                <w:i w:val="0"/>
                <w:color w:val="auto"/>
                <w:sz w:val="20"/>
              </w:rPr>
              <w:t>1</w:t>
            </w:r>
          </w:p>
        </w:tc>
        <w:tc>
          <w:tcPr>
            <w:tcW w:w="508" w:type="pct"/>
            <w:vAlign w:val="center"/>
          </w:tcPr>
          <w:p w14:paraId="662A1A4F" w14:textId="77777777" w:rsidR="003467A5" w:rsidRPr="00543772" w:rsidRDefault="003467A5" w:rsidP="006322EB">
            <w:pPr>
              <w:pStyle w:val="CSRguidance"/>
              <w:spacing w:after="0"/>
              <w:jc w:val="center"/>
              <w:rPr>
                <w:i w:val="0"/>
                <w:color w:val="auto"/>
                <w:sz w:val="20"/>
              </w:rPr>
            </w:pPr>
          </w:p>
        </w:tc>
        <w:tc>
          <w:tcPr>
            <w:tcW w:w="508" w:type="pct"/>
            <w:vAlign w:val="center"/>
          </w:tcPr>
          <w:p w14:paraId="78403C29" w14:textId="77777777" w:rsidR="003467A5" w:rsidRPr="00543772" w:rsidRDefault="003467A5" w:rsidP="006322EB">
            <w:pPr>
              <w:pStyle w:val="CSRguidance"/>
              <w:spacing w:after="0"/>
              <w:jc w:val="center"/>
              <w:rPr>
                <w:i w:val="0"/>
                <w:color w:val="auto"/>
                <w:sz w:val="20"/>
              </w:rPr>
            </w:pPr>
          </w:p>
        </w:tc>
        <w:tc>
          <w:tcPr>
            <w:tcW w:w="508" w:type="pct"/>
            <w:vAlign w:val="center"/>
          </w:tcPr>
          <w:p w14:paraId="5350ED93" w14:textId="77777777" w:rsidR="003467A5" w:rsidRPr="00543772" w:rsidRDefault="003467A5" w:rsidP="006322EB">
            <w:pPr>
              <w:pStyle w:val="CSRguidance"/>
              <w:spacing w:after="0"/>
              <w:jc w:val="center"/>
              <w:rPr>
                <w:i w:val="0"/>
                <w:color w:val="auto"/>
                <w:sz w:val="20"/>
              </w:rPr>
            </w:pPr>
          </w:p>
        </w:tc>
        <w:tc>
          <w:tcPr>
            <w:tcW w:w="886" w:type="pct"/>
            <w:shd w:val="clear" w:color="auto" w:fill="EEECE1" w:themeFill="background2"/>
          </w:tcPr>
          <w:p w14:paraId="62B703D5" w14:textId="07F51DFF" w:rsidR="003467A5" w:rsidRDefault="003467A5" w:rsidP="006322EB">
            <w:pPr>
              <w:pStyle w:val="CSRguidance"/>
              <w:spacing w:after="0"/>
              <w:jc w:val="center"/>
              <w:rPr>
                <w:i w:val="0"/>
                <w:color w:val="auto"/>
                <w:sz w:val="20"/>
              </w:rPr>
            </w:pPr>
            <w:r>
              <w:rPr>
                <w:i w:val="0"/>
                <w:color w:val="auto"/>
                <w:sz w:val="20"/>
              </w:rPr>
              <w:t>1</w:t>
            </w:r>
          </w:p>
        </w:tc>
      </w:tr>
      <w:tr w:rsidR="003467A5" w:rsidRPr="00543772" w14:paraId="5F9E5879" w14:textId="3B34CC70" w:rsidTr="0022402A">
        <w:trPr>
          <w:trHeight w:val="227"/>
        </w:trPr>
        <w:tc>
          <w:tcPr>
            <w:tcW w:w="1065" w:type="pct"/>
            <w:vAlign w:val="center"/>
          </w:tcPr>
          <w:p w14:paraId="754503D3" w14:textId="77777777" w:rsidR="00EB2B5B" w:rsidRPr="00543772" w:rsidRDefault="00EB2B5B" w:rsidP="006322EB">
            <w:pPr>
              <w:pStyle w:val="CSRguidance"/>
              <w:spacing w:after="0"/>
              <w:rPr>
                <w:i w:val="0"/>
                <w:color w:val="auto"/>
                <w:sz w:val="20"/>
              </w:rPr>
            </w:pPr>
            <w:r w:rsidRPr="00543772">
              <w:rPr>
                <w:i w:val="0"/>
                <w:color w:val="auto"/>
                <w:sz w:val="20"/>
              </w:rPr>
              <w:t xml:space="preserve">Lymphocyte count decreased </w:t>
            </w:r>
          </w:p>
        </w:tc>
        <w:tc>
          <w:tcPr>
            <w:tcW w:w="509" w:type="pct"/>
            <w:vAlign w:val="center"/>
          </w:tcPr>
          <w:p w14:paraId="73B0B03B" w14:textId="654F00B9" w:rsidR="00EB2B5B" w:rsidRPr="00543772" w:rsidRDefault="00EB2B5B" w:rsidP="006322EB">
            <w:pPr>
              <w:pStyle w:val="CSRguidance"/>
              <w:spacing w:after="0"/>
              <w:jc w:val="center"/>
              <w:rPr>
                <w:i w:val="0"/>
                <w:color w:val="auto"/>
                <w:sz w:val="20"/>
              </w:rPr>
            </w:pPr>
          </w:p>
        </w:tc>
        <w:tc>
          <w:tcPr>
            <w:tcW w:w="508" w:type="pct"/>
            <w:vAlign w:val="center"/>
          </w:tcPr>
          <w:p w14:paraId="5C65CDEE" w14:textId="1F3C3F24" w:rsidR="00EB2B5B" w:rsidRPr="00543772" w:rsidRDefault="00EB2B5B" w:rsidP="006322EB">
            <w:pPr>
              <w:pStyle w:val="CSRguidance"/>
              <w:spacing w:after="0"/>
              <w:jc w:val="center"/>
              <w:rPr>
                <w:i w:val="0"/>
                <w:color w:val="auto"/>
                <w:sz w:val="20"/>
              </w:rPr>
            </w:pPr>
          </w:p>
        </w:tc>
        <w:tc>
          <w:tcPr>
            <w:tcW w:w="508" w:type="pct"/>
            <w:vAlign w:val="center"/>
          </w:tcPr>
          <w:p w14:paraId="4899FF19" w14:textId="22181B89" w:rsidR="00EB2B5B" w:rsidRPr="00543772" w:rsidRDefault="0068546D" w:rsidP="006322EB">
            <w:pPr>
              <w:pStyle w:val="CSRguidance"/>
              <w:spacing w:after="0"/>
              <w:jc w:val="center"/>
              <w:rPr>
                <w:i w:val="0"/>
                <w:color w:val="auto"/>
                <w:sz w:val="20"/>
              </w:rPr>
            </w:pPr>
            <w:r>
              <w:rPr>
                <w:i w:val="0"/>
                <w:color w:val="auto"/>
                <w:sz w:val="20"/>
              </w:rPr>
              <w:t>1</w:t>
            </w:r>
            <w:r w:rsidRPr="0068546D">
              <w:rPr>
                <w:i w:val="0"/>
                <w:color w:val="auto"/>
                <w:sz w:val="20"/>
                <w:vertAlign w:val="superscript"/>
              </w:rPr>
              <w:t>a</w:t>
            </w:r>
          </w:p>
        </w:tc>
        <w:tc>
          <w:tcPr>
            <w:tcW w:w="508" w:type="pct"/>
            <w:vAlign w:val="center"/>
          </w:tcPr>
          <w:p w14:paraId="56DC418A" w14:textId="54B5AD13" w:rsidR="00EB2B5B" w:rsidRPr="00543772" w:rsidRDefault="003E728F" w:rsidP="006322EB">
            <w:pPr>
              <w:pStyle w:val="CSRguidance"/>
              <w:spacing w:after="0"/>
              <w:jc w:val="center"/>
              <w:rPr>
                <w:i w:val="0"/>
                <w:color w:val="auto"/>
                <w:sz w:val="20"/>
              </w:rPr>
            </w:pPr>
            <w:r>
              <w:rPr>
                <w:i w:val="0"/>
                <w:color w:val="auto"/>
                <w:sz w:val="20"/>
              </w:rPr>
              <w:t>1</w:t>
            </w:r>
            <w:r w:rsidR="00152C4B" w:rsidRPr="00152C4B">
              <w:rPr>
                <w:i w:val="0"/>
                <w:color w:val="auto"/>
                <w:sz w:val="20"/>
                <w:vertAlign w:val="superscript"/>
              </w:rPr>
              <w:t>a</w:t>
            </w:r>
          </w:p>
        </w:tc>
        <w:tc>
          <w:tcPr>
            <w:tcW w:w="508" w:type="pct"/>
            <w:vAlign w:val="center"/>
          </w:tcPr>
          <w:p w14:paraId="5ACB34B5" w14:textId="4F3E14F8" w:rsidR="00EB2B5B" w:rsidRPr="00543772" w:rsidRDefault="0068546D" w:rsidP="006322EB">
            <w:pPr>
              <w:pStyle w:val="CSRguidance"/>
              <w:spacing w:after="0"/>
              <w:jc w:val="center"/>
              <w:rPr>
                <w:i w:val="0"/>
                <w:color w:val="auto"/>
                <w:sz w:val="20"/>
              </w:rPr>
            </w:pPr>
            <w:r>
              <w:rPr>
                <w:i w:val="0"/>
                <w:color w:val="auto"/>
                <w:sz w:val="20"/>
              </w:rPr>
              <w:t>1</w:t>
            </w:r>
            <w:r w:rsidRPr="0068546D">
              <w:rPr>
                <w:i w:val="0"/>
                <w:color w:val="auto"/>
                <w:sz w:val="20"/>
                <w:vertAlign w:val="superscript"/>
              </w:rPr>
              <w:t>d</w:t>
            </w:r>
          </w:p>
        </w:tc>
        <w:tc>
          <w:tcPr>
            <w:tcW w:w="508" w:type="pct"/>
            <w:vAlign w:val="center"/>
          </w:tcPr>
          <w:p w14:paraId="40B1DAF9" w14:textId="16491AB8"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7393C9EA" w14:textId="196FF52B" w:rsidR="00EB2B5B" w:rsidRPr="00543772" w:rsidRDefault="0068546D" w:rsidP="006322EB">
            <w:pPr>
              <w:pStyle w:val="CSRguidance"/>
              <w:spacing w:after="0"/>
              <w:jc w:val="center"/>
              <w:rPr>
                <w:i w:val="0"/>
                <w:color w:val="auto"/>
                <w:sz w:val="20"/>
              </w:rPr>
            </w:pPr>
            <w:r>
              <w:rPr>
                <w:i w:val="0"/>
                <w:color w:val="auto"/>
                <w:sz w:val="20"/>
              </w:rPr>
              <w:t>3</w:t>
            </w:r>
          </w:p>
        </w:tc>
      </w:tr>
      <w:tr w:rsidR="003467A5" w:rsidRPr="00543772" w14:paraId="692044F6" w14:textId="5783CACC" w:rsidTr="0022402A">
        <w:trPr>
          <w:trHeight w:val="227"/>
        </w:trPr>
        <w:tc>
          <w:tcPr>
            <w:tcW w:w="1065" w:type="pct"/>
            <w:vAlign w:val="center"/>
          </w:tcPr>
          <w:p w14:paraId="012132EA" w14:textId="77777777" w:rsidR="00EB2B5B" w:rsidRPr="00543772" w:rsidRDefault="00EB2B5B" w:rsidP="006322EB">
            <w:pPr>
              <w:pStyle w:val="CSRguidance"/>
              <w:spacing w:after="0"/>
              <w:rPr>
                <w:i w:val="0"/>
                <w:color w:val="auto"/>
                <w:sz w:val="20"/>
              </w:rPr>
            </w:pPr>
            <w:r w:rsidRPr="00543772">
              <w:rPr>
                <w:i w:val="0"/>
                <w:color w:val="auto"/>
                <w:sz w:val="20"/>
              </w:rPr>
              <w:t>Musculoskeletal pain</w:t>
            </w:r>
          </w:p>
        </w:tc>
        <w:tc>
          <w:tcPr>
            <w:tcW w:w="509" w:type="pct"/>
            <w:vAlign w:val="center"/>
          </w:tcPr>
          <w:p w14:paraId="71AAE02B" w14:textId="1B4E1046" w:rsidR="00EB2B5B" w:rsidRPr="00543772" w:rsidRDefault="00EB2B5B" w:rsidP="006322EB">
            <w:pPr>
              <w:pStyle w:val="CSRguidance"/>
              <w:spacing w:after="0"/>
              <w:jc w:val="center"/>
              <w:rPr>
                <w:i w:val="0"/>
                <w:color w:val="auto"/>
                <w:sz w:val="20"/>
              </w:rPr>
            </w:pPr>
          </w:p>
        </w:tc>
        <w:tc>
          <w:tcPr>
            <w:tcW w:w="508" w:type="pct"/>
            <w:vAlign w:val="center"/>
          </w:tcPr>
          <w:p w14:paraId="4366D56C" w14:textId="40D4E382" w:rsidR="00EB2B5B" w:rsidRPr="00543772" w:rsidRDefault="00F81E3B" w:rsidP="006322EB">
            <w:pPr>
              <w:pStyle w:val="CSRguidance"/>
              <w:spacing w:after="0"/>
              <w:jc w:val="center"/>
              <w:rPr>
                <w:i w:val="0"/>
                <w:color w:val="auto"/>
                <w:sz w:val="20"/>
              </w:rPr>
            </w:pPr>
            <w:r>
              <w:rPr>
                <w:i w:val="0"/>
                <w:color w:val="auto"/>
                <w:sz w:val="20"/>
              </w:rPr>
              <w:t>1</w:t>
            </w:r>
          </w:p>
        </w:tc>
        <w:tc>
          <w:tcPr>
            <w:tcW w:w="508" w:type="pct"/>
            <w:vAlign w:val="center"/>
          </w:tcPr>
          <w:p w14:paraId="5B1662BB" w14:textId="589816DF" w:rsidR="00EB2B5B" w:rsidRPr="00543772" w:rsidRDefault="00EB2B5B" w:rsidP="006322EB">
            <w:pPr>
              <w:pStyle w:val="CSRguidance"/>
              <w:spacing w:after="0"/>
              <w:jc w:val="center"/>
              <w:rPr>
                <w:i w:val="0"/>
                <w:color w:val="auto"/>
                <w:sz w:val="20"/>
              </w:rPr>
            </w:pPr>
          </w:p>
        </w:tc>
        <w:tc>
          <w:tcPr>
            <w:tcW w:w="508" w:type="pct"/>
            <w:vAlign w:val="center"/>
          </w:tcPr>
          <w:p w14:paraId="04D67941" w14:textId="502FE604" w:rsidR="00EB2B5B" w:rsidRPr="00543772" w:rsidRDefault="00EB2B5B" w:rsidP="006322EB">
            <w:pPr>
              <w:pStyle w:val="CSRguidance"/>
              <w:spacing w:after="0"/>
              <w:jc w:val="center"/>
              <w:rPr>
                <w:i w:val="0"/>
                <w:color w:val="auto"/>
                <w:sz w:val="20"/>
              </w:rPr>
            </w:pPr>
          </w:p>
        </w:tc>
        <w:tc>
          <w:tcPr>
            <w:tcW w:w="508" w:type="pct"/>
            <w:vAlign w:val="center"/>
          </w:tcPr>
          <w:p w14:paraId="32F65382" w14:textId="6EA522AB" w:rsidR="00EB2B5B" w:rsidRPr="00543772" w:rsidRDefault="00EB2B5B" w:rsidP="006322EB">
            <w:pPr>
              <w:pStyle w:val="CSRguidance"/>
              <w:spacing w:after="0"/>
              <w:jc w:val="center"/>
              <w:rPr>
                <w:i w:val="0"/>
                <w:color w:val="auto"/>
                <w:sz w:val="20"/>
              </w:rPr>
            </w:pPr>
          </w:p>
        </w:tc>
        <w:tc>
          <w:tcPr>
            <w:tcW w:w="508" w:type="pct"/>
            <w:vAlign w:val="center"/>
          </w:tcPr>
          <w:p w14:paraId="2EEE721A" w14:textId="49481D9E"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7607DFEE" w14:textId="10B7044D" w:rsidR="00EB2B5B" w:rsidRPr="00543772" w:rsidRDefault="003467A5" w:rsidP="006322EB">
            <w:pPr>
              <w:pStyle w:val="CSRguidance"/>
              <w:spacing w:after="0"/>
              <w:jc w:val="center"/>
              <w:rPr>
                <w:i w:val="0"/>
                <w:color w:val="auto"/>
                <w:sz w:val="20"/>
              </w:rPr>
            </w:pPr>
            <w:r>
              <w:rPr>
                <w:i w:val="0"/>
                <w:color w:val="auto"/>
                <w:sz w:val="20"/>
              </w:rPr>
              <w:t>1</w:t>
            </w:r>
          </w:p>
        </w:tc>
      </w:tr>
      <w:tr w:rsidR="003467A5" w:rsidRPr="00543772" w14:paraId="0C0B4655" w14:textId="272695EA" w:rsidTr="0022402A">
        <w:trPr>
          <w:trHeight w:val="227"/>
        </w:trPr>
        <w:tc>
          <w:tcPr>
            <w:tcW w:w="1065" w:type="pct"/>
            <w:vAlign w:val="center"/>
          </w:tcPr>
          <w:p w14:paraId="16028B81" w14:textId="77777777" w:rsidR="00EB2B5B" w:rsidRPr="00543772" w:rsidRDefault="00EB2B5B" w:rsidP="006322EB">
            <w:pPr>
              <w:pStyle w:val="CSRguidance"/>
              <w:spacing w:after="0"/>
              <w:rPr>
                <w:i w:val="0"/>
                <w:color w:val="auto"/>
                <w:sz w:val="20"/>
              </w:rPr>
            </w:pPr>
            <w:r w:rsidRPr="00543772">
              <w:rPr>
                <w:i w:val="0"/>
                <w:color w:val="auto"/>
                <w:sz w:val="20"/>
              </w:rPr>
              <w:t>Myalgia</w:t>
            </w:r>
          </w:p>
        </w:tc>
        <w:tc>
          <w:tcPr>
            <w:tcW w:w="509" w:type="pct"/>
            <w:vAlign w:val="center"/>
          </w:tcPr>
          <w:p w14:paraId="7AAE8A2F" w14:textId="07AE9AB5" w:rsidR="00EB2B5B" w:rsidRPr="00543772" w:rsidRDefault="00EB2B5B" w:rsidP="006322EB">
            <w:pPr>
              <w:pStyle w:val="CSRguidance"/>
              <w:spacing w:after="0"/>
              <w:jc w:val="center"/>
              <w:rPr>
                <w:i w:val="0"/>
                <w:color w:val="auto"/>
                <w:sz w:val="20"/>
              </w:rPr>
            </w:pPr>
          </w:p>
        </w:tc>
        <w:tc>
          <w:tcPr>
            <w:tcW w:w="508" w:type="pct"/>
            <w:vAlign w:val="center"/>
          </w:tcPr>
          <w:p w14:paraId="14F8215E" w14:textId="20F0F76A" w:rsidR="00EB2B5B" w:rsidRPr="00543772" w:rsidRDefault="00EB2B5B" w:rsidP="006322EB">
            <w:pPr>
              <w:pStyle w:val="CSRguidance"/>
              <w:spacing w:after="0"/>
              <w:jc w:val="center"/>
              <w:rPr>
                <w:i w:val="0"/>
                <w:color w:val="auto"/>
                <w:sz w:val="20"/>
              </w:rPr>
            </w:pPr>
          </w:p>
        </w:tc>
        <w:tc>
          <w:tcPr>
            <w:tcW w:w="508" w:type="pct"/>
            <w:vAlign w:val="center"/>
          </w:tcPr>
          <w:p w14:paraId="0E24C308" w14:textId="3B07450E" w:rsidR="00EB2B5B" w:rsidRPr="00543772" w:rsidRDefault="00EB2B5B" w:rsidP="006322EB">
            <w:pPr>
              <w:pStyle w:val="CSRguidance"/>
              <w:spacing w:after="0"/>
              <w:jc w:val="center"/>
              <w:rPr>
                <w:i w:val="0"/>
                <w:color w:val="auto"/>
                <w:sz w:val="20"/>
              </w:rPr>
            </w:pPr>
          </w:p>
        </w:tc>
        <w:tc>
          <w:tcPr>
            <w:tcW w:w="508" w:type="pct"/>
            <w:vAlign w:val="center"/>
          </w:tcPr>
          <w:p w14:paraId="335AC001" w14:textId="620D807E" w:rsidR="00EB2B5B" w:rsidRPr="00543772" w:rsidRDefault="00EB2B5B" w:rsidP="006322EB">
            <w:pPr>
              <w:pStyle w:val="CSRguidance"/>
              <w:spacing w:after="0"/>
              <w:jc w:val="center"/>
              <w:rPr>
                <w:i w:val="0"/>
                <w:color w:val="auto"/>
                <w:sz w:val="20"/>
              </w:rPr>
            </w:pPr>
          </w:p>
        </w:tc>
        <w:tc>
          <w:tcPr>
            <w:tcW w:w="508" w:type="pct"/>
            <w:vAlign w:val="center"/>
          </w:tcPr>
          <w:p w14:paraId="3B84C5BF" w14:textId="218DC650" w:rsidR="00EB2B5B" w:rsidRPr="00543772" w:rsidRDefault="003E728F" w:rsidP="006322EB">
            <w:pPr>
              <w:pStyle w:val="CSRguidance"/>
              <w:spacing w:after="0"/>
              <w:jc w:val="center"/>
              <w:rPr>
                <w:i w:val="0"/>
                <w:color w:val="auto"/>
                <w:sz w:val="20"/>
              </w:rPr>
            </w:pPr>
            <w:r>
              <w:rPr>
                <w:i w:val="0"/>
                <w:color w:val="auto"/>
                <w:sz w:val="20"/>
              </w:rPr>
              <w:t>1</w:t>
            </w:r>
          </w:p>
        </w:tc>
        <w:tc>
          <w:tcPr>
            <w:tcW w:w="508" w:type="pct"/>
            <w:vAlign w:val="center"/>
          </w:tcPr>
          <w:p w14:paraId="6FA312FD" w14:textId="1CD31477"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0E51ED94" w14:textId="4D895116" w:rsidR="00EB2B5B" w:rsidRPr="00543772" w:rsidRDefault="003467A5" w:rsidP="006322EB">
            <w:pPr>
              <w:pStyle w:val="CSRguidance"/>
              <w:spacing w:after="0"/>
              <w:jc w:val="center"/>
              <w:rPr>
                <w:i w:val="0"/>
                <w:color w:val="auto"/>
                <w:sz w:val="20"/>
              </w:rPr>
            </w:pPr>
            <w:r w:rsidRPr="00A13568">
              <w:rPr>
                <w:i w:val="0"/>
                <w:color w:val="auto"/>
                <w:sz w:val="20"/>
              </w:rPr>
              <w:t>1</w:t>
            </w:r>
          </w:p>
        </w:tc>
      </w:tr>
      <w:tr w:rsidR="003467A5" w:rsidRPr="00543772" w14:paraId="2B0ED28F" w14:textId="781409C0" w:rsidTr="0022402A">
        <w:trPr>
          <w:trHeight w:val="227"/>
        </w:trPr>
        <w:tc>
          <w:tcPr>
            <w:tcW w:w="1065" w:type="pct"/>
            <w:vAlign w:val="center"/>
          </w:tcPr>
          <w:p w14:paraId="2795D61D" w14:textId="77777777" w:rsidR="00EB2B5B" w:rsidRPr="00543772" w:rsidRDefault="00EB2B5B" w:rsidP="006322EB">
            <w:pPr>
              <w:pStyle w:val="CSRguidance"/>
              <w:spacing w:after="0"/>
              <w:rPr>
                <w:i w:val="0"/>
                <w:color w:val="auto"/>
                <w:sz w:val="20"/>
              </w:rPr>
            </w:pPr>
            <w:r w:rsidRPr="00543772">
              <w:rPr>
                <w:i w:val="0"/>
                <w:color w:val="auto"/>
                <w:sz w:val="20"/>
              </w:rPr>
              <w:t>Nausea</w:t>
            </w:r>
          </w:p>
        </w:tc>
        <w:tc>
          <w:tcPr>
            <w:tcW w:w="509" w:type="pct"/>
            <w:vAlign w:val="center"/>
          </w:tcPr>
          <w:p w14:paraId="3A43E8F5" w14:textId="7490047F" w:rsidR="00EB2B5B" w:rsidRPr="00543772" w:rsidRDefault="00F81E3B" w:rsidP="006322EB">
            <w:pPr>
              <w:pStyle w:val="CSRguidance"/>
              <w:spacing w:after="0"/>
              <w:jc w:val="center"/>
              <w:rPr>
                <w:i w:val="0"/>
                <w:color w:val="auto"/>
                <w:sz w:val="20"/>
              </w:rPr>
            </w:pPr>
            <w:r>
              <w:rPr>
                <w:i w:val="0"/>
                <w:color w:val="auto"/>
                <w:sz w:val="20"/>
              </w:rPr>
              <w:t>1</w:t>
            </w:r>
          </w:p>
        </w:tc>
        <w:tc>
          <w:tcPr>
            <w:tcW w:w="508" w:type="pct"/>
            <w:vAlign w:val="center"/>
          </w:tcPr>
          <w:p w14:paraId="5A4CD159" w14:textId="5224A098" w:rsidR="00EB2B5B" w:rsidRPr="00543772" w:rsidRDefault="00EB2B5B" w:rsidP="006322EB">
            <w:pPr>
              <w:pStyle w:val="CSRguidance"/>
              <w:spacing w:after="0"/>
              <w:jc w:val="center"/>
              <w:rPr>
                <w:i w:val="0"/>
                <w:color w:val="auto"/>
                <w:sz w:val="20"/>
              </w:rPr>
            </w:pPr>
          </w:p>
        </w:tc>
        <w:tc>
          <w:tcPr>
            <w:tcW w:w="508" w:type="pct"/>
            <w:vAlign w:val="center"/>
          </w:tcPr>
          <w:p w14:paraId="50083513" w14:textId="1C8705C5" w:rsidR="00EB2B5B" w:rsidRPr="00543772" w:rsidRDefault="00F81E3B" w:rsidP="006322EB">
            <w:pPr>
              <w:pStyle w:val="CSRguidance"/>
              <w:spacing w:after="0"/>
              <w:jc w:val="center"/>
              <w:rPr>
                <w:i w:val="0"/>
                <w:color w:val="auto"/>
                <w:sz w:val="20"/>
              </w:rPr>
            </w:pPr>
            <w:r>
              <w:rPr>
                <w:i w:val="0"/>
                <w:color w:val="auto"/>
                <w:sz w:val="20"/>
              </w:rPr>
              <w:t>1</w:t>
            </w:r>
          </w:p>
        </w:tc>
        <w:tc>
          <w:tcPr>
            <w:tcW w:w="508" w:type="pct"/>
            <w:vAlign w:val="center"/>
          </w:tcPr>
          <w:p w14:paraId="65E8E966" w14:textId="56E05F90" w:rsidR="00EB2B5B" w:rsidRPr="00543772" w:rsidRDefault="00EB2B5B" w:rsidP="006322EB">
            <w:pPr>
              <w:pStyle w:val="CSRguidance"/>
              <w:spacing w:after="0"/>
              <w:jc w:val="center"/>
              <w:rPr>
                <w:i w:val="0"/>
                <w:color w:val="auto"/>
                <w:sz w:val="20"/>
              </w:rPr>
            </w:pPr>
          </w:p>
        </w:tc>
        <w:tc>
          <w:tcPr>
            <w:tcW w:w="508" w:type="pct"/>
            <w:vAlign w:val="center"/>
          </w:tcPr>
          <w:p w14:paraId="334EE38B" w14:textId="307D4BBE" w:rsidR="00EB2B5B" w:rsidRPr="00543772" w:rsidRDefault="003E728F" w:rsidP="006322EB">
            <w:pPr>
              <w:pStyle w:val="CSRguidance"/>
              <w:spacing w:after="0"/>
              <w:jc w:val="center"/>
              <w:rPr>
                <w:i w:val="0"/>
                <w:color w:val="auto"/>
                <w:sz w:val="20"/>
              </w:rPr>
            </w:pPr>
            <w:r>
              <w:rPr>
                <w:i w:val="0"/>
                <w:color w:val="auto"/>
                <w:sz w:val="20"/>
              </w:rPr>
              <w:t>3</w:t>
            </w:r>
            <w:r w:rsidR="00152C4B" w:rsidRPr="00152C4B">
              <w:rPr>
                <w:i w:val="0"/>
                <w:color w:val="auto"/>
                <w:sz w:val="20"/>
                <w:vertAlign w:val="superscript"/>
              </w:rPr>
              <w:t>a</w:t>
            </w:r>
          </w:p>
        </w:tc>
        <w:tc>
          <w:tcPr>
            <w:tcW w:w="508" w:type="pct"/>
            <w:vAlign w:val="center"/>
          </w:tcPr>
          <w:p w14:paraId="747C1E24" w14:textId="41DA8737"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33C6F36D" w14:textId="41FFEBD5" w:rsidR="00EB2B5B" w:rsidRPr="00543772" w:rsidRDefault="003467A5" w:rsidP="006322EB">
            <w:pPr>
              <w:pStyle w:val="CSRguidance"/>
              <w:spacing w:after="0"/>
              <w:jc w:val="center"/>
              <w:rPr>
                <w:i w:val="0"/>
                <w:color w:val="auto"/>
                <w:sz w:val="20"/>
              </w:rPr>
            </w:pPr>
            <w:r>
              <w:rPr>
                <w:i w:val="0"/>
                <w:color w:val="auto"/>
                <w:sz w:val="20"/>
              </w:rPr>
              <w:t>5</w:t>
            </w:r>
          </w:p>
        </w:tc>
      </w:tr>
      <w:tr w:rsidR="003467A5" w:rsidRPr="00543772" w14:paraId="6048897D" w14:textId="77777777" w:rsidTr="0022402A">
        <w:trPr>
          <w:trHeight w:val="227"/>
        </w:trPr>
        <w:tc>
          <w:tcPr>
            <w:tcW w:w="1065" w:type="pct"/>
            <w:vAlign w:val="center"/>
          </w:tcPr>
          <w:p w14:paraId="47552949" w14:textId="44FD7A93" w:rsidR="003467A5" w:rsidRPr="00543772" w:rsidRDefault="003467A5" w:rsidP="006322EB">
            <w:pPr>
              <w:pStyle w:val="CSRguidance"/>
              <w:spacing w:after="0"/>
              <w:rPr>
                <w:i w:val="0"/>
                <w:color w:val="auto"/>
                <w:sz w:val="20"/>
              </w:rPr>
            </w:pPr>
            <w:r>
              <w:rPr>
                <w:i w:val="0"/>
                <w:color w:val="auto"/>
                <w:sz w:val="20"/>
              </w:rPr>
              <w:t>Neck pain</w:t>
            </w:r>
          </w:p>
        </w:tc>
        <w:tc>
          <w:tcPr>
            <w:tcW w:w="509" w:type="pct"/>
            <w:vAlign w:val="center"/>
          </w:tcPr>
          <w:p w14:paraId="291DA8FE" w14:textId="74DBD802" w:rsidR="003467A5" w:rsidRPr="00543772" w:rsidRDefault="00F81E3B" w:rsidP="006322EB">
            <w:pPr>
              <w:pStyle w:val="CSRguidance"/>
              <w:spacing w:after="0"/>
              <w:jc w:val="center"/>
              <w:rPr>
                <w:i w:val="0"/>
                <w:color w:val="auto"/>
                <w:sz w:val="20"/>
              </w:rPr>
            </w:pPr>
            <w:r>
              <w:rPr>
                <w:i w:val="0"/>
                <w:color w:val="auto"/>
                <w:sz w:val="20"/>
              </w:rPr>
              <w:t>1</w:t>
            </w:r>
          </w:p>
        </w:tc>
        <w:tc>
          <w:tcPr>
            <w:tcW w:w="508" w:type="pct"/>
            <w:vAlign w:val="center"/>
          </w:tcPr>
          <w:p w14:paraId="71E8D915" w14:textId="77777777" w:rsidR="003467A5" w:rsidRPr="00543772" w:rsidRDefault="003467A5" w:rsidP="006322EB">
            <w:pPr>
              <w:pStyle w:val="CSRguidance"/>
              <w:spacing w:after="0"/>
              <w:jc w:val="center"/>
              <w:rPr>
                <w:i w:val="0"/>
                <w:color w:val="auto"/>
                <w:sz w:val="20"/>
              </w:rPr>
            </w:pPr>
          </w:p>
        </w:tc>
        <w:tc>
          <w:tcPr>
            <w:tcW w:w="508" w:type="pct"/>
            <w:vAlign w:val="center"/>
          </w:tcPr>
          <w:p w14:paraId="0CDCFF68" w14:textId="77777777" w:rsidR="003467A5" w:rsidRPr="00543772" w:rsidRDefault="003467A5" w:rsidP="006322EB">
            <w:pPr>
              <w:pStyle w:val="CSRguidance"/>
              <w:spacing w:after="0"/>
              <w:jc w:val="center"/>
              <w:rPr>
                <w:i w:val="0"/>
                <w:color w:val="auto"/>
                <w:sz w:val="20"/>
              </w:rPr>
            </w:pPr>
          </w:p>
        </w:tc>
        <w:tc>
          <w:tcPr>
            <w:tcW w:w="508" w:type="pct"/>
            <w:vAlign w:val="center"/>
          </w:tcPr>
          <w:p w14:paraId="153EE72A" w14:textId="77777777" w:rsidR="003467A5" w:rsidRPr="00543772" w:rsidRDefault="003467A5" w:rsidP="006322EB">
            <w:pPr>
              <w:pStyle w:val="CSRguidance"/>
              <w:spacing w:after="0"/>
              <w:jc w:val="center"/>
              <w:rPr>
                <w:i w:val="0"/>
                <w:color w:val="auto"/>
                <w:sz w:val="20"/>
              </w:rPr>
            </w:pPr>
          </w:p>
        </w:tc>
        <w:tc>
          <w:tcPr>
            <w:tcW w:w="508" w:type="pct"/>
            <w:vAlign w:val="center"/>
          </w:tcPr>
          <w:p w14:paraId="2936FA72" w14:textId="77777777" w:rsidR="003467A5" w:rsidRPr="00543772" w:rsidRDefault="003467A5" w:rsidP="006322EB">
            <w:pPr>
              <w:pStyle w:val="CSRguidance"/>
              <w:spacing w:after="0"/>
              <w:jc w:val="center"/>
              <w:rPr>
                <w:i w:val="0"/>
                <w:color w:val="auto"/>
                <w:sz w:val="20"/>
              </w:rPr>
            </w:pPr>
          </w:p>
        </w:tc>
        <w:tc>
          <w:tcPr>
            <w:tcW w:w="508" w:type="pct"/>
            <w:vAlign w:val="center"/>
          </w:tcPr>
          <w:p w14:paraId="3D32A621" w14:textId="77777777" w:rsidR="003467A5" w:rsidRPr="00543772" w:rsidRDefault="003467A5" w:rsidP="006322EB">
            <w:pPr>
              <w:pStyle w:val="CSRguidance"/>
              <w:spacing w:after="0"/>
              <w:jc w:val="center"/>
              <w:rPr>
                <w:i w:val="0"/>
                <w:color w:val="auto"/>
                <w:sz w:val="20"/>
              </w:rPr>
            </w:pPr>
          </w:p>
        </w:tc>
        <w:tc>
          <w:tcPr>
            <w:tcW w:w="886" w:type="pct"/>
            <w:shd w:val="clear" w:color="auto" w:fill="EEECE1" w:themeFill="background2"/>
          </w:tcPr>
          <w:p w14:paraId="5B1C1B1A" w14:textId="43C7672E" w:rsidR="003467A5" w:rsidRPr="00543772" w:rsidRDefault="003467A5" w:rsidP="006322EB">
            <w:pPr>
              <w:pStyle w:val="CSRguidance"/>
              <w:spacing w:after="0"/>
              <w:jc w:val="center"/>
              <w:rPr>
                <w:i w:val="0"/>
                <w:color w:val="auto"/>
                <w:sz w:val="20"/>
              </w:rPr>
            </w:pPr>
            <w:r>
              <w:rPr>
                <w:i w:val="0"/>
                <w:color w:val="auto"/>
                <w:sz w:val="20"/>
              </w:rPr>
              <w:t>1</w:t>
            </w:r>
          </w:p>
        </w:tc>
      </w:tr>
      <w:tr w:rsidR="0068546D" w:rsidRPr="00543772" w14:paraId="50F3A07E" w14:textId="77777777" w:rsidTr="0022402A">
        <w:trPr>
          <w:trHeight w:val="227"/>
        </w:trPr>
        <w:tc>
          <w:tcPr>
            <w:tcW w:w="1065" w:type="pct"/>
            <w:vAlign w:val="center"/>
          </w:tcPr>
          <w:p w14:paraId="4BD2125A" w14:textId="4FF7440C" w:rsidR="0068546D" w:rsidRDefault="0068546D" w:rsidP="006322EB">
            <w:pPr>
              <w:pStyle w:val="CSRguidance"/>
              <w:spacing w:after="0"/>
              <w:rPr>
                <w:i w:val="0"/>
                <w:color w:val="auto"/>
                <w:sz w:val="20"/>
              </w:rPr>
            </w:pPr>
            <w:r>
              <w:rPr>
                <w:i w:val="0"/>
                <w:color w:val="auto"/>
                <w:sz w:val="20"/>
              </w:rPr>
              <w:t>Neutrophil count decreased</w:t>
            </w:r>
          </w:p>
        </w:tc>
        <w:tc>
          <w:tcPr>
            <w:tcW w:w="509" w:type="pct"/>
            <w:vAlign w:val="center"/>
          </w:tcPr>
          <w:p w14:paraId="5516DAD7" w14:textId="227042D7" w:rsidR="0068546D" w:rsidRDefault="0068546D" w:rsidP="006322EB">
            <w:pPr>
              <w:pStyle w:val="CSRguidance"/>
              <w:spacing w:after="0"/>
              <w:jc w:val="center"/>
              <w:rPr>
                <w:i w:val="0"/>
                <w:color w:val="auto"/>
                <w:sz w:val="20"/>
              </w:rPr>
            </w:pPr>
            <w:r>
              <w:rPr>
                <w:i w:val="0"/>
                <w:color w:val="auto"/>
                <w:sz w:val="20"/>
              </w:rPr>
              <w:t>1</w:t>
            </w:r>
            <w:r w:rsidRPr="0068546D">
              <w:rPr>
                <w:i w:val="0"/>
                <w:color w:val="auto"/>
                <w:sz w:val="20"/>
                <w:vertAlign w:val="superscript"/>
              </w:rPr>
              <w:t>a</w:t>
            </w:r>
          </w:p>
        </w:tc>
        <w:tc>
          <w:tcPr>
            <w:tcW w:w="508" w:type="pct"/>
            <w:vAlign w:val="center"/>
          </w:tcPr>
          <w:p w14:paraId="68D64345" w14:textId="77777777" w:rsidR="0068546D" w:rsidRPr="00543772" w:rsidRDefault="0068546D" w:rsidP="006322EB">
            <w:pPr>
              <w:pStyle w:val="CSRguidance"/>
              <w:spacing w:after="0"/>
              <w:jc w:val="center"/>
              <w:rPr>
                <w:i w:val="0"/>
                <w:color w:val="auto"/>
                <w:sz w:val="20"/>
              </w:rPr>
            </w:pPr>
          </w:p>
        </w:tc>
        <w:tc>
          <w:tcPr>
            <w:tcW w:w="508" w:type="pct"/>
            <w:vAlign w:val="center"/>
          </w:tcPr>
          <w:p w14:paraId="7EDF8DBF" w14:textId="77777777" w:rsidR="0068546D" w:rsidRPr="00543772" w:rsidRDefault="0068546D" w:rsidP="006322EB">
            <w:pPr>
              <w:pStyle w:val="CSRguidance"/>
              <w:spacing w:after="0"/>
              <w:jc w:val="center"/>
              <w:rPr>
                <w:i w:val="0"/>
                <w:color w:val="auto"/>
                <w:sz w:val="20"/>
              </w:rPr>
            </w:pPr>
          </w:p>
        </w:tc>
        <w:tc>
          <w:tcPr>
            <w:tcW w:w="508" w:type="pct"/>
            <w:vAlign w:val="center"/>
          </w:tcPr>
          <w:p w14:paraId="614DD6DD" w14:textId="77777777" w:rsidR="0068546D" w:rsidRPr="00543772" w:rsidRDefault="0068546D" w:rsidP="006322EB">
            <w:pPr>
              <w:pStyle w:val="CSRguidance"/>
              <w:spacing w:after="0"/>
              <w:jc w:val="center"/>
              <w:rPr>
                <w:i w:val="0"/>
                <w:color w:val="auto"/>
                <w:sz w:val="20"/>
              </w:rPr>
            </w:pPr>
          </w:p>
        </w:tc>
        <w:tc>
          <w:tcPr>
            <w:tcW w:w="508" w:type="pct"/>
            <w:vAlign w:val="center"/>
          </w:tcPr>
          <w:p w14:paraId="0238CD82" w14:textId="77777777" w:rsidR="0068546D" w:rsidRPr="00543772" w:rsidRDefault="0068546D" w:rsidP="006322EB">
            <w:pPr>
              <w:pStyle w:val="CSRguidance"/>
              <w:spacing w:after="0"/>
              <w:jc w:val="center"/>
              <w:rPr>
                <w:i w:val="0"/>
                <w:color w:val="auto"/>
                <w:sz w:val="20"/>
              </w:rPr>
            </w:pPr>
          </w:p>
        </w:tc>
        <w:tc>
          <w:tcPr>
            <w:tcW w:w="508" w:type="pct"/>
            <w:vAlign w:val="center"/>
          </w:tcPr>
          <w:p w14:paraId="583092F2" w14:textId="77777777" w:rsidR="0068546D" w:rsidRPr="00543772" w:rsidRDefault="0068546D" w:rsidP="006322EB">
            <w:pPr>
              <w:pStyle w:val="CSRguidance"/>
              <w:spacing w:after="0"/>
              <w:jc w:val="center"/>
              <w:rPr>
                <w:i w:val="0"/>
                <w:color w:val="auto"/>
                <w:sz w:val="20"/>
              </w:rPr>
            </w:pPr>
          </w:p>
        </w:tc>
        <w:tc>
          <w:tcPr>
            <w:tcW w:w="886" w:type="pct"/>
            <w:shd w:val="clear" w:color="auto" w:fill="EEECE1" w:themeFill="background2"/>
          </w:tcPr>
          <w:p w14:paraId="5A8239E3" w14:textId="0FF196A5" w:rsidR="0068546D" w:rsidRDefault="00311F4C" w:rsidP="006322EB">
            <w:pPr>
              <w:pStyle w:val="CSRguidance"/>
              <w:spacing w:after="0"/>
              <w:jc w:val="center"/>
              <w:rPr>
                <w:i w:val="0"/>
                <w:color w:val="auto"/>
                <w:sz w:val="20"/>
              </w:rPr>
            </w:pPr>
            <w:r>
              <w:rPr>
                <w:i w:val="0"/>
                <w:color w:val="auto"/>
                <w:sz w:val="20"/>
              </w:rPr>
              <w:t>1</w:t>
            </w:r>
          </w:p>
        </w:tc>
      </w:tr>
      <w:tr w:rsidR="003467A5" w:rsidRPr="00543772" w14:paraId="67934E72" w14:textId="33671C97" w:rsidTr="0022402A">
        <w:trPr>
          <w:trHeight w:val="227"/>
        </w:trPr>
        <w:tc>
          <w:tcPr>
            <w:tcW w:w="1065" w:type="pct"/>
            <w:vAlign w:val="center"/>
          </w:tcPr>
          <w:p w14:paraId="6D704501" w14:textId="77777777" w:rsidR="00EB2B5B" w:rsidRPr="00543772" w:rsidRDefault="00EB2B5B" w:rsidP="006322EB">
            <w:pPr>
              <w:pStyle w:val="CSRguidance"/>
              <w:spacing w:after="0"/>
              <w:rPr>
                <w:i w:val="0"/>
                <w:color w:val="auto"/>
                <w:sz w:val="20"/>
              </w:rPr>
            </w:pPr>
            <w:r w:rsidRPr="00543772">
              <w:rPr>
                <w:i w:val="0"/>
                <w:color w:val="auto"/>
                <w:sz w:val="20"/>
              </w:rPr>
              <w:t>Oropharyngeal pain</w:t>
            </w:r>
          </w:p>
        </w:tc>
        <w:tc>
          <w:tcPr>
            <w:tcW w:w="509" w:type="pct"/>
            <w:vAlign w:val="center"/>
          </w:tcPr>
          <w:p w14:paraId="071435FF" w14:textId="6BE8B00A" w:rsidR="00EB2B5B" w:rsidRPr="00543772" w:rsidRDefault="00EB2B5B" w:rsidP="006322EB">
            <w:pPr>
              <w:pStyle w:val="CSRguidance"/>
              <w:spacing w:after="0"/>
              <w:jc w:val="center"/>
              <w:rPr>
                <w:i w:val="0"/>
                <w:color w:val="auto"/>
                <w:sz w:val="20"/>
              </w:rPr>
            </w:pPr>
          </w:p>
        </w:tc>
        <w:tc>
          <w:tcPr>
            <w:tcW w:w="508" w:type="pct"/>
            <w:vAlign w:val="center"/>
          </w:tcPr>
          <w:p w14:paraId="2D682A37" w14:textId="477B9AA6" w:rsidR="00EB2B5B" w:rsidRPr="00543772" w:rsidRDefault="00EB2B5B" w:rsidP="006322EB">
            <w:pPr>
              <w:pStyle w:val="CSRguidance"/>
              <w:spacing w:after="0"/>
              <w:jc w:val="center"/>
              <w:rPr>
                <w:i w:val="0"/>
                <w:color w:val="auto"/>
                <w:sz w:val="20"/>
              </w:rPr>
            </w:pPr>
          </w:p>
        </w:tc>
        <w:tc>
          <w:tcPr>
            <w:tcW w:w="508" w:type="pct"/>
            <w:vAlign w:val="center"/>
          </w:tcPr>
          <w:p w14:paraId="10284AC3" w14:textId="2774D0D1" w:rsidR="00EB2B5B" w:rsidRPr="00543772" w:rsidRDefault="00EB2B5B" w:rsidP="006322EB">
            <w:pPr>
              <w:pStyle w:val="CSRguidance"/>
              <w:spacing w:after="0"/>
              <w:jc w:val="center"/>
              <w:rPr>
                <w:i w:val="0"/>
                <w:color w:val="auto"/>
                <w:sz w:val="20"/>
              </w:rPr>
            </w:pPr>
          </w:p>
        </w:tc>
        <w:tc>
          <w:tcPr>
            <w:tcW w:w="508" w:type="pct"/>
            <w:vAlign w:val="center"/>
          </w:tcPr>
          <w:p w14:paraId="74C8D8F4" w14:textId="01E0C867" w:rsidR="00EB2B5B" w:rsidRPr="00543772" w:rsidRDefault="00EB2B5B" w:rsidP="006322EB">
            <w:pPr>
              <w:pStyle w:val="CSRguidance"/>
              <w:spacing w:after="0"/>
              <w:jc w:val="center"/>
              <w:rPr>
                <w:i w:val="0"/>
                <w:color w:val="auto"/>
                <w:sz w:val="20"/>
              </w:rPr>
            </w:pPr>
          </w:p>
        </w:tc>
        <w:tc>
          <w:tcPr>
            <w:tcW w:w="508" w:type="pct"/>
            <w:vAlign w:val="center"/>
          </w:tcPr>
          <w:p w14:paraId="5837F8BB" w14:textId="1F35E717" w:rsidR="00EB2B5B" w:rsidRPr="00543772" w:rsidRDefault="003E728F" w:rsidP="006322EB">
            <w:pPr>
              <w:pStyle w:val="CSRguidance"/>
              <w:spacing w:after="0"/>
              <w:jc w:val="center"/>
              <w:rPr>
                <w:i w:val="0"/>
                <w:color w:val="auto"/>
                <w:sz w:val="20"/>
              </w:rPr>
            </w:pPr>
            <w:r>
              <w:rPr>
                <w:i w:val="0"/>
                <w:color w:val="auto"/>
                <w:sz w:val="20"/>
              </w:rPr>
              <w:t>1</w:t>
            </w:r>
            <w:r w:rsidR="00152C4B" w:rsidRPr="00152C4B">
              <w:rPr>
                <w:i w:val="0"/>
                <w:color w:val="auto"/>
                <w:sz w:val="20"/>
                <w:vertAlign w:val="superscript"/>
              </w:rPr>
              <w:t>a</w:t>
            </w:r>
          </w:p>
        </w:tc>
        <w:tc>
          <w:tcPr>
            <w:tcW w:w="508" w:type="pct"/>
            <w:vAlign w:val="center"/>
          </w:tcPr>
          <w:p w14:paraId="764E13F1" w14:textId="1942F86A"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15C0923E" w14:textId="2293E598" w:rsidR="00EB2B5B" w:rsidRPr="00543772" w:rsidRDefault="003467A5" w:rsidP="006322EB">
            <w:pPr>
              <w:pStyle w:val="CSRguidance"/>
              <w:spacing w:after="0"/>
              <w:jc w:val="center"/>
              <w:rPr>
                <w:i w:val="0"/>
                <w:color w:val="auto"/>
                <w:sz w:val="20"/>
              </w:rPr>
            </w:pPr>
            <w:r>
              <w:rPr>
                <w:i w:val="0"/>
                <w:color w:val="auto"/>
                <w:sz w:val="20"/>
              </w:rPr>
              <w:t>1</w:t>
            </w:r>
          </w:p>
        </w:tc>
      </w:tr>
      <w:tr w:rsidR="003467A5" w:rsidRPr="00543772" w14:paraId="002D5A15" w14:textId="17B70FA5" w:rsidTr="0022402A">
        <w:trPr>
          <w:trHeight w:val="227"/>
        </w:trPr>
        <w:tc>
          <w:tcPr>
            <w:tcW w:w="1065" w:type="pct"/>
            <w:vAlign w:val="center"/>
          </w:tcPr>
          <w:p w14:paraId="19356806" w14:textId="77777777" w:rsidR="00EB2B5B" w:rsidRPr="00543772" w:rsidRDefault="00EB2B5B" w:rsidP="006322EB">
            <w:pPr>
              <w:pStyle w:val="CSRguidance"/>
              <w:spacing w:after="0"/>
              <w:rPr>
                <w:i w:val="0"/>
                <w:color w:val="auto"/>
                <w:sz w:val="20"/>
              </w:rPr>
            </w:pPr>
            <w:r w:rsidRPr="00543772">
              <w:rPr>
                <w:i w:val="0"/>
                <w:color w:val="auto"/>
                <w:sz w:val="20"/>
              </w:rPr>
              <w:t>Pyrexia</w:t>
            </w:r>
          </w:p>
        </w:tc>
        <w:tc>
          <w:tcPr>
            <w:tcW w:w="509" w:type="pct"/>
            <w:vAlign w:val="center"/>
          </w:tcPr>
          <w:p w14:paraId="30E46447" w14:textId="3A1BB5A2" w:rsidR="00EB2B5B" w:rsidRPr="00543772" w:rsidRDefault="00EB2B5B" w:rsidP="006322EB">
            <w:pPr>
              <w:pStyle w:val="CSRguidance"/>
              <w:spacing w:after="0"/>
              <w:jc w:val="center"/>
              <w:rPr>
                <w:i w:val="0"/>
                <w:color w:val="auto"/>
                <w:sz w:val="20"/>
              </w:rPr>
            </w:pPr>
          </w:p>
        </w:tc>
        <w:tc>
          <w:tcPr>
            <w:tcW w:w="508" w:type="pct"/>
            <w:vAlign w:val="center"/>
          </w:tcPr>
          <w:p w14:paraId="44E7D72D" w14:textId="43B2B6CD" w:rsidR="00EB2B5B" w:rsidRPr="00543772" w:rsidRDefault="00EB2B5B" w:rsidP="006322EB">
            <w:pPr>
              <w:pStyle w:val="CSRguidance"/>
              <w:spacing w:after="0"/>
              <w:jc w:val="center"/>
              <w:rPr>
                <w:i w:val="0"/>
                <w:color w:val="auto"/>
                <w:sz w:val="20"/>
              </w:rPr>
            </w:pPr>
          </w:p>
        </w:tc>
        <w:tc>
          <w:tcPr>
            <w:tcW w:w="508" w:type="pct"/>
            <w:vAlign w:val="center"/>
          </w:tcPr>
          <w:p w14:paraId="0D36BBF5" w14:textId="1AE44EE0" w:rsidR="00EB2B5B" w:rsidRPr="00543772" w:rsidRDefault="00EB2B5B" w:rsidP="006322EB">
            <w:pPr>
              <w:pStyle w:val="CSRguidance"/>
              <w:spacing w:after="0"/>
              <w:jc w:val="center"/>
              <w:rPr>
                <w:i w:val="0"/>
                <w:color w:val="auto"/>
                <w:sz w:val="20"/>
              </w:rPr>
            </w:pPr>
          </w:p>
        </w:tc>
        <w:tc>
          <w:tcPr>
            <w:tcW w:w="508" w:type="pct"/>
            <w:vAlign w:val="center"/>
          </w:tcPr>
          <w:p w14:paraId="07D55AFB" w14:textId="66629956" w:rsidR="00EB2B5B" w:rsidRPr="00543772" w:rsidRDefault="003E728F" w:rsidP="006322EB">
            <w:pPr>
              <w:pStyle w:val="CSRguidance"/>
              <w:spacing w:after="0"/>
              <w:jc w:val="center"/>
              <w:rPr>
                <w:i w:val="0"/>
                <w:color w:val="auto"/>
                <w:sz w:val="20"/>
              </w:rPr>
            </w:pPr>
            <w:r>
              <w:rPr>
                <w:i w:val="0"/>
                <w:color w:val="auto"/>
                <w:sz w:val="20"/>
              </w:rPr>
              <w:t>2</w:t>
            </w:r>
          </w:p>
        </w:tc>
        <w:tc>
          <w:tcPr>
            <w:tcW w:w="508" w:type="pct"/>
            <w:vAlign w:val="center"/>
          </w:tcPr>
          <w:p w14:paraId="1F1012C5" w14:textId="30E92D12" w:rsidR="00EB2B5B" w:rsidRPr="00543772" w:rsidRDefault="003E728F" w:rsidP="006322EB">
            <w:pPr>
              <w:pStyle w:val="CSRguidance"/>
              <w:spacing w:after="0"/>
              <w:jc w:val="center"/>
              <w:rPr>
                <w:i w:val="0"/>
                <w:color w:val="auto"/>
                <w:sz w:val="20"/>
              </w:rPr>
            </w:pPr>
            <w:r>
              <w:rPr>
                <w:i w:val="0"/>
                <w:color w:val="auto"/>
                <w:sz w:val="20"/>
              </w:rPr>
              <w:t>1</w:t>
            </w:r>
          </w:p>
        </w:tc>
        <w:tc>
          <w:tcPr>
            <w:tcW w:w="508" w:type="pct"/>
            <w:vAlign w:val="center"/>
          </w:tcPr>
          <w:p w14:paraId="46ACE343" w14:textId="58B65263"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64DFEC7B" w14:textId="5F6A8BBF" w:rsidR="00EB2B5B" w:rsidRPr="00543772" w:rsidRDefault="003467A5" w:rsidP="006322EB">
            <w:pPr>
              <w:pStyle w:val="CSRguidance"/>
              <w:spacing w:after="0"/>
              <w:jc w:val="center"/>
              <w:rPr>
                <w:i w:val="0"/>
                <w:color w:val="auto"/>
                <w:sz w:val="20"/>
              </w:rPr>
            </w:pPr>
            <w:r>
              <w:rPr>
                <w:i w:val="0"/>
                <w:color w:val="auto"/>
                <w:sz w:val="20"/>
              </w:rPr>
              <w:t>3</w:t>
            </w:r>
          </w:p>
        </w:tc>
      </w:tr>
      <w:tr w:rsidR="003467A5" w:rsidRPr="00543772" w14:paraId="2D5ABC8D" w14:textId="77777777" w:rsidTr="0022402A">
        <w:trPr>
          <w:trHeight w:val="227"/>
        </w:trPr>
        <w:tc>
          <w:tcPr>
            <w:tcW w:w="1065" w:type="pct"/>
            <w:vAlign w:val="center"/>
          </w:tcPr>
          <w:p w14:paraId="2A614FC8" w14:textId="7556C25F" w:rsidR="003467A5" w:rsidRPr="00543772" w:rsidRDefault="003467A5" w:rsidP="006322EB">
            <w:pPr>
              <w:pStyle w:val="CSRguidance"/>
              <w:spacing w:after="0"/>
              <w:rPr>
                <w:i w:val="0"/>
                <w:color w:val="auto"/>
                <w:sz w:val="20"/>
              </w:rPr>
            </w:pPr>
            <w:r>
              <w:rPr>
                <w:i w:val="0"/>
                <w:color w:val="auto"/>
                <w:sz w:val="20"/>
              </w:rPr>
              <w:t>Rash</w:t>
            </w:r>
          </w:p>
        </w:tc>
        <w:tc>
          <w:tcPr>
            <w:tcW w:w="509" w:type="pct"/>
            <w:vAlign w:val="center"/>
          </w:tcPr>
          <w:p w14:paraId="723E656C" w14:textId="77777777" w:rsidR="003467A5" w:rsidRPr="00543772" w:rsidRDefault="003467A5" w:rsidP="006322EB">
            <w:pPr>
              <w:pStyle w:val="CSRguidance"/>
              <w:spacing w:after="0"/>
              <w:jc w:val="center"/>
              <w:rPr>
                <w:i w:val="0"/>
                <w:color w:val="auto"/>
                <w:sz w:val="20"/>
              </w:rPr>
            </w:pPr>
          </w:p>
        </w:tc>
        <w:tc>
          <w:tcPr>
            <w:tcW w:w="508" w:type="pct"/>
            <w:vAlign w:val="center"/>
          </w:tcPr>
          <w:p w14:paraId="5EC5E229" w14:textId="77777777" w:rsidR="003467A5" w:rsidRPr="00543772" w:rsidRDefault="003467A5" w:rsidP="006322EB">
            <w:pPr>
              <w:pStyle w:val="CSRguidance"/>
              <w:spacing w:after="0"/>
              <w:jc w:val="center"/>
              <w:rPr>
                <w:i w:val="0"/>
                <w:color w:val="auto"/>
                <w:sz w:val="20"/>
              </w:rPr>
            </w:pPr>
          </w:p>
        </w:tc>
        <w:tc>
          <w:tcPr>
            <w:tcW w:w="508" w:type="pct"/>
            <w:vAlign w:val="center"/>
          </w:tcPr>
          <w:p w14:paraId="68821788" w14:textId="77777777" w:rsidR="003467A5" w:rsidRPr="00543772" w:rsidRDefault="003467A5" w:rsidP="006322EB">
            <w:pPr>
              <w:pStyle w:val="CSRguidance"/>
              <w:spacing w:after="0"/>
              <w:jc w:val="center"/>
              <w:rPr>
                <w:i w:val="0"/>
                <w:color w:val="auto"/>
                <w:sz w:val="20"/>
              </w:rPr>
            </w:pPr>
          </w:p>
        </w:tc>
        <w:tc>
          <w:tcPr>
            <w:tcW w:w="508" w:type="pct"/>
            <w:vAlign w:val="center"/>
          </w:tcPr>
          <w:p w14:paraId="61CDB809" w14:textId="35A47E00" w:rsidR="003467A5" w:rsidRPr="00543772" w:rsidRDefault="00F81E3B" w:rsidP="006322EB">
            <w:pPr>
              <w:pStyle w:val="CSRguidance"/>
              <w:spacing w:after="0"/>
              <w:jc w:val="center"/>
              <w:rPr>
                <w:i w:val="0"/>
                <w:color w:val="auto"/>
                <w:sz w:val="20"/>
              </w:rPr>
            </w:pPr>
            <w:r>
              <w:rPr>
                <w:i w:val="0"/>
                <w:color w:val="auto"/>
                <w:sz w:val="20"/>
              </w:rPr>
              <w:t>1</w:t>
            </w:r>
          </w:p>
        </w:tc>
        <w:tc>
          <w:tcPr>
            <w:tcW w:w="508" w:type="pct"/>
            <w:vAlign w:val="center"/>
          </w:tcPr>
          <w:p w14:paraId="2C1A263C" w14:textId="77777777" w:rsidR="003467A5" w:rsidRPr="00543772" w:rsidRDefault="003467A5" w:rsidP="006322EB">
            <w:pPr>
              <w:pStyle w:val="CSRguidance"/>
              <w:spacing w:after="0"/>
              <w:jc w:val="center"/>
              <w:rPr>
                <w:i w:val="0"/>
                <w:color w:val="auto"/>
                <w:sz w:val="20"/>
              </w:rPr>
            </w:pPr>
          </w:p>
        </w:tc>
        <w:tc>
          <w:tcPr>
            <w:tcW w:w="508" w:type="pct"/>
            <w:vAlign w:val="center"/>
          </w:tcPr>
          <w:p w14:paraId="02399408" w14:textId="77777777" w:rsidR="003467A5" w:rsidRPr="00543772" w:rsidRDefault="003467A5" w:rsidP="006322EB">
            <w:pPr>
              <w:pStyle w:val="CSRguidance"/>
              <w:spacing w:after="0"/>
              <w:jc w:val="center"/>
              <w:rPr>
                <w:i w:val="0"/>
                <w:color w:val="auto"/>
                <w:sz w:val="20"/>
              </w:rPr>
            </w:pPr>
          </w:p>
        </w:tc>
        <w:tc>
          <w:tcPr>
            <w:tcW w:w="886" w:type="pct"/>
            <w:shd w:val="clear" w:color="auto" w:fill="EEECE1" w:themeFill="background2"/>
          </w:tcPr>
          <w:p w14:paraId="75F0AE46" w14:textId="5F5D829D" w:rsidR="003467A5" w:rsidRDefault="003467A5" w:rsidP="006322EB">
            <w:pPr>
              <w:pStyle w:val="CSRguidance"/>
              <w:spacing w:after="0"/>
              <w:jc w:val="center"/>
              <w:rPr>
                <w:i w:val="0"/>
                <w:color w:val="auto"/>
                <w:sz w:val="20"/>
              </w:rPr>
            </w:pPr>
            <w:r>
              <w:rPr>
                <w:i w:val="0"/>
                <w:color w:val="auto"/>
                <w:sz w:val="20"/>
              </w:rPr>
              <w:t>1</w:t>
            </w:r>
          </w:p>
        </w:tc>
      </w:tr>
      <w:tr w:rsidR="003467A5" w:rsidRPr="00543772" w14:paraId="734FDD49" w14:textId="512C0A8A" w:rsidTr="0022402A">
        <w:trPr>
          <w:trHeight w:val="227"/>
        </w:trPr>
        <w:tc>
          <w:tcPr>
            <w:tcW w:w="1065" w:type="pct"/>
            <w:vAlign w:val="center"/>
          </w:tcPr>
          <w:p w14:paraId="573C4484" w14:textId="51AEA146" w:rsidR="00EB2B5B" w:rsidRPr="00543772" w:rsidRDefault="00EB2B5B" w:rsidP="006322EB">
            <w:pPr>
              <w:pStyle w:val="CSRguidance"/>
              <w:spacing w:after="0"/>
              <w:rPr>
                <w:i w:val="0"/>
                <w:color w:val="auto"/>
                <w:sz w:val="20"/>
              </w:rPr>
            </w:pPr>
            <w:r>
              <w:rPr>
                <w:i w:val="0"/>
                <w:color w:val="auto"/>
                <w:sz w:val="20"/>
              </w:rPr>
              <w:t>Sinus t</w:t>
            </w:r>
            <w:r w:rsidRPr="00543772">
              <w:rPr>
                <w:i w:val="0"/>
                <w:color w:val="auto"/>
                <w:sz w:val="20"/>
              </w:rPr>
              <w:t>achycardia</w:t>
            </w:r>
          </w:p>
        </w:tc>
        <w:tc>
          <w:tcPr>
            <w:tcW w:w="509" w:type="pct"/>
            <w:vAlign w:val="center"/>
          </w:tcPr>
          <w:p w14:paraId="3E1D63CE" w14:textId="00C06102" w:rsidR="00EB2B5B" w:rsidRPr="00543772" w:rsidRDefault="00EB2B5B" w:rsidP="006322EB">
            <w:pPr>
              <w:pStyle w:val="CSRguidance"/>
              <w:spacing w:after="0"/>
              <w:jc w:val="center"/>
              <w:rPr>
                <w:i w:val="0"/>
                <w:color w:val="auto"/>
                <w:sz w:val="20"/>
              </w:rPr>
            </w:pPr>
          </w:p>
        </w:tc>
        <w:tc>
          <w:tcPr>
            <w:tcW w:w="508" w:type="pct"/>
            <w:vAlign w:val="center"/>
          </w:tcPr>
          <w:p w14:paraId="088AA63D" w14:textId="608F9E7F" w:rsidR="00EB2B5B" w:rsidRPr="00543772" w:rsidRDefault="00EB2B5B" w:rsidP="006322EB">
            <w:pPr>
              <w:pStyle w:val="CSRguidance"/>
              <w:spacing w:after="0"/>
              <w:jc w:val="center"/>
              <w:rPr>
                <w:i w:val="0"/>
                <w:color w:val="auto"/>
                <w:sz w:val="20"/>
              </w:rPr>
            </w:pPr>
          </w:p>
        </w:tc>
        <w:tc>
          <w:tcPr>
            <w:tcW w:w="508" w:type="pct"/>
            <w:vAlign w:val="center"/>
          </w:tcPr>
          <w:p w14:paraId="4A1821D0" w14:textId="6FFD3964" w:rsidR="00EB2B5B" w:rsidRPr="00543772" w:rsidRDefault="00EB2B5B" w:rsidP="006322EB">
            <w:pPr>
              <w:pStyle w:val="CSRguidance"/>
              <w:spacing w:after="0"/>
              <w:jc w:val="center"/>
              <w:rPr>
                <w:i w:val="0"/>
                <w:color w:val="auto"/>
                <w:sz w:val="20"/>
              </w:rPr>
            </w:pPr>
          </w:p>
        </w:tc>
        <w:tc>
          <w:tcPr>
            <w:tcW w:w="508" w:type="pct"/>
            <w:vAlign w:val="center"/>
          </w:tcPr>
          <w:p w14:paraId="1AD6167C" w14:textId="2A8277E2" w:rsidR="00EB2B5B" w:rsidRPr="00543772" w:rsidRDefault="003E728F" w:rsidP="006322EB">
            <w:pPr>
              <w:pStyle w:val="CSRguidance"/>
              <w:spacing w:after="0"/>
              <w:jc w:val="center"/>
              <w:rPr>
                <w:i w:val="0"/>
                <w:color w:val="auto"/>
                <w:sz w:val="20"/>
              </w:rPr>
            </w:pPr>
            <w:r>
              <w:rPr>
                <w:i w:val="0"/>
                <w:color w:val="auto"/>
                <w:sz w:val="20"/>
              </w:rPr>
              <w:t>4</w:t>
            </w:r>
          </w:p>
        </w:tc>
        <w:tc>
          <w:tcPr>
            <w:tcW w:w="508" w:type="pct"/>
            <w:vAlign w:val="center"/>
          </w:tcPr>
          <w:p w14:paraId="2229586F" w14:textId="56467223" w:rsidR="00EB2B5B" w:rsidRPr="00543772" w:rsidRDefault="00EB2B5B" w:rsidP="006322EB">
            <w:pPr>
              <w:pStyle w:val="CSRguidance"/>
              <w:spacing w:after="0"/>
              <w:jc w:val="center"/>
              <w:rPr>
                <w:i w:val="0"/>
                <w:color w:val="auto"/>
                <w:sz w:val="20"/>
              </w:rPr>
            </w:pPr>
          </w:p>
        </w:tc>
        <w:tc>
          <w:tcPr>
            <w:tcW w:w="508" w:type="pct"/>
            <w:vAlign w:val="center"/>
          </w:tcPr>
          <w:p w14:paraId="27325572" w14:textId="57042D30"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219D3AFC" w14:textId="21B3D4FD" w:rsidR="00EB2B5B" w:rsidRPr="00543772" w:rsidRDefault="003467A5" w:rsidP="006322EB">
            <w:pPr>
              <w:pStyle w:val="CSRguidance"/>
              <w:spacing w:after="0"/>
              <w:jc w:val="center"/>
              <w:rPr>
                <w:i w:val="0"/>
                <w:color w:val="auto"/>
                <w:sz w:val="20"/>
              </w:rPr>
            </w:pPr>
            <w:r>
              <w:rPr>
                <w:i w:val="0"/>
                <w:color w:val="auto"/>
                <w:sz w:val="20"/>
              </w:rPr>
              <w:t>4</w:t>
            </w:r>
          </w:p>
        </w:tc>
      </w:tr>
      <w:tr w:rsidR="003467A5" w:rsidRPr="00543772" w14:paraId="5D10C40B" w14:textId="77777777" w:rsidTr="0022402A">
        <w:trPr>
          <w:trHeight w:val="227"/>
        </w:trPr>
        <w:tc>
          <w:tcPr>
            <w:tcW w:w="1065" w:type="pct"/>
            <w:vAlign w:val="center"/>
          </w:tcPr>
          <w:p w14:paraId="15CFFA8F" w14:textId="41259DAF" w:rsidR="003467A5" w:rsidRDefault="003467A5" w:rsidP="006322EB">
            <w:pPr>
              <w:pStyle w:val="CSRguidance"/>
              <w:spacing w:after="0"/>
              <w:rPr>
                <w:i w:val="0"/>
                <w:color w:val="auto"/>
                <w:sz w:val="20"/>
              </w:rPr>
            </w:pPr>
            <w:r>
              <w:rPr>
                <w:i w:val="0"/>
                <w:color w:val="auto"/>
                <w:sz w:val="20"/>
              </w:rPr>
              <w:t>Stress</w:t>
            </w:r>
          </w:p>
        </w:tc>
        <w:tc>
          <w:tcPr>
            <w:tcW w:w="509" w:type="pct"/>
            <w:vAlign w:val="center"/>
          </w:tcPr>
          <w:p w14:paraId="66CC0448" w14:textId="77777777" w:rsidR="003467A5" w:rsidRPr="00543772" w:rsidRDefault="003467A5" w:rsidP="006322EB">
            <w:pPr>
              <w:pStyle w:val="CSRguidance"/>
              <w:spacing w:after="0"/>
              <w:jc w:val="center"/>
              <w:rPr>
                <w:i w:val="0"/>
                <w:color w:val="auto"/>
                <w:sz w:val="20"/>
              </w:rPr>
            </w:pPr>
          </w:p>
        </w:tc>
        <w:tc>
          <w:tcPr>
            <w:tcW w:w="508" w:type="pct"/>
            <w:vAlign w:val="center"/>
          </w:tcPr>
          <w:p w14:paraId="3BCD312C" w14:textId="77777777" w:rsidR="003467A5" w:rsidRPr="00543772" w:rsidRDefault="003467A5" w:rsidP="006322EB">
            <w:pPr>
              <w:pStyle w:val="CSRguidance"/>
              <w:spacing w:after="0"/>
              <w:jc w:val="center"/>
              <w:rPr>
                <w:i w:val="0"/>
                <w:color w:val="auto"/>
                <w:sz w:val="20"/>
              </w:rPr>
            </w:pPr>
          </w:p>
        </w:tc>
        <w:tc>
          <w:tcPr>
            <w:tcW w:w="508" w:type="pct"/>
            <w:vAlign w:val="center"/>
          </w:tcPr>
          <w:p w14:paraId="49E437DB" w14:textId="30EC70D4" w:rsidR="003467A5" w:rsidRPr="00543772" w:rsidRDefault="00F81E3B" w:rsidP="006322EB">
            <w:pPr>
              <w:pStyle w:val="CSRguidance"/>
              <w:spacing w:after="0"/>
              <w:jc w:val="center"/>
              <w:rPr>
                <w:i w:val="0"/>
                <w:color w:val="auto"/>
                <w:sz w:val="20"/>
              </w:rPr>
            </w:pPr>
            <w:r>
              <w:rPr>
                <w:i w:val="0"/>
                <w:color w:val="auto"/>
                <w:sz w:val="20"/>
              </w:rPr>
              <w:t>1</w:t>
            </w:r>
          </w:p>
        </w:tc>
        <w:tc>
          <w:tcPr>
            <w:tcW w:w="508" w:type="pct"/>
            <w:vAlign w:val="center"/>
          </w:tcPr>
          <w:p w14:paraId="533FA25A" w14:textId="77777777" w:rsidR="003467A5" w:rsidRPr="00543772" w:rsidRDefault="003467A5" w:rsidP="006322EB">
            <w:pPr>
              <w:pStyle w:val="CSRguidance"/>
              <w:spacing w:after="0"/>
              <w:jc w:val="center"/>
              <w:rPr>
                <w:i w:val="0"/>
                <w:color w:val="auto"/>
                <w:sz w:val="20"/>
              </w:rPr>
            </w:pPr>
          </w:p>
        </w:tc>
        <w:tc>
          <w:tcPr>
            <w:tcW w:w="508" w:type="pct"/>
            <w:vAlign w:val="center"/>
          </w:tcPr>
          <w:p w14:paraId="4B442FB6" w14:textId="77777777" w:rsidR="003467A5" w:rsidRPr="00543772" w:rsidRDefault="003467A5" w:rsidP="006322EB">
            <w:pPr>
              <w:pStyle w:val="CSRguidance"/>
              <w:spacing w:after="0"/>
              <w:jc w:val="center"/>
              <w:rPr>
                <w:i w:val="0"/>
                <w:color w:val="auto"/>
                <w:sz w:val="20"/>
              </w:rPr>
            </w:pPr>
          </w:p>
        </w:tc>
        <w:tc>
          <w:tcPr>
            <w:tcW w:w="508" w:type="pct"/>
            <w:vAlign w:val="center"/>
          </w:tcPr>
          <w:p w14:paraId="11E72ADE" w14:textId="77777777" w:rsidR="003467A5" w:rsidRPr="00543772" w:rsidRDefault="003467A5" w:rsidP="006322EB">
            <w:pPr>
              <w:pStyle w:val="CSRguidance"/>
              <w:spacing w:after="0"/>
              <w:jc w:val="center"/>
              <w:rPr>
                <w:i w:val="0"/>
                <w:color w:val="auto"/>
                <w:sz w:val="20"/>
              </w:rPr>
            </w:pPr>
          </w:p>
        </w:tc>
        <w:tc>
          <w:tcPr>
            <w:tcW w:w="886" w:type="pct"/>
            <w:shd w:val="clear" w:color="auto" w:fill="EEECE1" w:themeFill="background2"/>
          </w:tcPr>
          <w:p w14:paraId="6C6440A4" w14:textId="4AED88D8" w:rsidR="003467A5" w:rsidRDefault="003467A5" w:rsidP="006322EB">
            <w:pPr>
              <w:pStyle w:val="CSRguidance"/>
              <w:spacing w:after="0"/>
              <w:jc w:val="center"/>
              <w:rPr>
                <w:i w:val="0"/>
                <w:color w:val="auto"/>
                <w:sz w:val="20"/>
              </w:rPr>
            </w:pPr>
            <w:r>
              <w:rPr>
                <w:i w:val="0"/>
                <w:color w:val="auto"/>
                <w:sz w:val="20"/>
              </w:rPr>
              <w:t>1</w:t>
            </w:r>
          </w:p>
        </w:tc>
      </w:tr>
      <w:tr w:rsidR="003467A5" w:rsidRPr="00543772" w14:paraId="12C0D53A" w14:textId="77777777" w:rsidTr="0022402A">
        <w:trPr>
          <w:trHeight w:val="227"/>
        </w:trPr>
        <w:tc>
          <w:tcPr>
            <w:tcW w:w="1065" w:type="pct"/>
            <w:vAlign w:val="center"/>
          </w:tcPr>
          <w:p w14:paraId="76C074B9" w14:textId="6AAE7892" w:rsidR="003467A5" w:rsidRDefault="003467A5" w:rsidP="006322EB">
            <w:pPr>
              <w:pStyle w:val="CSRguidance"/>
              <w:spacing w:after="0"/>
              <w:rPr>
                <w:i w:val="0"/>
                <w:color w:val="auto"/>
                <w:sz w:val="20"/>
              </w:rPr>
            </w:pPr>
            <w:r>
              <w:rPr>
                <w:i w:val="0"/>
                <w:color w:val="auto"/>
                <w:sz w:val="20"/>
              </w:rPr>
              <w:t>Upper respiratory tract infection</w:t>
            </w:r>
          </w:p>
        </w:tc>
        <w:tc>
          <w:tcPr>
            <w:tcW w:w="509" w:type="pct"/>
            <w:vAlign w:val="center"/>
          </w:tcPr>
          <w:p w14:paraId="504ADA09" w14:textId="77777777" w:rsidR="003467A5" w:rsidRPr="00543772" w:rsidRDefault="003467A5" w:rsidP="006322EB">
            <w:pPr>
              <w:pStyle w:val="CSRguidance"/>
              <w:spacing w:after="0"/>
              <w:jc w:val="center"/>
              <w:rPr>
                <w:i w:val="0"/>
                <w:color w:val="auto"/>
                <w:sz w:val="20"/>
              </w:rPr>
            </w:pPr>
          </w:p>
        </w:tc>
        <w:tc>
          <w:tcPr>
            <w:tcW w:w="508" w:type="pct"/>
            <w:vAlign w:val="center"/>
          </w:tcPr>
          <w:p w14:paraId="629B7CC9" w14:textId="3AC2819A" w:rsidR="003467A5" w:rsidRPr="00543772" w:rsidRDefault="00F81E3B" w:rsidP="006322EB">
            <w:pPr>
              <w:pStyle w:val="CSRguidance"/>
              <w:spacing w:after="0"/>
              <w:jc w:val="center"/>
              <w:rPr>
                <w:i w:val="0"/>
                <w:color w:val="auto"/>
                <w:sz w:val="20"/>
              </w:rPr>
            </w:pPr>
            <w:r>
              <w:rPr>
                <w:i w:val="0"/>
                <w:color w:val="auto"/>
                <w:sz w:val="20"/>
              </w:rPr>
              <w:t>1</w:t>
            </w:r>
          </w:p>
        </w:tc>
        <w:tc>
          <w:tcPr>
            <w:tcW w:w="508" w:type="pct"/>
            <w:vAlign w:val="center"/>
          </w:tcPr>
          <w:p w14:paraId="020F0BFB" w14:textId="77777777" w:rsidR="003467A5" w:rsidRPr="00543772" w:rsidRDefault="003467A5" w:rsidP="006322EB">
            <w:pPr>
              <w:pStyle w:val="CSRguidance"/>
              <w:spacing w:after="0"/>
              <w:jc w:val="center"/>
              <w:rPr>
                <w:i w:val="0"/>
                <w:color w:val="auto"/>
                <w:sz w:val="20"/>
              </w:rPr>
            </w:pPr>
          </w:p>
        </w:tc>
        <w:tc>
          <w:tcPr>
            <w:tcW w:w="508" w:type="pct"/>
            <w:vAlign w:val="center"/>
          </w:tcPr>
          <w:p w14:paraId="164B5150" w14:textId="77777777" w:rsidR="003467A5" w:rsidRPr="00543772" w:rsidRDefault="003467A5" w:rsidP="006322EB">
            <w:pPr>
              <w:pStyle w:val="CSRguidance"/>
              <w:spacing w:after="0"/>
              <w:jc w:val="center"/>
              <w:rPr>
                <w:i w:val="0"/>
                <w:color w:val="auto"/>
                <w:sz w:val="20"/>
              </w:rPr>
            </w:pPr>
          </w:p>
        </w:tc>
        <w:tc>
          <w:tcPr>
            <w:tcW w:w="508" w:type="pct"/>
            <w:vAlign w:val="center"/>
          </w:tcPr>
          <w:p w14:paraId="627B1539" w14:textId="77777777" w:rsidR="003467A5" w:rsidRPr="00543772" w:rsidRDefault="003467A5" w:rsidP="006322EB">
            <w:pPr>
              <w:pStyle w:val="CSRguidance"/>
              <w:spacing w:after="0"/>
              <w:jc w:val="center"/>
              <w:rPr>
                <w:i w:val="0"/>
                <w:color w:val="auto"/>
                <w:sz w:val="20"/>
              </w:rPr>
            </w:pPr>
          </w:p>
        </w:tc>
        <w:tc>
          <w:tcPr>
            <w:tcW w:w="508" w:type="pct"/>
            <w:vAlign w:val="center"/>
          </w:tcPr>
          <w:p w14:paraId="26EA0E2A" w14:textId="77777777" w:rsidR="003467A5" w:rsidRPr="00543772" w:rsidRDefault="003467A5" w:rsidP="006322EB">
            <w:pPr>
              <w:pStyle w:val="CSRguidance"/>
              <w:spacing w:after="0"/>
              <w:jc w:val="center"/>
              <w:rPr>
                <w:i w:val="0"/>
                <w:color w:val="auto"/>
                <w:sz w:val="20"/>
              </w:rPr>
            </w:pPr>
          </w:p>
        </w:tc>
        <w:tc>
          <w:tcPr>
            <w:tcW w:w="886" w:type="pct"/>
            <w:shd w:val="clear" w:color="auto" w:fill="EEECE1" w:themeFill="background2"/>
          </w:tcPr>
          <w:p w14:paraId="7C2E2EA8" w14:textId="7B4BD6BE" w:rsidR="003467A5" w:rsidRDefault="003467A5" w:rsidP="006322EB">
            <w:pPr>
              <w:pStyle w:val="CSRguidance"/>
              <w:spacing w:after="0"/>
              <w:jc w:val="center"/>
              <w:rPr>
                <w:i w:val="0"/>
                <w:color w:val="auto"/>
                <w:sz w:val="20"/>
              </w:rPr>
            </w:pPr>
            <w:r>
              <w:rPr>
                <w:i w:val="0"/>
                <w:color w:val="auto"/>
                <w:sz w:val="20"/>
              </w:rPr>
              <w:t>1</w:t>
            </w:r>
          </w:p>
        </w:tc>
      </w:tr>
      <w:tr w:rsidR="009D7A85" w:rsidRPr="00543772" w14:paraId="4F2F6EDE" w14:textId="77777777" w:rsidTr="0022402A">
        <w:trPr>
          <w:trHeight w:val="227"/>
        </w:trPr>
        <w:tc>
          <w:tcPr>
            <w:tcW w:w="1065" w:type="pct"/>
            <w:vAlign w:val="center"/>
          </w:tcPr>
          <w:p w14:paraId="6F251D54" w14:textId="115CF1A0" w:rsidR="009D7A85" w:rsidRDefault="009D7A85" w:rsidP="006322EB">
            <w:pPr>
              <w:pStyle w:val="CSRguidance"/>
              <w:spacing w:after="0"/>
              <w:rPr>
                <w:i w:val="0"/>
                <w:color w:val="auto"/>
                <w:sz w:val="20"/>
              </w:rPr>
            </w:pPr>
            <w:r>
              <w:rPr>
                <w:i w:val="0"/>
                <w:color w:val="auto"/>
                <w:sz w:val="20"/>
              </w:rPr>
              <w:t>Vessel puncture site hematoma</w:t>
            </w:r>
          </w:p>
        </w:tc>
        <w:tc>
          <w:tcPr>
            <w:tcW w:w="509" w:type="pct"/>
            <w:vAlign w:val="center"/>
          </w:tcPr>
          <w:p w14:paraId="7DE3215D" w14:textId="77777777" w:rsidR="009D7A85" w:rsidRPr="00543772" w:rsidRDefault="009D7A85" w:rsidP="006322EB">
            <w:pPr>
              <w:pStyle w:val="CSRguidance"/>
              <w:spacing w:after="0"/>
              <w:jc w:val="center"/>
              <w:rPr>
                <w:i w:val="0"/>
                <w:color w:val="auto"/>
                <w:sz w:val="20"/>
              </w:rPr>
            </w:pPr>
          </w:p>
        </w:tc>
        <w:tc>
          <w:tcPr>
            <w:tcW w:w="508" w:type="pct"/>
            <w:vAlign w:val="center"/>
          </w:tcPr>
          <w:p w14:paraId="0D83E4C0" w14:textId="77777777" w:rsidR="009D7A85" w:rsidRPr="00543772" w:rsidRDefault="009D7A85" w:rsidP="006322EB">
            <w:pPr>
              <w:pStyle w:val="CSRguidance"/>
              <w:spacing w:after="0"/>
              <w:jc w:val="center"/>
              <w:rPr>
                <w:i w:val="0"/>
                <w:color w:val="auto"/>
                <w:sz w:val="20"/>
              </w:rPr>
            </w:pPr>
          </w:p>
        </w:tc>
        <w:tc>
          <w:tcPr>
            <w:tcW w:w="508" w:type="pct"/>
            <w:vAlign w:val="center"/>
          </w:tcPr>
          <w:p w14:paraId="17EB45E3" w14:textId="185EEBAE" w:rsidR="009D7A85" w:rsidRPr="00543772" w:rsidRDefault="00A13568" w:rsidP="006322EB">
            <w:pPr>
              <w:pStyle w:val="CSRguidance"/>
              <w:spacing w:after="0"/>
              <w:jc w:val="center"/>
              <w:rPr>
                <w:i w:val="0"/>
                <w:color w:val="auto"/>
                <w:sz w:val="20"/>
              </w:rPr>
            </w:pPr>
            <w:r>
              <w:rPr>
                <w:i w:val="0"/>
                <w:color w:val="auto"/>
                <w:sz w:val="20"/>
              </w:rPr>
              <w:t>1</w:t>
            </w:r>
          </w:p>
        </w:tc>
        <w:tc>
          <w:tcPr>
            <w:tcW w:w="508" w:type="pct"/>
            <w:vAlign w:val="center"/>
          </w:tcPr>
          <w:p w14:paraId="37E4C86B" w14:textId="77777777" w:rsidR="009D7A85" w:rsidRPr="00543772" w:rsidRDefault="009D7A85" w:rsidP="006322EB">
            <w:pPr>
              <w:pStyle w:val="CSRguidance"/>
              <w:spacing w:after="0"/>
              <w:jc w:val="center"/>
              <w:rPr>
                <w:i w:val="0"/>
                <w:color w:val="auto"/>
                <w:sz w:val="20"/>
              </w:rPr>
            </w:pPr>
          </w:p>
        </w:tc>
        <w:tc>
          <w:tcPr>
            <w:tcW w:w="508" w:type="pct"/>
            <w:vAlign w:val="center"/>
          </w:tcPr>
          <w:p w14:paraId="5EE97820" w14:textId="77777777" w:rsidR="009D7A85" w:rsidRPr="00543772" w:rsidRDefault="009D7A85" w:rsidP="006322EB">
            <w:pPr>
              <w:pStyle w:val="CSRguidance"/>
              <w:spacing w:after="0"/>
              <w:jc w:val="center"/>
              <w:rPr>
                <w:i w:val="0"/>
                <w:color w:val="auto"/>
                <w:sz w:val="20"/>
              </w:rPr>
            </w:pPr>
          </w:p>
        </w:tc>
        <w:tc>
          <w:tcPr>
            <w:tcW w:w="508" w:type="pct"/>
            <w:vAlign w:val="center"/>
          </w:tcPr>
          <w:p w14:paraId="3DB259DD" w14:textId="77777777" w:rsidR="009D7A85" w:rsidRPr="00543772" w:rsidRDefault="009D7A85" w:rsidP="006322EB">
            <w:pPr>
              <w:pStyle w:val="CSRguidance"/>
              <w:spacing w:after="0"/>
              <w:jc w:val="center"/>
              <w:rPr>
                <w:i w:val="0"/>
                <w:color w:val="auto"/>
                <w:sz w:val="20"/>
              </w:rPr>
            </w:pPr>
          </w:p>
        </w:tc>
        <w:tc>
          <w:tcPr>
            <w:tcW w:w="886" w:type="pct"/>
            <w:shd w:val="clear" w:color="auto" w:fill="EEECE1" w:themeFill="background2"/>
          </w:tcPr>
          <w:p w14:paraId="7E2E3EE2" w14:textId="77777777" w:rsidR="009D7A85" w:rsidRDefault="009D7A85" w:rsidP="006322EB">
            <w:pPr>
              <w:pStyle w:val="CSRguidance"/>
              <w:spacing w:after="0"/>
              <w:jc w:val="center"/>
              <w:rPr>
                <w:i w:val="0"/>
                <w:color w:val="auto"/>
                <w:sz w:val="20"/>
              </w:rPr>
            </w:pPr>
            <w:r w:rsidRPr="00A13568">
              <w:rPr>
                <w:i w:val="0"/>
                <w:color w:val="auto"/>
                <w:sz w:val="20"/>
              </w:rPr>
              <w:t>1</w:t>
            </w:r>
          </w:p>
        </w:tc>
      </w:tr>
      <w:tr w:rsidR="003467A5" w:rsidRPr="00543772" w14:paraId="2FFC2542" w14:textId="27EC89C6" w:rsidTr="0022402A">
        <w:trPr>
          <w:trHeight w:val="227"/>
        </w:trPr>
        <w:tc>
          <w:tcPr>
            <w:tcW w:w="1065" w:type="pct"/>
            <w:vAlign w:val="center"/>
          </w:tcPr>
          <w:p w14:paraId="73AD8D45" w14:textId="4D1F567E" w:rsidR="00EB2B5B" w:rsidRDefault="00EB2B5B" w:rsidP="006322EB">
            <w:pPr>
              <w:pStyle w:val="CSRguidance"/>
              <w:spacing w:after="0"/>
              <w:rPr>
                <w:i w:val="0"/>
                <w:color w:val="auto"/>
                <w:sz w:val="20"/>
              </w:rPr>
            </w:pPr>
            <w:r>
              <w:rPr>
                <w:i w:val="0"/>
                <w:color w:val="auto"/>
                <w:sz w:val="20"/>
              </w:rPr>
              <w:t xml:space="preserve">Vomiting </w:t>
            </w:r>
          </w:p>
        </w:tc>
        <w:tc>
          <w:tcPr>
            <w:tcW w:w="509" w:type="pct"/>
            <w:vAlign w:val="center"/>
          </w:tcPr>
          <w:p w14:paraId="64119510" w14:textId="77777777" w:rsidR="00EB2B5B" w:rsidRPr="00543772" w:rsidRDefault="00EB2B5B" w:rsidP="006322EB">
            <w:pPr>
              <w:pStyle w:val="CSRguidance"/>
              <w:spacing w:after="0"/>
              <w:jc w:val="center"/>
              <w:rPr>
                <w:i w:val="0"/>
                <w:color w:val="auto"/>
                <w:sz w:val="20"/>
              </w:rPr>
            </w:pPr>
          </w:p>
        </w:tc>
        <w:tc>
          <w:tcPr>
            <w:tcW w:w="508" w:type="pct"/>
            <w:vAlign w:val="center"/>
          </w:tcPr>
          <w:p w14:paraId="11907C14" w14:textId="77777777" w:rsidR="00EB2B5B" w:rsidRPr="00543772" w:rsidRDefault="00EB2B5B" w:rsidP="006322EB">
            <w:pPr>
              <w:pStyle w:val="CSRguidance"/>
              <w:spacing w:after="0"/>
              <w:jc w:val="center"/>
              <w:rPr>
                <w:i w:val="0"/>
                <w:color w:val="auto"/>
                <w:sz w:val="20"/>
              </w:rPr>
            </w:pPr>
          </w:p>
        </w:tc>
        <w:tc>
          <w:tcPr>
            <w:tcW w:w="508" w:type="pct"/>
            <w:vAlign w:val="center"/>
          </w:tcPr>
          <w:p w14:paraId="6EF4C901" w14:textId="77777777" w:rsidR="00EB2B5B" w:rsidRPr="00543772" w:rsidRDefault="00EB2B5B" w:rsidP="006322EB">
            <w:pPr>
              <w:pStyle w:val="CSRguidance"/>
              <w:spacing w:after="0"/>
              <w:jc w:val="center"/>
              <w:rPr>
                <w:i w:val="0"/>
                <w:color w:val="auto"/>
                <w:sz w:val="20"/>
              </w:rPr>
            </w:pPr>
          </w:p>
        </w:tc>
        <w:tc>
          <w:tcPr>
            <w:tcW w:w="508" w:type="pct"/>
            <w:vAlign w:val="center"/>
          </w:tcPr>
          <w:p w14:paraId="3FD01EFA" w14:textId="77777777" w:rsidR="00EB2B5B" w:rsidRPr="00543772" w:rsidRDefault="00EB2B5B" w:rsidP="006322EB">
            <w:pPr>
              <w:pStyle w:val="CSRguidance"/>
              <w:spacing w:after="0"/>
              <w:jc w:val="center"/>
              <w:rPr>
                <w:i w:val="0"/>
                <w:color w:val="auto"/>
                <w:sz w:val="20"/>
              </w:rPr>
            </w:pPr>
          </w:p>
        </w:tc>
        <w:tc>
          <w:tcPr>
            <w:tcW w:w="508" w:type="pct"/>
            <w:vAlign w:val="center"/>
          </w:tcPr>
          <w:p w14:paraId="2E414127" w14:textId="00ECE6DD" w:rsidR="00EB2B5B" w:rsidRPr="00543772" w:rsidRDefault="003E728F" w:rsidP="006322EB">
            <w:pPr>
              <w:pStyle w:val="CSRguidance"/>
              <w:spacing w:after="0"/>
              <w:jc w:val="center"/>
              <w:rPr>
                <w:i w:val="0"/>
                <w:color w:val="auto"/>
                <w:sz w:val="20"/>
              </w:rPr>
            </w:pPr>
            <w:r>
              <w:rPr>
                <w:i w:val="0"/>
                <w:color w:val="auto"/>
                <w:sz w:val="20"/>
              </w:rPr>
              <w:t>1</w:t>
            </w:r>
          </w:p>
        </w:tc>
        <w:tc>
          <w:tcPr>
            <w:tcW w:w="508" w:type="pct"/>
            <w:vAlign w:val="center"/>
          </w:tcPr>
          <w:p w14:paraId="186D30F7" w14:textId="77777777" w:rsidR="00EB2B5B" w:rsidRPr="00543772" w:rsidRDefault="00EB2B5B" w:rsidP="006322EB">
            <w:pPr>
              <w:pStyle w:val="CSRguidance"/>
              <w:spacing w:after="0"/>
              <w:jc w:val="center"/>
              <w:rPr>
                <w:i w:val="0"/>
                <w:color w:val="auto"/>
                <w:sz w:val="20"/>
              </w:rPr>
            </w:pPr>
          </w:p>
        </w:tc>
        <w:tc>
          <w:tcPr>
            <w:tcW w:w="886" w:type="pct"/>
            <w:shd w:val="clear" w:color="auto" w:fill="EEECE1" w:themeFill="background2"/>
          </w:tcPr>
          <w:p w14:paraId="386E3B8F" w14:textId="3D688E9D" w:rsidR="00EB2B5B" w:rsidRPr="00543772" w:rsidRDefault="003467A5" w:rsidP="006322EB">
            <w:pPr>
              <w:pStyle w:val="CSRguidance"/>
              <w:spacing w:after="0"/>
              <w:jc w:val="center"/>
              <w:rPr>
                <w:i w:val="0"/>
                <w:color w:val="auto"/>
                <w:sz w:val="20"/>
              </w:rPr>
            </w:pPr>
            <w:r>
              <w:rPr>
                <w:i w:val="0"/>
                <w:color w:val="auto"/>
                <w:sz w:val="20"/>
              </w:rPr>
              <w:t>1</w:t>
            </w:r>
          </w:p>
        </w:tc>
      </w:tr>
      <w:tr w:rsidR="003467A5" w:rsidRPr="00543772" w14:paraId="15352F7A" w14:textId="77777777" w:rsidTr="0022402A">
        <w:trPr>
          <w:trHeight w:val="227"/>
        </w:trPr>
        <w:tc>
          <w:tcPr>
            <w:tcW w:w="1065" w:type="pct"/>
            <w:vAlign w:val="center"/>
          </w:tcPr>
          <w:p w14:paraId="6871F14A" w14:textId="29289ADC" w:rsidR="003467A5" w:rsidRDefault="003467A5" w:rsidP="006322EB">
            <w:pPr>
              <w:pStyle w:val="CSRguidance"/>
              <w:spacing w:after="0"/>
              <w:rPr>
                <w:i w:val="0"/>
                <w:color w:val="auto"/>
                <w:sz w:val="20"/>
              </w:rPr>
            </w:pPr>
            <w:r>
              <w:rPr>
                <w:i w:val="0"/>
                <w:color w:val="auto"/>
                <w:sz w:val="20"/>
              </w:rPr>
              <w:t>Vulvovaginal pruritus</w:t>
            </w:r>
          </w:p>
        </w:tc>
        <w:tc>
          <w:tcPr>
            <w:tcW w:w="509" w:type="pct"/>
            <w:vAlign w:val="center"/>
          </w:tcPr>
          <w:p w14:paraId="764281FD" w14:textId="77777777" w:rsidR="003467A5" w:rsidRPr="00543772" w:rsidRDefault="003467A5" w:rsidP="006322EB">
            <w:pPr>
              <w:pStyle w:val="CSRguidance"/>
              <w:spacing w:after="0"/>
              <w:jc w:val="center"/>
              <w:rPr>
                <w:i w:val="0"/>
                <w:color w:val="auto"/>
                <w:sz w:val="20"/>
              </w:rPr>
            </w:pPr>
          </w:p>
        </w:tc>
        <w:tc>
          <w:tcPr>
            <w:tcW w:w="508" w:type="pct"/>
            <w:vAlign w:val="center"/>
          </w:tcPr>
          <w:p w14:paraId="7081CC81" w14:textId="77777777" w:rsidR="003467A5" w:rsidRPr="00543772" w:rsidRDefault="003467A5" w:rsidP="006322EB">
            <w:pPr>
              <w:pStyle w:val="CSRguidance"/>
              <w:spacing w:after="0"/>
              <w:jc w:val="center"/>
              <w:rPr>
                <w:i w:val="0"/>
                <w:color w:val="auto"/>
                <w:sz w:val="20"/>
              </w:rPr>
            </w:pPr>
          </w:p>
        </w:tc>
        <w:tc>
          <w:tcPr>
            <w:tcW w:w="508" w:type="pct"/>
            <w:vAlign w:val="center"/>
          </w:tcPr>
          <w:p w14:paraId="3E8F6BF9" w14:textId="77777777" w:rsidR="003467A5" w:rsidRPr="00543772" w:rsidRDefault="003467A5" w:rsidP="006322EB">
            <w:pPr>
              <w:pStyle w:val="CSRguidance"/>
              <w:spacing w:after="0"/>
              <w:jc w:val="center"/>
              <w:rPr>
                <w:i w:val="0"/>
                <w:color w:val="auto"/>
                <w:sz w:val="20"/>
              </w:rPr>
            </w:pPr>
          </w:p>
        </w:tc>
        <w:tc>
          <w:tcPr>
            <w:tcW w:w="508" w:type="pct"/>
            <w:vAlign w:val="center"/>
          </w:tcPr>
          <w:p w14:paraId="1F2DF3B8" w14:textId="77777777" w:rsidR="003467A5" w:rsidRPr="00543772" w:rsidRDefault="003467A5" w:rsidP="006322EB">
            <w:pPr>
              <w:pStyle w:val="CSRguidance"/>
              <w:spacing w:after="0"/>
              <w:jc w:val="center"/>
              <w:rPr>
                <w:i w:val="0"/>
                <w:color w:val="auto"/>
                <w:sz w:val="20"/>
              </w:rPr>
            </w:pPr>
          </w:p>
        </w:tc>
        <w:tc>
          <w:tcPr>
            <w:tcW w:w="508" w:type="pct"/>
            <w:vAlign w:val="center"/>
          </w:tcPr>
          <w:p w14:paraId="40EB9F87" w14:textId="1DDED773" w:rsidR="003467A5" w:rsidRPr="00543772" w:rsidRDefault="003E728F" w:rsidP="006322EB">
            <w:pPr>
              <w:pStyle w:val="CSRguidance"/>
              <w:spacing w:after="0"/>
              <w:jc w:val="center"/>
              <w:rPr>
                <w:i w:val="0"/>
                <w:color w:val="auto"/>
                <w:sz w:val="20"/>
              </w:rPr>
            </w:pPr>
            <w:r>
              <w:rPr>
                <w:i w:val="0"/>
                <w:color w:val="auto"/>
                <w:sz w:val="20"/>
              </w:rPr>
              <w:t>1</w:t>
            </w:r>
          </w:p>
        </w:tc>
        <w:tc>
          <w:tcPr>
            <w:tcW w:w="508" w:type="pct"/>
            <w:vAlign w:val="center"/>
          </w:tcPr>
          <w:p w14:paraId="2A53D509" w14:textId="77777777" w:rsidR="003467A5" w:rsidRPr="00543772" w:rsidRDefault="003467A5" w:rsidP="006322EB">
            <w:pPr>
              <w:pStyle w:val="CSRguidance"/>
              <w:spacing w:after="0"/>
              <w:jc w:val="center"/>
              <w:rPr>
                <w:i w:val="0"/>
                <w:color w:val="auto"/>
                <w:sz w:val="20"/>
              </w:rPr>
            </w:pPr>
          </w:p>
        </w:tc>
        <w:tc>
          <w:tcPr>
            <w:tcW w:w="886" w:type="pct"/>
            <w:shd w:val="clear" w:color="auto" w:fill="EEECE1" w:themeFill="background2"/>
          </w:tcPr>
          <w:p w14:paraId="6D208FAF" w14:textId="2184D95F" w:rsidR="003467A5" w:rsidRDefault="003467A5" w:rsidP="006322EB">
            <w:pPr>
              <w:pStyle w:val="CSRguidance"/>
              <w:spacing w:after="0"/>
              <w:jc w:val="center"/>
              <w:rPr>
                <w:i w:val="0"/>
                <w:color w:val="auto"/>
                <w:sz w:val="20"/>
              </w:rPr>
            </w:pPr>
            <w:r>
              <w:rPr>
                <w:i w:val="0"/>
                <w:color w:val="auto"/>
                <w:sz w:val="20"/>
              </w:rPr>
              <w:t>1</w:t>
            </w:r>
          </w:p>
        </w:tc>
      </w:tr>
      <w:tr w:rsidR="003B691B" w:rsidRPr="00543772" w14:paraId="40190BEB" w14:textId="77777777" w:rsidTr="0022402A">
        <w:trPr>
          <w:trHeight w:val="227"/>
        </w:trPr>
        <w:tc>
          <w:tcPr>
            <w:tcW w:w="1065" w:type="pct"/>
            <w:vAlign w:val="center"/>
          </w:tcPr>
          <w:p w14:paraId="51B16BF1" w14:textId="64AD3E1A" w:rsidR="003B691B" w:rsidRDefault="003B691B" w:rsidP="006322EB">
            <w:pPr>
              <w:pStyle w:val="CSRguidance"/>
              <w:spacing w:after="0"/>
              <w:rPr>
                <w:i w:val="0"/>
                <w:color w:val="auto"/>
                <w:sz w:val="20"/>
              </w:rPr>
            </w:pPr>
            <w:r>
              <w:rPr>
                <w:i w:val="0"/>
                <w:color w:val="auto"/>
                <w:sz w:val="20"/>
              </w:rPr>
              <w:t>White blood cell count decreased</w:t>
            </w:r>
          </w:p>
        </w:tc>
        <w:tc>
          <w:tcPr>
            <w:tcW w:w="509" w:type="pct"/>
            <w:vAlign w:val="center"/>
          </w:tcPr>
          <w:p w14:paraId="1E86D9FD" w14:textId="2DD18553" w:rsidR="003B691B" w:rsidRPr="00543772" w:rsidRDefault="0068546D" w:rsidP="006322EB">
            <w:pPr>
              <w:pStyle w:val="CSRguidance"/>
              <w:spacing w:after="0"/>
              <w:jc w:val="center"/>
              <w:rPr>
                <w:i w:val="0"/>
                <w:color w:val="auto"/>
                <w:sz w:val="20"/>
              </w:rPr>
            </w:pPr>
            <w:r>
              <w:rPr>
                <w:i w:val="0"/>
                <w:color w:val="auto"/>
                <w:sz w:val="20"/>
              </w:rPr>
              <w:t>1</w:t>
            </w:r>
            <w:r w:rsidRPr="0068546D">
              <w:rPr>
                <w:i w:val="0"/>
                <w:color w:val="auto"/>
                <w:sz w:val="20"/>
                <w:vertAlign w:val="superscript"/>
              </w:rPr>
              <w:t>a</w:t>
            </w:r>
          </w:p>
        </w:tc>
        <w:tc>
          <w:tcPr>
            <w:tcW w:w="508" w:type="pct"/>
            <w:vAlign w:val="center"/>
          </w:tcPr>
          <w:p w14:paraId="366585CB" w14:textId="77777777" w:rsidR="003B691B" w:rsidRPr="00543772" w:rsidRDefault="003B691B" w:rsidP="006322EB">
            <w:pPr>
              <w:pStyle w:val="CSRguidance"/>
              <w:spacing w:after="0"/>
              <w:jc w:val="center"/>
              <w:rPr>
                <w:i w:val="0"/>
                <w:color w:val="auto"/>
                <w:sz w:val="20"/>
              </w:rPr>
            </w:pPr>
          </w:p>
        </w:tc>
        <w:tc>
          <w:tcPr>
            <w:tcW w:w="508" w:type="pct"/>
            <w:vAlign w:val="center"/>
          </w:tcPr>
          <w:p w14:paraId="6FCA9024" w14:textId="77777777" w:rsidR="003B691B" w:rsidRPr="00543772" w:rsidRDefault="003B691B" w:rsidP="006322EB">
            <w:pPr>
              <w:pStyle w:val="CSRguidance"/>
              <w:spacing w:after="0"/>
              <w:jc w:val="center"/>
              <w:rPr>
                <w:i w:val="0"/>
                <w:color w:val="auto"/>
                <w:sz w:val="20"/>
              </w:rPr>
            </w:pPr>
          </w:p>
        </w:tc>
        <w:tc>
          <w:tcPr>
            <w:tcW w:w="508" w:type="pct"/>
            <w:vAlign w:val="center"/>
          </w:tcPr>
          <w:p w14:paraId="49089549" w14:textId="1EFD88AC" w:rsidR="003B691B" w:rsidRPr="00543772" w:rsidRDefault="003B691B" w:rsidP="006322EB">
            <w:pPr>
              <w:pStyle w:val="CSRguidance"/>
              <w:spacing w:after="0"/>
              <w:jc w:val="center"/>
              <w:rPr>
                <w:i w:val="0"/>
                <w:color w:val="auto"/>
                <w:sz w:val="20"/>
              </w:rPr>
            </w:pPr>
            <w:r>
              <w:rPr>
                <w:i w:val="0"/>
                <w:color w:val="auto"/>
                <w:sz w:val="20"/>
              </w:rPr>
              <w:t>1</w:t>
            </w:r>
            <w:r w:rsidRPr="003B691B">
              <w:rPr>
                <w:i w:val="0"/>
                <w:color w:val="auto"/>
                <w:sz w:val="20"/>
                <w:vertAlign w:val="superscript"/>
              </w:rPr>
              <w:t>a</w:t>
            </w:r>
          </w:p>
        </w:tc>
        <w:tc>
          <w:tcPr>
            <w:tcW w:w="508" w:type="pct"/>
            <w:vAlign w:val="center"/>
          </w:tcPr>
          <w:p w14:paraId="6953F40C" w14:textId="77777777" w:rsidR="003B691B" w:rsidRDefault="003B691B" w:rsidP="006322EB">
            <w:pPr>
              <w:pStyle w:val="CSRguidance"/>
              <w:spacing w:after="0"/>
              <w:jc w:val="center"/>
              <w:rPr>
                <w:i w:val="0"/>
                <w:color w:val="auto"/>
                <w:sz w:val="20"/>
              </w:rPr>
            </w:pPr>
          </w:p>
        </w:tc>
        <w:tc>
          <w:tcPr>
            <w:tcW w:w="508" w:type="pct"/>
            <w:vAlign w:val="center"/>
          </w:tcPr>
          <w:p w14:paraId="54C66B17" w14:textId="77777777" w:rsidR="003B691B" w:rsidRPr="00543772" w:rsidRDefault="003B691B" w:rsidP="006322EB">
            <w:pPr>
              <w:pStyle w:val="CSRguidance"/>
              <w:spacing w:after="0"/>
              <w:jc w:val="center"/>
              <w:rPr>
                <w:i w:val="0"/>
                <w:color w:val="auto"/>
                <w:sz w:val="20"/>
              </w:rPr>
            </w:pPr>
          </w:p>
        </w:tc>
        <w:tc>
          <w:tcPr>
            <w:tcW w:w="886" w:type="pct"/>
            <w:shd w:val="clear" w:color="auto" w:fill="EEECE1" w:themeFill="background2"/>
          </w:tcPr>
          <w:p w14:paraId="5B073F6C" w14:textId="4CF0F34B" w:rsidR="003B691B" w:rsidRDefault="00311F4C" w:rsidP="006322EB">
            <w:pPr>
              <w:pStyle w:val="CSRguidance"/>
              <w:spacing w:after="0"/>
              <w:jc w:val="center"/>
              <w:rPr>
                <w:i w:val="0"/>
                <w:color w:val="auto"/>
                <w:sz w:val="20"/>
              </w:rPr>
            </w:pPr>
            <w:r>
              <w:rPr>
                <w:i w:val="0"/>
                <w:color w:val="auto"/>
                <w:sz w:val="20"/>
              </w:rPr>
              <w:t>2</w:t>
            </w:r>
          </w:p>
        </w:tc>
      </w:tr>
    </w:tbl>
    <w:p w14:paraId="4EB79FD3" w14:textId="5DDDC7BF" w:rsidR="00EB2B5B" w:rsidRPr="00152C4B" w:rsidRDefault="00152C4B" w:rsidP="00152C4B">
      <w:pPr>
        <w:rPr>
          <w:rFonts w:ascii="Times New Roman" w:hAnsi="Times New Roman" w:cs="Times New Roman"/>
          <w:sz w:val="20"/>
          <w:szCs w:val="20"/>
        </w:rPr>
        <w:sectPr w:rsidR="00EB2B5B" w:rsidRPr="00152C4B" w:rsidSect="00EB2B5B">
          <w:pgSz w:w="16838" w:h="11906" w:orient="landscape"/>
          <w:pgMar w:top="1440" w:right="1440" w:bottom="1440" w:left="1440" w:header="709" w:footer="709" w:gutter="0"/>
          <w:cols w:space="708"/>
          <w:docGrid w:linePitch="360"/>
        </w:sectPr>
      </w:pPr>
      <w:proofErr w:type="spellStart"/>
      <w:proofErr w:type="gramStart"/>
      <w:r w:rsidRPr="00152C4B">
        <w:rPr>
          <w:rFonts w:ascii="Times New Roman" w:hAnsi="Times New Roman" w:cs="Times New Roman"/>
          <w:sz w:val="20"/>
          <w:szCs w:val="20"/>
          <w:vertAlign w:val="superscript"/>
        </w:rPr>
        <w:t>a</w:t>
      </w:r>
      <w:proofErr w:type="spellEnd"/>
      <w:proofErr w:type="gramEnd"/>
      <w:r>
        <w:rPr>
          <w:rFonts w:ascii="Times New Roman" w:hAnsi="Times New Roman" w:cs="Times New Roman"/>
          <w:sz w:val="20"/>
          <w:szCs w:val="20"/>
          <w:vertAlign w:val="superscript"/>
        </w:rPr>
        <w:t xml:space="preserve"> </w:t>
      </w:r>
      <w:r w:rsidR="00AA7BD2">
        <w:rPr>
          <w:rFonts w:ascii="Times New Roman" w:hAnsi="Times New Roman" w:cs="Times New Roman"/>
          <w:sz w:val="20"/>
          <w:szCs w:val="20"/>
        </w:rPr>
        <w:t>E</w:t>
      </w:r>
      <w:r w:rsidRPr="00152C4B">
        <w:rPr>
          <w:rFonts w:ascii="Times New Roman" w:hAnsi="Times New Roman" w:cs="Times New Roman"/>
          <w:sz w:val="20"/>
          <w:szCs w:val="20"/>
        </w:rPr>
        <w:t>vent</w:t>
      </w:r>
      <w:r w:rsidR="00AA7BD2">
        <w:rPr>
          <w:rFonts w:ascii="Times New Roman" w:hAnsi="Times New Roman" w:cs="Times New Roman"/>
          <w:sz w:val="20"/>
          <w:szCs w:val="20"/>
        </w:rPr>
        <w:t xml:space="preserve">/s of </w:t>
      </w:r>
      <w:r w:rsidRPr="00152C4B">
        <w:rPr>
          <w:rFonts w:ascii="Times New Roman" w:hAnsi="Times New Roman" w:cs="Times New Roman"/>
          <w:sz w:val="20"/>
          <w:szCs w:val="20"/>
        </w:rPr>
        <w:t>moderate (gr</w:t>
      </w:r>
      <w:r w:rsidR="00AA7BD2">
        <w:rPr>
          <w:rFonts w:ascii="Times New Roman" w:hAnsi="Times New Roman" w:cs="Times New Roman"/>
          <w:sz w:val="20"/>
          <w:szCs w:val="20"/>
        </w:rPr>
        <w:t xml:space="preserve">ade 2) </w:t>
      </w:r>
      <w:r>
        <w:rPr>
          <w:rFonts w:ascii="Times New Roman" w:hAnsi="Times New Roman" w:cs="Times New Roman"/>
          <w:sz w:val="20"/>
          <w:szCs w:val="20"/>
        </w:rPr>
        <w:t xml:space="preserve">intensity. </w:t>
      </w:r>
      <w:r w:rsidRPr="00152C4B">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One of the </w:t>
      </w:r>
      <w:r w:rsidRPr="00152C4B">
        <w:rPr>
          <w:rFonts w:ascii="Times New Roman" w:hAnsi="Times New Roman" w:cs="Times New Roman"/>
          <w:sz w:val="20"/>
          <w:szCs w:val="20"/>
        </w:rPr>
        <w:t>events moderate (grade 2) in intensity</w:t>
      </w:r>
      <w:r>
        <w:rPr>
          <w:rFonts w:ascii="Times New Roman" w:hAnsi="Times New Roman" w:cs="Times New Roman"/>
          <w:sz w:val="20"/>
          <w:szCs w:val="20"/>
        </w:rPr>
        <w:t xml:space="preserve">. </w:t>
      </w:r>
      <w:r w:rsidRPr="00152C4B">
        <w:rPr>
          <w:rFonts w:ascii="Times New Roman" w:hAnsi="Times New Roman" w:cs="Times New Roman"/>
          <w:sz w:val="20"/>
          <w:szCs w:val="20"/>
          <w:vertAlign w:val="superscript"/>
        </w:rPr>
        <w:t>c</w:t>
      </w:r>
      <w:r>
        <w:rPr>
          <w:rFonts w:ascii="Times New Roman" w:hAnsi="Times New Roman" w:cs="Times New Roman"/>
          <w:sz w:val="20"/>
          <w:szCs w:val="20"/>
        </w:rPr>
        <w:t xml:space="preserve"> Tw</w:t>
      </w:r>
      <w:r w:rsidR="00AA7BD2">
        <w:rPr>
          <w:rFonts w:ascii="Times New Roman" w:hAnsi="Times New Roman" w:cs="Times New Roman"/>
          <w:sz w:val="20"/>
          <w:szCs w:val="20"/>
        </w:rPr>
        <w:t xml:space="preserve">o of the events </w:t>
      </w:r>
      <w:r>
        <w:rPr>
          <w:rFonts w:ascii="Times New Roman" w:hAnsi="Times New Roman" w:cs="Times New Roman"/>
          <w:sz w:val="20"/>
          <w:szCs w:val="20"/>
        </w:rPr>
        <w:t xml:space="preserve">moderate (grade 2) in intensity. </w:t>
      </w:r>
      <w:r w:rsidR="0068546D" w:rsidRPr="0068546D">
        <w:rPr>
          <w:rFonts w:ascii="Times New Roman" w:hAnsi="Times New Roman" w:cs="Times New Roman"/>
          <w:sz w:val="20"/>
          <w:szCs w:val="20"/>
          <w:vertAlign w:val="superscript"/>
        </w:rPr>
        <w:t xml:space="preserve">d </w:t>
      </w:r>
      <w:r w:rsidR="0068546D">
        <w:rPr>
          <w:rFonts w:ascii="Times New Roman" w:hAnsi="Times New Roman" w:cs="Times New Roman"/>
          <w:sz w:val="20"/>
          <w:szCs w:val="20"/>
        </w:rPr>
        <w:t xml:space="preserve">Event of severe intensity. </w:t>
      </w:r>
    </w:p>
    <w:p w14:paraId="56BDBA8F" w14:textId="581ADB48" w:rsidR="00AF390F" w:rsidRPr="00393DBE" w:rsidRDefault="00393DBE" w:rsidP="006449AC">
      <w:pPr>
        <w:pStyle w:val="Heading1"/>
        <w:spacing w:after="200"/>
        <w:rPr>
          <w:rFonts w:ascii="Times New Roman" w:hAnsi="Times New Roman" w:cs="Times New Roman"/>
          <w:color w:val="auto"/>
          <w:sz w:val="22"/>
          <w:szCs w:val="22"/>
        </w:rPr>
      </w:pPr>
      <w:bookmarkStart w:id="4" w:name="_Toc98320999"/>
      <w:r w:rsidRPr="00393DBE">
        <w:rPr>
          <w:rFonts w:ascii="Times New Roman" w:hAnsi="Times New Roman" w:cs="Times New Roman"/>
          <w:b/>
          <w:color w:val="auto"/>
          <w:sz w:val="22"/>
          <w:szCs w:val="22"/>
        </w:rPr>
        <w:lastRenderedPageBreak/>
        <w:t>Text S1.</w:t>
      </w:r>
      <w:r>
        <w:rPr>
          <w:rFonts w:ascii="Times New Roman" w:hAnsi="Times New Roman" w:cs="Times New Roman"/>
          <w:color w:val="auto"/>
          <w:sz w:val="22"/>
          <w:szCs w:val="22"/>
        </w:rPr>
        <w:t xml:space="preserve"> </w:t>
      </w:r>
      <w:r w:rsidR="00FF2EE0" w:rsidRPr="00201970">
        <w:rPr>
          <w:rFonts w:ascii="Times New Roman" w:hAnsi="Times New Roman" w:cs="Times New Roman"/>
          <w:color w:val="auto"/>
          <w:sz w:val="22"/>
          <w:szCs w:val="22"/>
        </w:rPr>
        <w:t>Participant</w:t>
      </w:r>
      <w:r w:rsidR="00DF6BCB" w:rsidRPr="00201970">
        <w:rPr>
          <w:rFonts w:ascii="Times New Roman" w:hAnsi="Times New Roman" w:cs="Times New Roman"/>
          <w:color w:val="auto"/>
          <w:sz w:val="22"/>
          <w:szCs w:val="22"/>
        </w:rPr>
        <w:t xml:space="preserve"> eligibility </w:t>
      </w:r>
      <w:r w:rsidR="0033390A" w:rsidRPr="00201970">
        <w:rPr>
          <w:rFonts w:ascii="Times New Roman" w:hAnsi="Times New Roman" w:cs="Times New Roman"/>
          <w:color w:val="auto"/>
          <w:sz w:val="22"/>
          <w:szCs w:val="22"/>
        </w:rPr>
        <w:t xml:space="preserve">selection </w:t>
      </w:r>
      <w:r w:rsidR="00DF6BCB" w:rsidRPr="00201970">
        <w:rPr>
          <w:rFonts w:ascii="Times New Roman" w:hAnsi="Times New Roman" w:cs="Times New Roman"/>
          <w:color w:val="auto"/>
          <w:sz w:val="22"/>
          <w:szCs w:val="22"/>
        </w:rPr>
        <w:t>criteria</w:t>
      </w:r>
      <w:bookmarkEnd w:id="4"/>
    </w:p>
    <w:p w14:paraId="31D8E3B7" w14:textId="77777777" w:rsidR="00934140" w:rsidRPr="004C6EE2" w:rsidRDefault="00934140" w:rsidP="004C6EE2">
      <w:pPr>
        <w:pStyle w:val="CSRnormal"/>
        <w:rPr>
          <w:b/>
          <w:u w:val="single"/>
        </w:rPr>
      </w:pPr>
      <w:bookmarkStart w:id="5" w:name="_Toc329002902"/>
      <w:bookmarkStart w:id="6" w:name="_Toc536023942"/>
      <w:bookmarkStart w:id="7" w:name="_Ref85640921"/>
      <w:bookmarkStart w:id="8" w:name="_Ref85640932"/>
      <w:r w:rsidRPr="004C6EE2">
        <w:rPr>
          <w:b/>
          <w:u w:val="single"/>
        </w:rPr>
        <w:t>Inclusion Criteria</w:t>
      </w:r>
      <w:bookmarkEnd w:id="5"/>
      <w:bookmarkEnd w:id="6"/>
      <w:bookmarkEnd w:id="7"/>
      <w:bookmarkEnd w:id="8"/>
    </w:p>
    <w:p w14:paraId="68A4B4DA" w14:textId="1E1FC9A2" w:rsidR="00934140" w:rsidRPr="00934140" w:rsidRDefault="00934140" w:rsidP="00934140">
      <w:pPr>
        <w:keepNext/>
        <w:spacing w:after="120" w:line="240" w:lineRule="auto"/>
        <w:rPr>
          <w:rFonts w:ascii="Times New Roman" w:eastAsia="Calibri" w:hAnsi="Times New Roman" w:cs="Times New Roman"/>
        </w:rPr>
      </w:pPr>
      <w:r w:rsidRPr="00934140">
        <w:rPr>
          <w:rFonts w:ascii="Times New Roman" w:eastAsia="Calibri" w:hAnsi="Times New Roman" w:cs="Times New Roman"/>
        </w:rPr>
        <w:t xml:space="preserve">Volunteers who met all of the following criteria were eligible for inclusion in the study: </w:t>
      </w:r>
    </w:p>
    <w:p w14:paraId="11BAF314" w14:textId="77777777" w:rsidR="00934140" w:rsidRPr="00934140" w:rsidRDefault="00934140" w:rsidP="00934140">
      <w:pPr>
        <w:spacing w:after="0" w:line="240" w:lineRule="auto"/>
        <w:jc w:val="both"/>
        <w:rPr>
          <w:rFonts w:ascii="Times New Roman" w:eastAsia="Calibri" w:hAnsi="Times New Roman" w:cs="Times New Roman"/>
          <w:b/>
        </w:rPr>
      </w:pPr>
      <w:r w:rsidRPr="00934140">
        <w:rPr>
          <w:rFonts w:ascii="Times New Roman" w:eastAsia="Calibri" w:hAnsi="Times New Roman" w:cs="Times New Roman"/>
          <w:b/>
        </w:rPr>
        <w:t>Demography:</w:t>
      </w:r>
    </w:p>
    <w:p w14:paraId="4C0BFE9C" w14:textId="099E3527" w:rsidR="00934140" w:rsidRPr="00934140" w:rsidRDefault="00934140" w:rsidP="00934140">
      <w:pPr>
        <w:numPr>
          <w:ilvl w:val="0"/>
          <w:numId w:val="14"/>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 xml:space="preserve">Male or female (non-pregnant, non-lactating) aged 18 to 55 years inclusive who was contactable and available for the duration of the study and up to two weeks following the </w:t>
      </w:r>
      <w:r>
        <w:rPr>
          <w:rFonts w:ascii="Times New Roman" w:eastAsia="Calibri" w:hAnsi="Times New Roman" w:cs="Times New Roman"/>
        </w:rPr>
        <w:t>end of study</w:t>
      </w:r>
      <w:r w:rsidRPr="00934140">
        <w:rPr>
          <w:rFonts w:ascii="Times New Roman" w:eastAsia="Calibri" w:hAnsi="Times New Roman" w:cs="Times New Roman"/>
        </w:rPr>
        <w:t xml:space="preserve"> visit.</w:t>
      </w:r>
    </w:p>
    <w:p w14:paraId="0333974B" w14:textId="77777777" w:rsidR="00934140" w:rsidRPr="00934140" w:rsidRDefault="00934140" w:rsidP="00934140">
      <w:pPr>
        <w:numPr>
          <w:ilvl w:val="0"/>
          <w:numId w:val="14"/>
        </w:numPr>
        <w:spacing w:before="200" w:after="0" w:line="240" w:lineRule="auto"/>
        <w:ind w:left="714" w:hanging="357"/>
        <w:jc w:val="both"/>
        <w:rPr>
          <w:rFonts w:ascii="Times New Roman" w:eastAsia="Calibri" w:hAnsi="Times New Roman" w:cs="Times New Roman"/>
        </w:rPr>
      </w:pPr>
      <w:r w:rsidRPr="00934140">
        <w:rPr>
          <w:rFonts w:ascii="Times New Roman" w:eastAsia="Calibri" w:hAnsi="Times New Roman" w:cs="Times New Roman"/>
        </w:rPr>
        <w:t>Total body weight greater than or equal to 50 kg, and a body mass index (BMI) within the range of 18 to 32 kg/m</w:t>
      </w:r>
      <w:r w:rsidRPr="00934140">
        <w:rPr>
          <w:rFonts w:ascii="Times New Roman" w:eastAsia="Calibri" w:hAnsi="Times New Roman" w:cs="Times New Roman"/>
          <w:vertAlign w:val="superscript"/>
        </w:rPr>
        <w:t>2</w:t>
      </w:r>
      <w:r w:rsidRPr="00934140">
        <w:rPr>
          <w:rFonts w:ascii="Times New Roman" w:eastAsia="Calibri" w:hAnsi="Times New Roman" w:cs="Times New Roman"/>
        </w:rPr>
        <w:t xml:space="preserve"> (inclusive). BMI is an estimate of body weight adjusted for height. It is calculated by dividing the weight in kilograms by the square of the height in metres.</w:t>
      </w:r>
    </w:p>
    <w:p w14:paraId="6D3FCBF2" w14:textId="77777777" w:rsidR="00934140" w:rsidRPr="00934140" w:rsidRDefault="00934140" w:rsidP="00934140">
      <w:pPr>
        <w:spacing w:after="0" w:line="240" w:lineRule="auto"/>
        <w:rPr>
          <w:rFonts w:ascii="Times New Roman" w:eastAsia="Calibri" w:hAnsi="Times New Roman" w:cs="Times New Roman"/>
          <w:b/>
        </w:rPr>
      </w:pPr>
      <w:r w:rsidRPr="00934140">
        <w:rPr>
          <w:rFonts w:ascii="Times New Roman" w:eastAsia="Calibri" w:hAnsi="Times New Roman" w:cs="Times New Roman"/>
          <w:b/>
        </w:rPr>
        <w:t>Health status:</w:t>
      </w:r>
    </w:p>
    <w:p w14:paraId="437FE97E" w14:textId="77777777" w:rsidR="00934140" w:rsidRPr="00934140" w:rsidRDefault="00934140" w:rsidP="00934140">
      <w:pPr>
        <w:numPr>
          <w:ilvl w:val="0"/>
          <w:numId w:val="14"/>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Certified as healthy by a comprehensive clinical assessment (detailed medical history, complete physical examination and special investigations).</w:t>
      </w:r>
    </w:p>
    <w:p w14:paraId="1D2D6ACE" w14:textId="77777777" w:rsidR="00934140" w:rsidRPr="00934140" w:rsidRDefault="00934140" w:rsidP="00934140">
      <w:pPr>
        <w:numPr>
          <w:ilvl w:val="0"/>
          <w:numId w:val="14"/>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At least normal G6PD enzyme activity levels as defined by the parameters of the specific quantitative G6PD test employed at Screening.</w:t>
      </w:r>
    </w:p>
    <w:p w14:paraId="7267271E" w14:textId="77777777" w:rsidR="00934140" w:rsidRPr="00934140" w:rsidRDefault="00934140" w:rsidP="00934140">
      <w:pPr>
        <w:numPr>
          <w:ilvl w:val="0"/>
          <w:numId w:val="14"/>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lang w:val="en-GB"/>
        </w:rPr>
        <w:t>Vital</w:t>
      </w:r>
      <w:r w:rsidRPr="00934140">
        <w:rPr>
          <w:rFonts w:ascii="Times New Roman" w:eastAsia="Calibri" w:hAnsi="Times New Roman" w:cs="Times New Roman"/>
        </w:rPr>
        <w:t xml:space="preserve"> signs at screening and pre-inoculation (measured after five minutes in the supine position):</w:t>
      </w:r>
    </w:p>
    <w:p w14:paraId="7A549245" w14:textId="77777777" w:rsidR="00934140" w:rsidRPr="00934140" w:rsidRDefault="00934140" w:rsidP="00934140">
      <w:pPr>
        <w:numPr>
          <w:ilvl w:val="1"/>
          <w:numId w:val="15"/>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Systolic blood pressure (SBP) 90-140 mmHg,</w:t>
      </w:r>
    </w:p>
    <w:p w14:paraId="197C6252" w14:textId="77777777" w:rsidR="00934140" w:rsidRPr="00934140" w:rsidRDefault="00934140" w:rsidP="00934140">
      <w:pPr>
        <w:numPr>
          <w:ilvl w:val="1"/>
          <w:numId w:val="15"/>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Diastolic blood pressure (DBP) 40-90 mmHg,</w:t>
      </w:r>
    </w:p>
    <w:p w14:paraId="53D4A400" w14:textId="77777777" w:rsidR="00934140" w:rsidRPr="00934140" w:rsidRDefault="00934140" w:rsidP="00934140">
      <w:pPr>
        <w:numPr>
          <w:ilvl w:val="1"/>
          <w:numId w:val="15"/>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lang w:val="en-GB"/>
        </w:rPr>
        <w:t>Heart rate</w:t>
      </w:r>
      <w:r w:rsidRPr="00934140">
        <w:rPr>
          <w:rFonts w:ascii="Times New Roman" w:eastAsia="Calibri" w:hAnsi="Times New Roman" w:cs="Times New Roman"/>
        </w:rPr>
        <w:t xml:space="preserve"> (HR) 40-100 bpm.</w:t>
      </w:r>
    </w:p>
    <w:p w14:paraId="1FA48764" w14:textId="73ECC2A9" w:rsidR="00934140" w:rsidRPr="00934140" w:rsidRDefault="00934140" w:rsidP="00934140">
      <w:pPr>
        <w:numPr>
          <w:ilvl w:val="0"/>
          <w:numId w:val="14"/>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 xml:space="preserve">Electrocardiograph (ECG) ranges at screening and pre-inoculation: </w:t>
      </w:r>
      <w:proofErr w:type="spellStart"/>
      <w:r w:rsidRPr="00934140">
        <w:rPr>
          <w:rFonts w:ascii="Times New Roman" w:eastAsia="Calibri" w:hAnsi="Times New Roman" w:cs="Times New Roman"/>
        </w:rPr>
        <w:t>QTcF</w:t>
      </w:r>
      <w:proofErr w:type="spellEnd"/>
      <w:r w:rsidR="00AE3864">
        <w:rPr>
          <w:rFonts w:ascii="Times New Roman" w:eastAsia="Calibri" w:hAnsi="Times New Roman" w:cs="Times New Roman"/>
        </w:rPr>
        <w:t xml:space="preserve"> ≤450 </w:t>
      </w:r>
      <w:proofErr w:type="spellStart"/>
      <w:r w:rsidR="00AE3864">
        <w:rPr>
          <w:rFonts w:ascii="Times New Roman" w:eastAsia="Calibri" w:hAnsi="Times New Roman" w:cs="Times New Roman"/>
        </w:rPr>
        <w:t>ms</w:t>
      </w:r>
      <w:proofErr w:type="spellEnd"/>
      <w:r w:rsidR="00AE3864">
        <w:rPr>
          <w:rFonts w:ascii="Times New Roman" w:eastAsia="Calibri" w:hAnsi="Times New Roman" w:cs="Times New Roman"/>
        </w:rPr>
        <w:t xml:space="preserve"> for males</w:t>
      </w:r>
      <w:r w:rsidRPr="00934140">
        <w:rPr>
          <w:rFonts w:ascii="Times New Roman" w:eastAsia="Calibri" w:hAnsi="Times New Roman" w:cs="Times New Roman"/>
        </w:rPr>
        <w:t xml:space="preserve">, </w:t>
      </w:r>
      <w:proofErr w:type="spellStart"/>
      <w:r w:rsidRPr="00934140">
        <w:rPr>
          <w:rFonts w:ascii="Times New Roman" w:eastAsia="Calibri" w:hAnsi="Times New Roman" w:cs="Times New Roman"/>
        </w:rPr>
        <w:t>QTcF</w:t>
      </w:r>
      <w:proofErr w:type="spellEnd"/>
      <w:r w:rsidR="00AE3864">
        <w:rPr>
          <w:rFonts w:ascii="Times New Roman" w:eastAsia="Calibri" w:hAnsi="Times New Roman" w:cs="Times New Roman"/>
        </w:rPr>
        <w:t xml:space="preserve"> ≤470 </w:t>
      </w:r>
      <w:proofErr w:type="spellStart"/>
      <w:r w:rsidR="00AE3864">
        <w:rPr>
          <w:rFonts w:ascii="Times New Roman" w:eastAsia="Calibri" w:hAnsi="Times New Roman" w:cs="Times New Roman"/>
        </w:rPr>
        <w:t>ms</w:t>
      </w:r>
      <w:proofErr w:type="spellEnd"/>
      <w:r w:rsidR="00AE3864">
        <w:rPr>
          <w:rFonts w:ascii="Times New Roman" w:eastAsia="Calibri" w:hAnsi="Times New Roman" w:cs="Times New Roman"/>
        </w:rPr>
        <w:t xml:space="preserve"> for females</w:t>
      </w:r>
      <w:r w:rsidRPr="00934140">
        <w:rPr>
          <w:rFonts w:ascii="Times New Roman" w:eastAsia="Calibri" w:hAnsi="Times New Roman" w:cs="Times New Roman"/>
        </w:rPr>
        <w:t xml:space="preserve">, and PR interval ≤210 </w:t>
      </w:r>
      <w:proofErr w:type="spellStart"/>
      <w:r w:rsidRPr="00934140">
        <w:rPr>
          <w:rFonts w:ascii="Times New Roman" w:eastAsia="Calibri" w:hAnsi="Times New Roman" w:cs="Times New Roman"/>
        </w:rPr>
        <w:t>ms</w:t>
      </w:r>
      <w:proofErr w:type="spellEnd"/>
      <w:r w:rsidRPr="00934140">
        <w:rPr>
          <w:rFonts w:ascii="Times New Roman" w:eastAsia="Calibri" w:hAnsi="Times New Roman" w:cs="Times New Roman"/>
        </w:rPr>
        <w:t>.</w:t>
      </w:r>
    </w:p>
    <w:p w14:paraId="05EAD6AE" w14:textId="5F09211A" w:rsidR="00934140" w:rsidRPr="00934140" w:rsidRDefault="00934140" w:rsidP="00934140">
      <w:pPr>
        <w:numPr>
          <w:ilvl w:val="0"/>
          <w:numId w:val="14"/>
        </w:numPr>
        <w:spacing w:before="200" w:after="0" w:line="240" w:lineRule="auto"/>
        <w:ind w:left="714" w:hanging="357"/>
        <w:jc w:val="both"/>
        <w:rPr>
          <w:rFonts w:ascii="Times New Roman" w:eastAsia="Calibri" w:hAnsi="Times New Roman" w:cs="Times New Roman"/>
        </w:rPr>
      </w:pPr>
      <w:r w:rsidRPr="00934140">
        <w:rPr>
          <w:rFonts w:ascii="Times New Roman" w:eastAsia="Calibri" w:hAnsi="Times New Roman" w:cs="Times New Roman"/>
        </w:rPr>
        <w:t>F</w:t>
      </w:r>
      <w:r w:rsidR="00AE3864">
        <w:rPr>
          <w:rFonts w:ascii="Times New Roman" w:eastAsia="Calibri" w:hAnsi="Times New Roman" w:cs="Times New Roman"/>
        </w:rPr>
        <w:t>emale volunteers</w:t>
      </w:r>
      <w:r w:rsidRPr="00934140">
        <w:rPr>
          <w:rFonts w:ascii="Times New Roman" w:eastAsia="Calibri" w:hAnsi="Times New Roman" w:cs="Times New Roman"/>
        </w:rPr>
        <w:t xml:space="preserve"> of childbearing potential who had, or may have had, male sexual partner(s) during the course of the study were to use an insertable (implant and IUD, injectable, transdermal or combination oral contraceptive approved by the </w:t>
      </w:r>
      <w:r w:rsidR="0033390A">
        <w:rPr>
          <w:rFonts w:ascii="Times New Roman" w:eastAsia="Calibri" w:hAnsi="Times New Roman" w:cs="Times New Roman"/>
        </w:rPr>
        <w:t xml:space="preserve">Australian </w:t>
      </w:r>
      <w:r>
        <w:rPr>
          <w:rFonts w:ascii="Times New Roman" w:eastAsia="Calibri" w:hAnsi="Times New Roman" w:cs="Times New Roman"/>
        </w:rPr>
        <w:t>Therapeutic Goods Administration (</w:t>
      </w:r>
      <w:r w:rsidRPr="00934140">
        <w:rPr>
          <w:rFonts w:ascii="Times New Roman" w:eastAsia="Calibri" w:hAnsi="Times New Roman" w:cs="Times New Roman"/>
        </w:rPr>
        <w:t>TGA</w:t>
      </w:r>
      <w:r>
        <w:rPr>
          <w:rFonts w:ascii="Times New Roman" w:eastAsia="Calibri" w:hAnsi="Times New Roman" w:cs="Times New Roman"/>
        </w:rPr>
        <w:t>)</w:t>
      </w:r>
      <w:r w:rsidRPr="00934140">
        <w:rPr>
          <w:rFonts w:ascii="Times New Roman" w:eastAsia="Calibri" w:hAnsi="Times New Roman" w:cs="Times New Roman"/>
        </w:rPr>
        <w:t xml:space="preserve"> combined with a barrier contraceptive from the day of informed consent through to 90 days after the last dose of </w:t>
      </w:r>
      <w:r>
        <w:rPr>
          <w:rFonts w:ascii="Times New Roman" w:eastAsia="Calibri" w:hAnsi="Times New Roman" w:cs="Times New Roman"/>
        </w:rPr>
        <w:t>tafenoquine</w:t>
      </w:r>
      <w:r w:rsidRPr="00934140">
        <w:rPr>
          <w:rFonts w:ascii="Times New Roman" w:eastAsia="Calibri" w:hAnsi="Times New Roman" w:cs="Times New Roman"/>
        </w:rPr>
        <w:t>. Abstinent female</w:t>
      </w:r>
      <w:r w:rsidR="00AE3864">
        <w:rPr>
          <w:rFonts w:ascii="Times New Roman" w:eastAsia="Calibri" w:hAnsi="Times New Roman" w:cs="Times New Roman"/>
        </w:rPr>
        <w:t xml:space="preserve">s </w:t>
      </w:r>
      <w:r w:rsidRPr="00934140">
        <w:rPr>
          <w:rFonts w:ascii="Times New Roman" w:eastAsia="Calibri" w:hAnsi="Times New Roman" w:cs="Times New Roman"/>
        </w:rPr>
        <w:t xml:space="preserve">were to agree to start a double method if they started a sexual relationship with a male during the study. Adequate contraception did not apply to </w:t>
      </w:r>
      <w:r w:rsidR="00AE3864">
        <w:rPr>
          <w:rFonts w:ascii="Times New Roman" w:eastAsia="Calibri" w:hAnsi="Times New Roman" w:cs="Times New Roman"/>
        </w:rPr>
        <w:t>volunteers</w:t>
      </w:r>
      <w:r w:rsidRPr="00934140">
        <w:rPr>
          <w:rFonts w:ascii="Times New Roman" w:eastAsia="Calibri" w:hAnsi="Times New Roman" w:cs="Times New Roman"/>
        </w:rPr>
        <w:t xml:space="preserve"> of childbearing potential with same sex partners (abstinence from penile-vaginal intercourse), when this was their preferred and usual lifestyle. Female</w:t>
      </w:r>
      <w:r w:rsidR="00AE3864">
        <w:rPr>
          <w:rFonts w:ascii="Times New Roman" w:eastAsia="Calibri" w:hAnsi="Times New Roman" w:cs="Times New Roman"/>
        </w:rPr>
        <w:t>s</w:t>
      </w:r>
      <w:r w:rsidRPr="00934140">
        <w:rPr>
          <w:rFonts w:ascii="Times New Roman" w:eastAsia="Calibri" w:hAnsi="Times New Roman" w:cs="Times New Roman"/>
        </w:rPr>
        <w:t xml:space="preserve"> must not have been planning </w:t>
      </w:r>
      <w:r w:rsidRPr="00934140">
        <w:rPr>
          <w:rFonts w:ascii="Times New Roman" w:eastAsia="Calibri" w:hAnsi="Times New Roman" w:cs="Times New Roman"/>
          <w:i/>
        </w:rPr>
        <w:t>in vitro</w:t>
      </w:r>
      <w:r w:rsidRPr="00934140">
        <w:rPr>
          <w:rFonts w:ascii="Times New Roman" w:eastAsia="Calibri" w:hAnsi="Times New Roman" w:cs="Times New Roman"/>
        </w:rPr>
        <w:t xml:space="preserve"> fertilisation within the required contraception period.</w:t>
      </w:r>
    </w:p>
    <w:p w14:paraId="1D3A9267" w14:textId="70F58E55" w:rsidR="00934140" w:rsidRPr="00934140" w:rsidRDefault="00934140" w:rsidP="00934140">
      <w:pPr>
        <w:spacing w:after="0" w:line="240" w:lineRule="auto"/>
        <w:ind w:left="714"/>
        <w:jc w:val="both"/>
        <w:rPr>
          <w:rFonts w:ascii="Times New Roman" w:eastAsia="Calibri" w:hAnsi="Times New Roman" w:cs="Times New Roman"/>
        </w:rPr>
      </w:pPr>
      <w:r w:rsidRPr="00934140">
        <w:rPr>
          <w:rFonts w:ascii="Times New Roman" w:eastAsia="Calibri" w:hAnsi="Times New Roman" w:cs="Times New Roman"/>
        </w:rPr>
        <w:t>Women of non-childbearing potential who did not require contraception during the study were defined as: surg</w:t>
      </w:r>
      <w:r>
        <w:rPr>
          <w:rFonts w:ascii="Times New Roman" w:eastAsia="Calibri" w:hAnsi="Times New Roman" w:cs="Times New Roman"/>
        </w:rPr>
        <w:t>ically sterile (tubal ligation wa</w:t>
      </w:r>
      <w:r w:rsidRPr="00934140">
        <w:rPr>
          <w:rFonts w:ascii="Times New Roman" w:eastAsia="Calibri" w:hAnsi="Times New Roman" w:cs="Times New Roman"/>
        </w:rPr>
        <w:t>s not considered surgically sterile), post-menopausal (spontaneous amenorrhoea for ≥12 months, or spontaneous amenorrhoea for 6-12 months and follicle-stimulating hormone (FSH) ≥40 IU/mL; either was to be together with the absence of oral contraceptive use for &gt;12 months).</w:t>
      </w:r>
    </w:p>
    <w:p w14:paraId="6B0F2DF1" w14:textId="77777777" w:rsidR="00934140" w:rsidRPr="00934140" w:rsidRDefault="00934140" w:rsidP="00934140">
      <w:pPr>
        <w:spacing w:after="0" w:line="240" w:lineRule="auto"/>
        <w:ind w:left="714"/>
        <w:jc w:val="both"/>
        <w:rPr>
          <w:rFonts w:ascii="Times New Roman" w:eastAsia="Calibri" w:hAnsi="Times New Roman" w:cs="Times New Roman"/>
        </w:rPr>
      </w:pPr>
    </w:p>
    <w:p w14:paraId="40625D0E" w14:textId="3ABE2144" w:rsidR="00934140" w:rsidRPr="00934140" w:rsidRDefault="00AE3864" w:rsidP="00934140">
      <w:pPr>
        <w:spacing w:after="0" w:line="240" w:lineRule="auto"/>
        <w:ind w:left="720"/>
        <w:jc w:val="both"/>
        <w:rPr>
          <w:rFonts w:ascii="Times New Roman" w:eastAsia="Calibri" w:hAnsi="Times New Roman" w:cs="Times New Roman"/>
        </w:rPr>
      </w:pPr>
      <w:r>
        <w:rPr>
          <w:rFonts w:ascii="Times New Roman" w:eastAsia="Calibri" w:hAnsi="Times New Roman" w:cs="Times New Roman"/>
        </w:rPr>
        <w:t>Male volunteer</w:t>
      </w:r>
      <w:r w:rsidR="00934140" w:rsidRPr="00934140">
        <w:rPr>
          <w:rFonts w:ascii="Times New Roman" w:eastAsia="Calibri" w:hAnsi="Times New Roman" w:cs="Times New Roman"/>
        </w:rPr>
        <w:t xml:space="preserve">s who had, or may have had, female sexual partner(s) during the course of the study were to agree to use a double method of contraception including condom plus diaphragm, or condom plus insertable device, or condom plus stable oral/transdermal/injectable hormonal contraceptive by the female partner, from the time of informed consent through to 90 days after the last dose of </w:t>
      </w:r>
      <w:r w:rsidR="00934140">
        <w:rPr>
          <w:rFonts w:ascii="Times New Roman" w:eastAsia="Calibri" w:hAnsi="Times New Roman" w:cs="Times New Roman"/>
        </w:rPr>
        <w:t>tafenoquine</w:t>
      </w:r>
      <w:r w:rsidR="00934140" w:rsidRPr="00934140">
        <w:rPr>
          <w:rFonts w:ascii="Times New Roman" w:eastAsia="Calibri" w:hAnsi="Times New Roman" w:cs="Times New Roman"/>
        </w:rPr>
        <w:t>. Abstinent male</w:t>
      </w:r>
      <w:r>
        <w:rPr>
          <w:rFonts w:ascii="Times New Roman" w:eastAsia="Calibri" w:hAnsi="Times New Roman" w:cs="Times New Roman"/>
        </w:rPr>
        <w:t xml:space="preserve">s </w:t>
      </w:r>
      <w:r w:rsidR="00934140" w:rsidRPr="00934140">
        <w:rPr>
          <w:rFonts w:ascii="Times New Roman" w:eastAsia="Calibri" w:hAnsi="Times New Roman" w:cs="Times New Roman"/>
        </w:rPr>
        <w:t xml:space="preserve">were to start a double method if they started a sexual relationship with a female during the study, and through to 90 days after the last dose of </w:t>
      </w:r>
      <w:r w:rsidR="00934140">
        <w:rPr>
          <w:rFonts w:ascii="Times New Roman" w:eastAsia="Calibri" w:hAnsi="Times New Roman" w:cs="Times New Roman"/>
        </w:rPr>
        <w:t>tafenoquine</w:t>
      </w:r>
      <w:r>
        <w:rPr>
          <w:rFonts w:ascii="Times New Roman" w:eastAsia="Calibri" w:hAnsi="Times New Roman" w:cs="Times New Roman"/>
        </w:rPr>
        <w:t>. Male volunteers</w:t>
      </w:r>
      <w:r w:rsidR="00934140" w:rsidRPr="00934140">
        <w:rPr>
          <w:rFonts w:ascii="Times New Roman" w:eastAsia="Calibri" w:hAnsi="Times New Roman" w:cs="Times New Roman"/>
        </w:rPr>
        <w:t xml:space="preserve"> with female partners that were surgically st</w:t>
      </w:r>
      <w:r>
        <w:rPr>
          <w:rFonts w:ascii="Times New Roman" w:eastAsia="Calibri" w:hAnsi="Times New Roman" w:cs="Times New Roman"/>
        </w:rPr>
        <w:t>erile, or males</w:t>
      </w:r>
      <w:r w:rsidR="00934140" w:rsidRPr="00934140">
        <w:rPr>
          <w:rFonts w:ascii="Times New Roman" w:eastAsia="Calibri" w:hAnsi="Times New Roman" w:cs="Times New Roman"/>
        </w:rPr>
        <w:t xml:space="preserve"> who had undergone sterilisation and had testing to confirm the success of the sterilisation may have also been included.</w:t>
      </w:r>
    </w:p>
    <w:p w14:paraId="1898A826" w14:textId="77777777" w:rsidR="00934140" w:rsidRPr="00934140" w:rsidRDefault="00934140" w:rsidP="00934140">
      <w:pPr>
        <w:spacing w:after="0" w:line="240" w:lineRule="auto"/>
        <w:ind w:left="720"/>
        <w:jc w:val="both"/>
        <w:rPr>
          <w:rFonts w:ascii="Times New Roman" w:eastAsia="Calibri" w:hAnsi="Times New Roman" w:cs="Times New Roman"/>
        </w:rPr>
      </w:pPr>
    </w:p>
    <w:p w14:paraId="337766EA" w14:textId="77777777" w:rsidR="00934140" w:rsidRPr="00934140" w:rsidRDefault="00934140" w:rsidP="00934140">
      <w:pPr>
        <w:spacing w:after="0" w:line="240" w:lineRule="auto"/>
        <w:rPr>
          <w:rFonts w:ascii="Times New Roman" w:eastAsia="Calibri" w:hAnsi="Times New Roman" w:cs="Times New Roman"/>
          <w:b/>
        </w:rPr>
      </w:pPr>
      <w:r w:rsidRPr="00934140">
        <w:rPr>
          <w:rFonts w:ascii="Times New Roman" w:eastAsia="Calibri" w:hAnsi="Times New Roman" w:cs="Times New Roman"/>
          <w:b/>
        </w:rPr>
        <w:t>Regulations:</w:t>
      </w:r>
    </w:p>
    <w:p w14:paraId="06B3DFD3" w14:textId="77777777" w:rsidR="00934140" w:rsidRPr="00934140" w:rsidRDefault="00934140" w:rsidP="00934140">
      <w:pPr>
        <w:numPr>
          <w:ilvl w:val="0"/>
          <w:numId w:val="14"/>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Completion of the written informed consent process prior to undertaking any study-related procedure.</w:t>
      </w:r>
    </w:p>
    <w:p w14:paraId="3D9E59B3" w14:textId="77777777" w:rsidR="00934140" w:rsidRPr="00934140" w:rsidRDefault="00934140" w:rsidP="00934140">
      <w:pPr>
        <w:numPr>
          <w:ilvl w:val="0"/>
          <w:numId w:val="14"/>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lastRenderedPageBreak/>
        <w:t>Must have been willing and able to communicate and participate in the whole study.</w:t>
      </w:r>
    </w:p>
    <w:p w14:paraId="7EE3FCC5" w14:textId="5C9B1500" w:rsidR="00934140" w:rsidRPr="00934140" w:rsidRDefault="00934140" w:rsidP="00934140">
      <w:pPr>
        <w:numPr>
          <w:ilvl w:val="0"/>
          <w:numId w:val="14"/>
        </w:numPr>
        <w:spacing w:before="200" w:after="0" w:line="240" w:lineRule="auto"/>
        <w:contextualSpacing/>
        <w:jc w:val="both"/>
        <w:rPr>
          <w:rFonts w:ascii="Times New Roman" w:eastAsia="Calibri" w:hAnsi="Times New Roman" w:cs="Times New Roman"/>
        </w:rPr>
      </w:pPr>
      <w:r>
        <w:rPr>
          <w:rFonts w:ascii="Times New Roman" w:eastAsia="Calibri" w:hAnsi="Times New Roman" w:cs="Times New Roman"/>
        </w:rPr>
        <w:t>Agreement to adhere to the lifestyle considerations specified in the study protocol</w:t>
      </w:r>
      <w:r w:rsidRPr="00934140">
        <w:rPr>
          <w:rFonts w:ascii="Times New Roman" w:eastAsia="Calibri" w:hAnsi="Times New Roman" w:cs="Times New Roman"/>
        </w:rPr>
        <w:t xml:space="preserve"> throughout </w:t>
      </w:r>
      <w:r>
        <w:rPr>
          <w:rFonts w:ascii="Times New Roman" w:eastAsia="Calibri" w:hAnsi="Times New Roman" w:cs="Times New Roman"/>
        </w:rPr>
        <w:t xml:space="preserve">the </w:t>
      </w:r>
      <w:r w:rsidRPr="00934140">
        <w:rPr>
          <w:rFonts w:ascii="Times New Roman" w:eastAsia="Calibri" w:hAnsi="Times New Roman" w:cs="Times New Roman"/>
        </w:rPr>
        <w:t>study duration.</w:t>
      </w:r>
    </w:p>
    <w:p w14:paraId="2076BEA5" w14:textId="77777777" w:rsidR="00934140" w:rsidRDefault="00934140" w:rsidP="00934140">
      <w:pPr>
        <w:keepNext/>
        <w:numPr>
          <w:ilvl w:val="2"/>
          <w:numId w:val="0"/>
        </w:numPr>
        <w:spacing w:before="120" w:after="120" w:line="240" w:lineRule="auto"/>
        <w:ind w:left="360" w:hanging="360"/>
        <w:contextualSpacing/>
        <w:outlineLvl w:val="2"/>
        <w:rPr>
          <w:rFonts w:ascii="Times New Roman" w:eastAsia="Calibri" w:hAnsi="Times New Roman" w:cs="Times New Roman"/>
          <w:b/>
          <w:sz w:val="24"/>
          <w:szCs w:val="20"/>
        </w:rPr>
      </w:pPr>
      <w:bookmarkStart w:id="9" w:name="_Toc329002903"/>
      <w:bookmarkStart w:id="10" w:name="_Toc536023943"/>
      <w:bookmarkStart w:id="11" w:name="_Ref85640940"/>
    </w:p>
    <w:p w14:paraId="0B64FC1E" w14:textId="4AA7BFD2" w:rsidR="00934140" w:rsidRPr="004C6EE2" w:rsidRDefault="00934140" w:rsidP="004C6EE2">
      <w:pPr>
        <w:pStyle w:val="CSRnormal"/>
        <w:rPr>
          <w:b/>
          <w:u w:val="single"/>
        </w:rPr>
      </w:pPr>
      <w:r w:rsidRPr="004C6EE2">
        <w:rPr>
          <w:b/>
          <w:u w:val="single"/>
        </w:rPr>
        <w:t>Exclusion Criteria</w:t>
      </w:r>
      <w:bookmarkEnd w:id="9"/>
      <w:bookmarkEnd w:id="10"/>
      <w:bookmarkEnd w:id="11"/>
    </w:p>
    <w:p w14:paraId="3C28C9C4" w14:textId="3E5349A9" w:rsidR="00934140" w:rsidRPr="0033390A" w:rsidRDefault="00934140" w:rsidP="00934140">
      <w:pPr>
        <w:keepNext/>
        <w:spacing w:after="120" w:line="240" w:lineRule="auto"/>
        <w:rPr>
          <w:rFonts w:ascii="Times New Roman" w:eastAsia="Calibri" w:hAnsi="Times New Roman" w:cs="Times New Roman"/>
        </w:rPr>
      </w:pPr>
      <w:r w:rsidRPr="0033390A">
        <w:rPr>
          <w:rFonts w:ascii="Times New Roman" w:eastAsia="Calibri" w:hAnsi="Times New Roman" w:cs="Times New Roman"/>
        </w:rPr>
        <w:t>Volunteers who met any of the following criteria were not eligible for inclusion in the study:</w:t>
      </w:r>
    </w:p>
    <w:p w14:paraId="03D126E5" w14:textId="77777777" w:rsidR="00934140" w:rsidRPr="00934140" w:rsidRDefault="00934140" w:rsidP="00934140">
      <w:pPr>
        <w:spacing w:after="0" w:line="240" w:lineRule="auto"/>
        <w:rPr>
          <w:rFonts w:ascii="Times New Roman" w:eastAsia="Calibri" w:hAnsi="Times New Roman" w:cs="Times New Roman"/>
          <w:b/>
        </w:rPr>
      </w:pPr>
      <w:r w:rsidRPr="00934140">
        <w:rPr>
          <w:rFonts w:ascii="Times New Roman" w:eastAsia="Calibri" w:hAnsi="Times New Roman" w:cs="Times New Roman"/>
          <w:b/>
        </w:rPr>
        <w:t>Medical history and clinical status:</w:t>
      </w:r>
    </w:p>
    <w:p w14:paraId="09CDC5A2" w14:textId="58A9CB59" w:rsidR="00934140" w:rsidRPr="00934140" w:rsidRDefault="00474478" w:rsidP="00934140">
      <w:pPr>
        <w:numPr>
          <w:ilvl w:val="0"/>
          <w:numId w:val="16"/>
        </w:numPr>
        <w:spacing w:before="200" w:after="0" w:line="240" w:lineRule="auto"/>
        <w:contextualSpacing/>
        <w:jc w:val="both"/>
        <w:rPr>
          <w:rFonts w:ascii="Times New Roman" w:eastAsia="Calibri" w:hAnsi="Times New Roman" w:cs="Times New Roman"/>
        </w:rPr>
      </w:pPr>
      <w:r>
        <w:rPr>
          <w:rFonts w:ascii="Times New Roman" w:eastAsia="Calibri" w:hAnsi="Times New Roman" w:cs="Times New Roman"/>
        </w:rPr>
        <w:t>Volunteer who lives</w:t>
      </w:r>
      <w:r w:rsidR="00934140" w:rsidRPr="00934140">
        <w:rPr>
          <w:rFonts w:ascii="Times New Roman" w:eastAsia="Calibri" w:hAnsi="Times New Roman" w:cs="Times New Roman"/>
        </w:rPr>
        <w:t xml:space="preserve"> alone (</w:t>
      </w:r>
      <w:r w:rsidR="00934140" w:rsidRPr="00934140">
        <w:rPr>
          <w:rFonts w:ascii="Times New Roman" w:eastAsia="Calibri" w:hAnsi="Times New Roman" w:cs="Times New Roman"/>
          <w:szCs w:val="20"/>
          <w:lang w:val="en-GB"/>
        </w:rPr>
        <w:t xml:space="preserve">at any stage from inoculation day until the end of </w:t>
      </w:r>
      <w:r>
        <w:rPr>
          <w:rFonts w:ascii="Times New Roman" w:eastAsia="Calibri" w:hAnsi="Times New Roman" w:cs="Times New Roman"/>
          <w:szCs w:val="20"/>
          <w:lang w:val="en-GB"/>
        </w:rPr>
        <w:t>the study</w:t>
      </w:r>
      <w:r w:rsidR="00934140" w:rsidRPr="00934140">
        <w:rPr>
          <w:rFonts w:ascii="Times New Roman" w:eastAsia="Calibri" w:hAnsi="Times New Roman" w:cs="Times New Roman"/>
          <w:szCs w:val="20"/>
          <w:lang w:val="en-GB"/>
        </w:rPr>
        <w:t xml:space="preserve">). </w:t>
      </w:r>
      <w:r>
        <w:rPr>
          <w:rFonts w:ascii="Times New Roman" w:eastAsia="Calibri" w:hAnsi="Times New Roman" w:cs="Times New Roman"/>
          <w:szCs w:val="20"/>
          <w:lang w:val="en-GB"/>
        </w:rPr>
        <w:t>Volunteers</w:t>
      </w:r>
      <w:r w:rsidR="00934140" w:rsidRPr="00934140">
        <w:rPr>
          <w:rFonts w:ascii="Times New Roman" w:eastAsia="Calibri" w:hAnsi="Times New Roman" w:cs="Times New Roman"/>
          <w:szCs w:val="20"/>
          <w:lang w:val="en-GB"/>
        </w:rPr>
        <w:t xml:space="preserve"> who lived alone may have been included on a case-by-case basis, following discussion with the Principal Investigator and with a</w:t>
      </w:r>
      <w:r>
        <w:rPr>
          <w:rFonts w:ascii="Times New Roman" w:eastAsia="Calibri" w:hAnsi="Times New Roman" w:cs="Times New Roman"/>
          <w:szCs w:val="20"/>
          <w:lang w:val="en-GB"/>
        </w:rPr>
        <w:t>pproval of the Medical Monitor.</w:t>
      </w:r>
      <w:r w:rsidR="00934140" w:rsidRPr="00934140">
        <w:rPr>
          <w:rFonts w:ascii="Times New Roman" w:eastAsia="Calibri" w:hAnsi="Times New Roman" w:cs="Times New Roman"/>
          <w:szCs w:val="20"/>
          <w:lang w:val="en-GB"/>
        </w:rPr>
        <w:t xml:space="preserve"> </w:t>
      </w:r>
      <w:r>
        <w:rPr>
          <w:rFonts w:ascii="Times New Roman" w:eastAsia="Calibri" w:hAnsi="Times New Roman" w:cs="Times New Roman"/>
          <w:szCs w:val="20"/>
          <w:lang w:val="en-GB"/>
        </w:rPr>
        <w:t>Volunteers</w:t>
      </w:r>
      <w:r w:rsidR="00934140" w:rsidRPr="00934140">
        <w:rPr>
          <w:rFonts w:ascii="Times New Roman" w:eastAsia="Calibri" w:hAnsi="Times New Roman" w:cs="Times New Roman"/>
          <w:szCs w:val="20"/>
          <w:lang w:val="en-GB"/>
        </w:rPr>
        <w:t xml:space="preserve"> who lived alone must have identified and provided contact details of a support person who was aware of the </w:t>
      </w:r>
      <w:r>
        <w:rPr>
          <w:rFonts w:ascii="Times New Roman" w:eastAsia="Calibri" w:hAnsi="Times New Roman" w:cs="Times New Roman"/>
          <w:szCs w:val="20"/>
          <w:lang w:val="en-GB"/>
        </w:rPr>
        <w:t>volunteer</w:t>
      </w:r>
      <w:r w:rsidR="00934140" w:rsidRPr="00934140">
        <w:rPr>
          <w:rFonts w:ascii="Times New Roman" w:eastAsia="Calibri" w:hAnsi="Times New Roman" w:cs="Times New Roman"/>
          <w:szCs w:val="20"/>
          <w:lang w:val="en-GB"/>
        </w:rPr>
        <w:t xml:space="preserve">’s participation in the study and was available to provide assistance if required (for example with contacting the </w:t>
      </w:r>
      <w:r>
        <w:rPr>
          <w:rFonts w:ascii="Times New Roman" w:eastAsia="Calibri" w:hAnsi="Times New Roman" w:cs="Times New Roman"/>
          <w:szCs w:val="20"/>
          <w:lang w:val="en-GB"/>
        </w:rPr>
        <w:t>volunteer</w:t>
      </w:r>
      <w:r w:rsidR="00934140" w:rsidRPr="00934140">
        <w:rPr>
          <w:rFonts w:ascii="Times New Roman" w:eastAsia="Calibri" w:hAnsi="Times New Roman" w:cs="Times New Roman"/>
          <w:szCs w:val="20"/>
          <w:lang w:val="en-GB"/>
        </w:rPr>
        <w:t xml:space="preserve"> in the event that study staff were unable to, or with transporting the </w:t>
      </w:r>
      <w:r>
        <w:rPr>
          <w:rFonts w:ascii="Times New Roman" w:eastAsia="Calibri" w:hAnsi="Times New Roman" w:cs="Times New Roman"/>
          <w:szCs w:val="20"/>
          <w:lang w:val="en-GB"/>
        </w:rPr>
        <w:t>volunteer</w:t>
      </w:r>
      <w:r w:rsidR="00934140" w:rsidRPr="00934140">
        <w:rPr>
          <w:rFonts w:ascii="Times New Roman" w:eastAsia="Calibri" w:hAnsi="Times New Roman" w:cs="Times New Roman"/>
          <w:szCs w:val="20"/>
          <w:lang w:val="en-GB"/>
        </w:rPr>
        <w:t xml:space="preserve"> to and from the study site if required).</w:t>
      </w:r>
    </w:p>
    <w:p w14:paraId="3623924C"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szCs w:val="20"/>
          <w:lang w:val="en-GB"/>
        </w:rPr>
        <w:t>Any history of malaria or participation in a previous malaria challenge study or malaria vaccine study.</w:t>
      </w:r>
    </w:p>
    <w:p w14:paraId="0DB03B2A" w14:textId="4700D42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szCs w:val="20"/>
          <w:lang w:val="en-GB"/>
        </w:rPr>
        <w:t>Must not have travelled to or lived (&gt;2 weeks) in a malaria-endemic region during the past 12 months or planned travel to a malaria-endemic region during the course of the study. Must not have lived for &gt;1 year in a malaria-endemic region in the past 10 years. Must not have ever lived in a malaria-endemic region f</w:t>
      </w:r>
      <w:r w:rsidR="00474478">
        <w:rPr>
          <w:rFonts w:ascii="Times New Roman" w:eastAsia="Calibri" w:hAnsi="Times New Roman" w:cs="Times New Roman"/>
          <w:szCs w:val="20"/>
          <w:lang w:val="en-GB"/>
        </w:rPr>
        <w:t>or more than 10 years inclusive</w:t>
      </w:r>
      <w:r w:rsidRPr="00934140">
        <w:rPr>
          <w:rFonts w:ascii="Times New Roman" w:eastAsia="Calibri" w:hAnsi="Times New Roman" w:cs="Times New Roman"/>
          <w:szCs w:val="20"/>
          <w:lang w:val="en-GB"/>
        </w:rPr>
        <w:t>.</w:t>
      </w:r>
    </w:p>
    <w:p w14:paraId="3CDA6DA9"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szCs w:val="20"/>
          <w:lang w:val="en-GB"/>
        </w:rPr>
        <w:t>Had evidence of increased cardiovascular disease risk (defined as &gt;10%, 5-year risk for those greater than 35 years of age, as determined by the Australian Absolute Cardiovascular Disease Risk Calculator (http://www.cvdcheck.org.au/)). Risk factors include sex, age, systolic blood pressure (mm/Hg), smoking status, total and HDL cholesterol (mmol/L), and reported diabetes status.</w:t>
      </w:r>
    </w:p>
    <w:p w14:paraId="22ADB71A"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szCs w:val="20"/>
          <w:lang w:val="en-GB"/>
        </w:rPr>
      </w:pPr>
      <w:r w:rsidRPr="00934140">
        <w:rPr>
          <w:rFonts w:ascii="Times New Roman" w:eastAsia="Calibri" w:hAnsi="Times New Roman" w:cs="Times New Roman"/>
          <w:szCs w:val="20"/>
          <w:lang w:val="en-GB"/>
        </w:rPr>
        <w:t>History of splenectomy.</w:t>
      </w:r>
    </w:p>
    <w:p w14:paraId="7D561797" w14:textId="29AA8092" w:rsidR="00934140" w:rsidRPr="00934140" w:rsidRDefault="00474478" w:rsidP="00934140">
      <w:pPr>
        <w:numPr>
          <w:ilvl w:val="0"/>
          <w:numId w:val="16"/>
        </w:numPr>
        <w:spacing w:before="200" w:after="0" w:line="240" w:lineRule="auto"/>
        <w:contextualSpacing/>
        <w:jc w:val="both"/>
        <w:rPr>
          <w:rFonts w:ascii="Times New Roman" w:eastAsia="Calibri" w:hAnsi="Times New Roman" w:cs="Times New Roman"/>
          <w:szCs w:val="20"/>
          <w:lang w:val="en-GB"/>
        </w:rPr>
      </w:pPr>
      <w:r>
        <w:rPr>
          <w:rFonts w:ascii="Times New Roman" w:eastAsia="Calibri" w:hAnsi="Times New Roman" w:cs="Times New Roman"/>
          <w:szCs w:val="20"/>
          <w:lang w:val="en-GB"/>
        </w:rPr>
        <w:t>Volunteer</w:t>
      </w:r>
      <w:r w:rsidR="00934140" w:rsidRPr="00934140">
        <w:rPr>
          <w:rFonts w:ascii="Times New Roman" w:eastAsia="Calibri" w:hAnsi="Times New Roman" w:cs="Times New Roman"/>
          <w:szCs w:val="20"/>
          <w:lang w:val="en-GB"/>
        </w:rPr>
        <w:t xml:space="preserve"> was unwilling to defer blood donations to the Blood Service for at least six months after the </w:t>
      </w:r>
      <w:r>
        <w:rPr>
          <w:rFonts w:ascii="Times New Roman" w:eastAsia="Calibri" w:hAnsi="Times New Roman" w:cs="Times New Roman"/>
          <w:szCs w:val="20"/>
          <w:lang w:val="en-GB"/>
        </w:rPr>
        <w:t>end of study</w:t>
      </w:r>
      <w:r w:rsidR="00934140" w:rsidRPr="00934140">
        <w:rPr>
          <w:rFonts w:ascii="Times New Roman" w:eastAsia="Calibri" w:hAnsi="Times New Roman" w:cs="Times New Roman"/>
          <w:szCs w:val="20"/>
          <w:lang w:val="en-GB"/>
        </w:rPr>
        <w:t xml:space="preserve"> visit.</w:t>
      </w:r>
    </w:p>
    <w:p w14:paraId="6AD3F011" w14:textId="37F59CDE" w:rsidR="00934140" w:rsidRPr="00934140" w:rsidRDefault="00474478" w:rsidP="00934140">
      <w:pPr>
        <w:numPr>
          <w:ilvl w:val="0"/>
          <w:numId w:val="16"/>
        </w:numPr>
        <w:spacing w:before="200" w:after="0" w:line="240" w:lineRule="auto"/>
        <w:contextualSpacing/>
        <w:jc w:val="both"/>
        <w:rPr>
          <w:rFonts w:ascii="Times New Roman" w:eastAsia="Calibri" w:hAnsi="Times New Roman" w:cs="Times New Roman"/>
          <w:szCs w:val="20"/>
          <w:lang w:val="en-GB"/>
        </w:rPr>
      </w:pPr>
      <w:r>
        <w:rPr>
          <w:rFonts w:ascii="Times New Roman" w:eastAsia="Calibri" w:hAnsi="Times New Roman" w:cs="Times New Roman"/>
          <w:szCs w:val="20"/>
          <w:lang w:val="en-GB"/>
        </w:rPr>
        <w:t>Volunteer</w:t>
      </w:r>
      <w:r w:rsidR="00934140" w:rsidRPr="00934140">
        <w:rPr>
          <w:rFonts w:ascii="Times New Roman" w:eastAsia="Calibri" w:hAnsi="Times New Roman" w:cs="Times New Roman"/>
          <w:szCs w:val="20"/>
          <w:lang w:val="en-GB"/>
        </w:rPr>
        <w:t xml:space="preserve"> who had ever received a blood transfusion.</w:t>
      </w:r>
    </w:p>
    <w:p w14:paraId="5FADB1E3"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szCs w:val="20"/>
          <w:lang w:val="en-GB"/>
        </w:rPr>
      </w:pPr>
      <w:r w:rsidRPr="00934140">
        <w:rPr>
          <w:rFonts w:ascii="Times New Roman" w:eastAsia="Calibri" w:hAnsi="Times New Roman" w:cs="Times New Roman"/>
          <w:szCs w:val="20"/>
          <w:lang w:val="en-GB"/>
        </w:rPr>
        <w:t>Any recent (&lt;6 weeks) or current systemic therapy with an antibiotic or drug with potential antimalarial activity (e.g. chloroquine, piperaquine phosphate, benzodiazepine, flunarizine, fluoxetine, tetracycline, azithromycin, clindamycin, doxycycline etc.).</w:t>
      </w:r>
    </w:p>
    <w:p w14:paraId="258E3918"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szCs w:val="20"/>
          <w:lang w:val="en-GB"/>
        </w:rPr>
      </w:pPr>
      <w:r w:rsidRPr="00934140">
        <w:rPr>
          <w:rFonts w:ascii="Times New Roman" w:eastAsia="Calibri" w:hAnsi="Times New Roman" w:cs="Times New Roman"/>
          <w:szCs w:val="20"/>
          <w:lang w:val="en-GB"/>
        </w:rPr>
        <w:t>Known hypersensitivity to artesunate or any of its excipients, artemether or other artemisinin derivatives, proguanil/atovaquone, primaquine, or 4-aminoquinolines.</w:t>
      </w:r>
    </w:p>
    <w:p w14:paraId="5C310936" w14:textId="7DBC3D68"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szCs w:val="20"/>
          <w:lang w:val="en-GB"/>
        </w:rPr>
      </w:pPr>
      <w:proofErr w:type="spellStart"/>
      <w:r w:rsidRPr="00934140">
        <w:rPr>
          <w:rFonts w:ascii="Times New Roman" w:eastAsia="Calibri" w:hAnsi="Times New Roman" w:cs="Times New Roman"/>
          <w:szCs w:val="20"/>
          <w:lang w:val="en-GB"/>
        </w:rPr>
        <w:t>Hematology</w:t>
      </w:r>
      <w:proofErr w:type="spellEnd"/>
      <w:r w:rsidRPr="00934140">
        <w:rPr>
          <w:rFonts w:ascii="Times New Roman" w:eastAsia="Calibri" w:hAnsi="Times New Roman" w:cs="Times New Roman"/>
          <w:szCs w:val="20"/>
          <w:lang w:val="en-GB"/>
        </w:rPr>
        <w:t xml:space="preserve">, clinical chemistry or urinalysis </w:t>
      </w:r>
      <w:r w:rsidR="00290C41">
        <w:rPr>
          <w:rFonts w:ascii="Times New Roman" w:eastAsia="Calibri" w:hAnsi="Times New Roman" w:cs="Times New Roman"/>
          <w:szCs w:val="20"/>
          <w:lang w:val="en-GB"/>
        </w:rPr>
        <w:t>results at screening or at the d</w:t>
      </w:r>
      <w:r w:rsidRPr="00934140">
        <w:rPr>
          <w:rFonts w:ascii="Times New Roman" w:eastAsia="Calibri" w:hAnsi="Times New Roman" w:cs="Times New Roman"/>
          <w:szCs w:val="20"/>
          <w:lang w:val="en-GB"/>
        </w:rPr>
        <w:t>ay -1 to</w:t>
      </w:r>
      <w:r w:rsidR="00290C41">
        <w:rPr>
          <w:rFonts w:ascii="Times New Roman" w:eastAsia="Calibri" w:hAnsi="Times New Roman" w:cs="Times New Roman"/>
          <w:szCs w:val="20"/>
          <w:lang w:val="en-GB"/>
        </w:rPr>
        <w:t xml:space="preserve"> d</w:t>
      </w:r>
      <w:r w:rsidRPr="00934140">
        <w:rPr>
          <w:rFonts w:ascii="Times New Roman" w:eastAsia="Calibri" w:hAnsi="Times New Roman" w:cs="Times New Roman"/>
          <w:szCs w:val="20"/>
          <w:lang w:val="en-GB"/>
        </w:rPr>
        <w:t>ay -3 eligibility visit that were outside of Sponsor-approved clinically acceptable laboratory ranges, and were considered clinically significant by the Investigator.</w:t>
      </w:r>
    </w:p>
    <w:p w14:paraId="603B3EFF"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szCs w:val="20"/>
          <w:lang w:val="en-GB"/>
        </w:rPr>
      </w:pPr>
      <w:r w:rsidRPr="00934140">
        <w:rPr>
          <w:rFonts w:ascii="Times New Roman" w:eastAsia="Calibri" w:hAnsi="Times New Roman" w:cs="Times New Roman"/>
          <w:szCs w:val="20"/>
          <w:lang w:val="en-GB"/>
        </w:rPr>
        <w:t>Participation in any investigational product study within the 12 weeks preceding inoculation.</w:t>
      </w:r>
    </w:p>
    <w:p w14:paraId="5BECA96E"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Symptomatic postural hypotension at screening (confirmed on two consecutive readings), irrespective of the decrease in blood pressure, or asymptomatic postural hypotension defined as a decrease in systolic blood pressure ≥20 mmHg within 2-3 minutes when changing from supine to standing position.</w:t>
      </w:r>
    </w:p>
    <w:p w14:paraId="212CD746" w14:textId="4798EA09"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 xml:space="preserve">History or presence of diagnosed (by an allergist/immunologist) or treated (by a physician) food or known drug allergies (including but not limited to allergy to any of the antimalarial rescue treatments), or any history of anaphylaxis or other severe allergic </w:t>
      </w:r>
      <w:r w:rsidRPr="00934140">
        <w:rPr>
          <w:rFonts w:ascii="Times New Roman" w:eastAsia="Calibri" w:hAnsi="Times New Roman" w:cs="Times New Roman"/>
          <w:iCs/>
          <w:sz w:val="24"/>
          <w:szCs w:val="24"/>
          <w:lang w:val="en-GB"/>
        </w:rPr>
        <w:t xml:space="preserve">reactions </w:t>
      </w:r>
      <w:r w:rsidRPr="00934140">
        <w:rPr>
          <w:rFonts w:ascii="Times New Roman" w:eastAsia="Calibri" w:hAnsi="Times New Roman" w:cs="Times New Roman"/>
          <w:iCs/>
          <w:lang w:val="en-GB"/>
        </w:rPr>
        <w:t>including face, mouth, or throat swelling or any difficulty breathing</w:t>
      </w:r>
      <w:r w:rsidRPr="00934140">
        <w:rPr>
          <w:rFonts w:ascii="Times New Roman" w:eastAsia="Calibri" w:hAnsi="Times New Roman" w:cs="Times New Roman"/>
        </w:rPr>
        <w:t xml:space="preserve">. </w:t>
      </w:r>
      <w:r w:rsidR="00474478">
        <w:rPr>
          <w:rFonts w:ascii="Times New Roman" w:eastAsia="Calibri" w:hAnsi="Times New Roman" w:cs="Times New Roman"/>
        </w:rPr>
        <w:t>Volunteers</w:t>
      </w:r>
      <w:r w:rsidRPr="00934140">
        <w:rPr>
          <w:rFonts w:ascii="Times New Roman" w:eastAsia="Calibri" w:hAnsi="Times New Roman" w:cs="Times New Roman"/>
        </w:rPr>
        <w:t xml:space="preserve"> with seasonal allergies/hay fever or allergy to animals or house dust mite that were untreated and asymptomatic at the time of dosing could be enrolled in the study.</w:t>
      </w:r>
    </w:p>
    <w:p w14:paraId="504B6B00"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History of convulsion (including intravenous drug or vaccine-induced episodes). A medical history of a single febrile convulsion during childhood was not an exclusion criterion.</w:t>
      </w:r>
    </w:p>
    <w:p w14:paraId="7854BF48"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 xml:space="preserve">Presence of current or suspected serious chronic diseases such as cardiac or autoimmune disease (HIV or other immuno-deficiencies), insulin-dependent and non-insulin dependent diabetes, progressive neurological disease, severe malnutrition, acute or progressive hepatic </w:t>
      </w:r>
      <w:r w:rsidRPr="00934140">
        <w:rPr>
          <w:rFonts w:ascii="Times New Roman" w:eastAsia="Calibri" w:hAnsi="Times New Roman" w:cs="Times New Roman"/>
        </w:rPr>
        <w:lastRenderedPageBreak/>
        <w:t xml:space="preserve">disease, acute or progressive renal disease, porphyria, psoriasis, rheumatoid arthritis, asthma </w:t>
      </w:r>
      <w:r w:rsidRPr="00934140">
        <w:rPr>
          <w:rFonts w:ascii="Times New Roman" w:eastAsia="Calibri" w:hAnsi="Times New Roman" w:cs="Times New Roman"/>
          <w:lang w:val="en-GB"/>
        </w:rPr>
        <w:t xml:space="preserve">(excluding childhood asthma, or mild asthma with preventative asthma medication required less than monthly), </w:t>
      </w:r>
      <w:r w:rsidRPr="00934140">
        <w:rPr>
          <w:rFonts w:ascii="Times New Roman" w:eastAsia="Calibri" w:hAnsi="Times New Roman" w:cs="Times New Roman"/>
        </w:rPr>
        <w:t>epilepsy, or obsessive-compulsive disorder.</w:t>
      </w:r>
    </w:p>
    <w:p w14:paraId="663B16A7"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 xml:space="preserve">History of malignancy of any organ system (other than localised basal cell carcinoma of the skin or </w:t>
      </w:r>
      <w:r w:rsidRPr="00934140">
        <w:rPr>
          <w:rFonts w:ascii="Times New Roman" w:eastAsia="Calibri" w:hAnsi="Times New Roman" w:cs="Times New Roman"/>
          <w:i/>
        </w:rPr>
        <w:t>in situ</w:t>
      </w:r>
      <w:r w:rsidRPr="00934140">
        <w:rPr>
          <w:rFonts w:ascii="Times New Roman" w:eastAsia="Calibri" w:hAnsi="Times New Roman" w:cs="Times New Roman"/>
        </w:rPr>
        <w:t xml:space="preserve"> cervical cancer), treated or untreated, within five  years of screening, regardless of whether there was evidence of local recurrence or metastases.</w:t>
      </w:r>
    </w:p>
    <w:p w14:paraId="03E0FB49" w14:textId="0A2EAE38" w:rsidR="00934140" w:rsidRPr="00934140" w:rsidRDefault="00474478" w:rsidP="00934140">
      <w:pPr>
        <w:numPr>
          <w:ilvl w:val="0"/>
          <w:numId w:val="16"/>
        </w:numPr>
        <w:spacing w:before="200" w:after="0" w:line="240" w:lineRule="auto"/>
        <w:contextualSpacing/>
        <w:jc w:val="both"/>
        <w:rPr>
          <w:rFonts w:ascii="Times New Roman" w:eastAsia="Calibri" w:hAnsi="Times New Roman" w:cs="Times New Roman"/>
        </w:rPr>
      </w:pPr>
      <w:r>
        <w:rPr>
          <w:rFonts w:ascii="Times New Roman" w:eastAsia="Calibri" w:hAnsi="Times New Roman" w:cs="Times New Roman"/>
        </w:rPr>
        <w:t>H</w:t>
      </w:r>
      <w:r w:rsidR="00934140" w:rsidRPr="00934140">
        <w:rPr>
          <w:rFonts w:ascii="Times New Roman" w:eastAsia="Calibri" w:hAnsi="Times New Roman" w:cs="Times New Roman"/>
        </w:rPr>
        <w:t>istory of schizophrenia, bi-polar disease, psychoses, disorders requiring lithium, attempted or planned suicide, or any other severe (disabling) chronic psychiatric diagnosis.</w:t>
      </w:r>
    </w:p>
    <w:p w14:paraId="6914C13C" w14:textId="737F9101" w:rsidR="00934140" w:rsidRPr="00934140" w:rsidRDefault="00474478" w:rsidP="00934140">
      <w:pPr>
        <w:numPr>
          <w:ilvl w:val="0"/>
          <w:numId w:val="16"/>
        </w:numPr>
        <w:spacing w:before="200" w:after="0" w:line="240" w:lineRule="auto"/>
        <w:contextualSpacing/>
        <w:jc w:val="both"/>
        <w:rPr>
          <w:rFonts w:ascii="Times New Roman" w:eastAsia="Calibri" w:hAnsi="Times New Roman" w:cs="Times New Roman"/>
        </w:rPr>
      </w:pPr>
      <w:r>
        <w:rPr>
          <w:rFonts w:ascii="Times New Roman" w:eastAsia="Calibri" w:hAnsi="Times New Roman" w:cs="Times New Roman"/>
        </w:rPr>
        <w:t>Volunteers</w:t>
      </w:r>
      <w:r w:rsidR="00934140" w:rsidRPr="00934140">
        <w:rPr>
          <w:rFonts w:ascii="Times New Roman" w:eastAsia="Calibri" w:hAnsi="Times New Roman" w:cs="Times New Roman"/>
        </w:rPr>
        <w:t xml:space="preserve"> who had received psychiatric medications within one year prior to enrolment for a psychiatric condition, or who had been hospitalised within five years prior to enrolment for either a psychiatric illness or due to danger to self or others.</w:t>
      </w:r>
    </w:p>
    <w:p w14:paraId="5C4610F5"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History of an episode of minor depression that required at least six months of pharmacological therapy and/or psychotherapy within the last five years; or any episode of major depression.</w:t>
      </w:r>
    </w:p>
    <w:p w14:paraId="07057201" w14:textId="284150D3" w:rsidR="00934140" w:rsidRPr="00934140" w:rsidRDefault="00934140" w:rsidP="00934140">
      <w:pPr>
        <w:spacing w:after="0" w:line="240" w:lineRule="auto"/>
        <w:ind w:left="720"/>
        <w:contextualSpacing/>
        <w:jc w:val="both"/>
        <w:rPr>
          <w:rFonts w:ascii="Times New Roman" w:eastAsia="Calibri" w:hAnsi="Times New Roman" w:cs="Times New Roman"/>
        </w:rPr>
      </w:pPr>
      <w:r w:rsidRPr="00934140">
        <w:rPr>
          <w:rFonts w:ascii="Times New Roman" w:eastAsia="Calibri" w:hAnsi="Times New Roman" w:cs="Times New Roman"/>
        </w:rPr>
        <w:t>The Beck Depression Inventory was used as an objective tool for t</w:t>
      </w:r>
      <w:r w:rsidR="00474478">
        <w:rPr>
          <w:rFonts w:ascii="Times New Roman" w:eastAsia="Calibri" w:hAnsi="Times New Roman" w:cs="Times New Roman"/>
        </w:rPr>
        <w:t>he assessment of depression at s</w:t>
      </w:r>
      <w:r w:rsidRPr="00934140">
        <w:rPr>
          <w:rFonts w:ascii="Times New Roman" w:eastAsia="Calibri" w:hAnsi="Times New Roman" w:cs="Times New Roman"/>
        </w:rPr>
        <w:t xml:space="preserve">creening. In addition to the conditions listed above, </w:t>
      </w:r>
      <w:r w:rsidR="00474478">
        <w:rPr>
          <w:rFonts w:ascii="Times New Roman" w:eastAsia="Calibri" w:hAnsi="Times New Roman" w:cs="Times New Roman"/>
        </w:rPr>
        <w:t>volunteers</w:t>
      </w:r>
      <w:r w:rsidRPr="00934140">
        <w:rPr>
          <w:rFonts w:ascii="Times New Roman" w:eastAsia="Calibri" w:hAnsi="Times New Roman" w:cs="Times New Roman"/>
        </w:rPr>
        <w:t xml:space="preserve"> with a score of 20 or more on the Beck Depression Inventory and/or a response of 1, 2 or 3 for item 9 of this inventory (related to suicidal ideation) were not eligible for participation. </w:t>
      </w:r>
      <w:bookmarkStart w:id="12" w:name="_Hlk524873787"/>
      <w:r w:rsidRPr="00934140">
        <w:rPr>
          <w:rFonts w:ascii="Times New Roman" w:eastAsia="Calibri" w:hAnsi="Times New Roman" w:cs="Times New Roman"/>
        </w:rPr>
        <w:t xml:space="preserve">These </w:t>
      </w:r>
      <w:r w:rsidR="00474478">
        <w:rPr>
          <w:rFonts w:ascii="Times New Roman" w:eastAsia="Calibri" w:hAnsi="Times New Roman" w:cs="Times New Roman"/>
        </w:rPr>
        <w:t>volunteers</w:t>
      </w:r>
      <w:r w:rsidRPr="00934140">
        <w:rPr>
          <w:rFonts w:ascii="Times New Roman" w:eastAsia="Calibri" w:hAnsi="Times New Roman" w:cs="Times New Roman"/>
        </w:rPr>
        <w:t xml:space="preserve"> were to be referred to a general practitioner or medical specialist as appropriate. </w:t>
      </w:r>
      <w:bookmarkEnd w:id="12"/>
      <w:r w:rsidR="00474478">
        <w:rPr>
          <w:rFonts w:ascii="Times New Roman" w:eastAsia="Calibri" w:hAnsi="Times New Roman" w:cs="Times New Roman"/>
        </w:rPr>
        <w:t>Volunteers</w:t>
      </w:r>
      <w:r w:rsidRPr="00934140">
        <w:rPr>
          <w:rFonts w:ascii="Times New Roman" w:eastAsia="Calibri" w:hAnsi="Times New Roman" w:cs="Times New Roman"/>
        </w:rPr>
        <w:t xml:space="preserve"> with a Beck score of 17 to 19 may have been enrolled at the discretion of the Investigator if they did not have a history of the psychiatric conditions mentioned in this criterion and their mental state was not considered to pose additi</w:t>
      </w:r>
      <w:r w:rsidR="00474478">
        <w:rPr>
          <w:rFonts w:ascii="Times New Roman" w:eastAsia="Calibri" w:hAnsi="Times New Roman" w:cs="Times New Roman"/>
        </w:rPr>
        <w:t>onal risk to the health of the volunteer</w:t>
      </w:r>
      <w:r w:rsidRPr="00934140">
        <w:rPr>
          <w:rFonts w:ascii="Times New Roman" w:eastAsia="Calibri" w:hAnsi="Times New Roman" w:cs="Times New Roman"/>
        </w:rPr>
        <w:t xml:space="preserve"> or to the execution of the study and interpretation of the data gathered.</w:t>
      </w:r>
    </w:p>
    <w:p w14:paraId="76F35286"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History of recurrent headache (e.g. tension-type, cluster or migraine) with a frequency of ≥2 episodes per month on average and severe enough to require medical therapy</w:t>
      </w:r>
      <w:r w:rsidRPr="00934140">
        <w:rPr>
          <w:rFonts w:ascii="Times New Roman" w:eastAsia="Calibri" w:hAnsi="Times New Roman" w:cs="Times New Roman"/>
          <w:lang w:val="en-GB"/>
        </w:rPr>
        <w:t>, during the 5 years preceding screening</w:t>
      </w:r>
      <w:r w:rsidRPr="00934140">
        <w:rPr>
          <w:rFonts w:ascii="Times New Roman" w:eastAsia="Calibri" w:hAnsi="Times New Roman" w:cs="Times New Roman"/>
        </w:rPr>
        <w:t>.</w:t>
      </w:r>
    </w:p>
    <w:p w14:paraId="6FB1C76D" w14:textId="68A8034C"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Presence of clinically significant infectious disease or fever (e.g. sublingual temperature ≥38.5°C)</w:t>
      </w:r>
      <w:r w:rsidR="00474478">
        <w:rPr>
          <w:rFonts w:ascii="Times New Roman" w:eastAsia="Calibri" w:hAnsi="Times New Roman" w:cs="Times New Roman"/>
        </w:rPr>
        <w:t xml:space="preserve"> within the five days prior to i</w:t>
      </w:r>
      <w:r w:rsidRPr="00934140">
        <w:rPr>
          <w:rFonts w:ascii="Times New Roman" w:eastAsia="Calibri" w:hAnsi="Times New Roman" w:cs="Times New Roman"/>
        </w:rPr>
        <w:t xml:space="preserve">noculation. </w:t>
      </w:r>
    </w:p>
    <w:p w14:paraId="123C9E68" w14:textId="39C87FD4"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 xml:space="preserve">Evidence of acute illness within the four weeks prior to screening that </w:t>
      </w:r>
      <w:r w:rsidR="00474478">
        <w:rPr>
          <w:rFonts w:ascii="Times New Roman" w:eastAsia="Calibri" w:hAnsi="Times New Roman" w:cs="Times New Roman"/>
        </w:rPr>
        <w:t>the i</w:t>
      </w:r>
      <w:r w:rsidRPr="00934140">
        <w:rPr>
          <w:rFonts w:ascii="Times New Roman" w:eastAsia="Calibri" w:hAnsi="Times New Roman" w:cs="Times New Roman"/>
        </w:rPr>
        <w:t xml:space="preserve">nvestigator deemed may have compromised </w:t>
      </w:r>
      <w:r w:rsidR="00474478">
        <w:rPr>
          <w:rFonts w:ascii="Times New Roman" w:eastAsia="Calibri" w:hAnsi="Times New Roman" w:cs="Times New Roman"/>
        </w:rPr>
        <w:t>volunteer</w:t>
      </w:r>
      <w:r w:rsidRPr="00934140">
        <w:rPr>
          <w:rFonts w:ascii="Times New Roman" w:eastAsia="Calibri" w:hAnsi="Times New Roman" w:cs="Times New Roman"/>
        </w:rPr>
        <w:t xml:space="preserve"> safety.</w:t>
      </w:r>
    </w:p>
    <w:p w14:paraId="3A95AE5C"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Significant inter-current disease of any type, in particular liver, renal, cardiac, pulmonary, neurologic, rheumatologic, or autoimmune disease by history, physical examination, and/or laboratory studies including urinalysis.</w:t>
      </w:r>
    </w:p>
    <w:p w14:paraId="1B4ECA34" w14:textId="205729B8" w:rsidR="00934140" w:rsidRPr="00934140" w:rsidRDefault="00474478" w:rsidP="00934140">
      <w:pPr>
        <w:numPr>
          <w:ilvl w:val="0"/>
          <w:numId w:val="16"/>
        </w:numPr>
        <w:spacing w:before="200" w:after="0" w:line="240" w:lineRule="auto"/>
        <w:contextualSpacing/>
        <w:jc w:val="both"/>
        <w:rPr>
          <w:rFonts w:ascii="Times New Roman" w:eastAsia="Calibri" w:hAnsi="Times New Roman" w:cs="Times New Roman"/>
        </w:rPr>
      </w:pPr>
      <w:r>
        <w:rPr>
          <w:rFonts w:ascii="Times New Roman" w:eastAsia="Calibri" w:hAnsi="Times New Roman" w:cs="Times New Roman"/>
        </w:rPr>
        <w:t>Volunteer</w:t>
      </w:r>
      <w:r w:rsidR="00934140" w:rsidRPr="00934140">
        <w:rPr>
          <w:rFonts w:ascii="Times New Roman" w:eastAsia="Calibri" w:hAnsi="Times New Roman" w:cs="Times New Roman"/>
        </w:rPr>
        <w:t xml:space="preserve"> had a clinically significant disease or any condition or disease that might affect drug absorption, distribution or excretion (e.g. gastrectomy, diarrhoea).</w:t>
      </w:r>
    </w:p>
    <w:p w14:paraId="38AFEB02" w14:textId="3E15486D"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 xml:space="preserve">Blood donation of any volume or participation in any research study involving blood sampling (more than 450 mL/unit of blood) within one month before </w:t>
      </w:r>
      <w:r w:rsidR="00474478">
        <w:rPr>
          <w:rFonts w:ascii="Times New Roman" w:eastAsia="Calibri" w:hAnsi="Times New Roman" w:cs="Times New Roman"/>
        </w:rPr>
        <w:t>tafenoquine</w:t>
      </w:r>
      <w:r w:rsidRPr="00934140">
        <w:rPr>
          <w:rFonts w:ascii="Times New Roman" w:eastAsia="Calibri" w:hAnsi="Times New Roman" w:cs="Times New Roman"/>
        </w:rPr>
        <w:t xml:space="preserve"> administration, or blood donation to Australian Red Cross Blood Service (Blood Service) or other blood bank during the eight weeks prior to inoculation.</w:t>
      </w:r>
    </w:p>
    <w:p w14:paraId="4FD77575"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Medical requirement for intravenous immunoglobulin or blood transfusions.</w:t>
      </w:r>
    </w:p>
    <w:p w14:paraId="17C1D928"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History or presence of alcohol abuse (alcohol consumption more than 40 g/4 units/4 standard drinks per day), or drug habituation, or any prior intravenous usage of an illicit substance.</w:t>
      </w:r>
    </w:p>
    <w:p w14:paraId="02B48A3C" w14:textId="6DE66081" w:rsidR="00934140" w:rsidRPr="00934140" w:rsidRDefault="00934140" w:rsidP="00934140">
      <w:pPr>
        <w:numPr>
          <w:ilvl w:val="0"/>
          <w:numId w:val="16"/>
        </w:numPr>
        <w:spacing w:after="0" w:line="240" w:lineRule="auto"/>
        <w:ind w:left="714" w:hanging="357"/>
        <w:jc w:val="both"/>
        <w:rPr>
          <w:rFonts w:ascii="Times New Roman" w:eastAsia="Calibri" w:hAnsi="Times New Roman" w:cs="Times New Roman"/>
        </w:rPr>
      </w:pPr>
      <w:r w:rsidRPr="00934140">
        <w:rPr>
          <w:rFonts w:ascii="Times New Roman" w:eastAsia="Calibri" w:hAnsi="Times New Roman" w:cs="Times New Roman"/>
        </w:rPr>
        <w:t xml:space="preserve">Female </w:t>
      </w:r>
      <w:r w:rsidR="00474478">
        <w:rPr>
          <w:rFonts w:ascii="Times New Roman" w:eastAsia="Calibri" w:hAnsi="Times New Roman" w:cs="Times New Roman"/>
        </w:rPr>
        <w:t>volunteer</w:t>
      </w:r>
      <w:r w:rsidRPr="00934140">
        <w:rPr>
          <w:rFonts w:ascii="Times New Roman" w:eastAsia="Calibri" w:hAnsi="Times New Roman" w:cs="Times New Roman"/>
        </w:rPr>
        <w:t xml:space="preserve"> who was breastfeeding.  </w:t>
      </w:r>
    </w:p>
    <w:p w14:paraId="6327C3D6" w14:textId="77777777" w:rsidR="00934140" w:rsidRPr="00934140" w:rsidRDefault="00934140" w:rsidP="00934140">
      <w:pPr>
        <w:numPr>
          <w:ilvl w:val="0"/>
          <w:numId w:val="16"/>
        </w:numPr>
        <w:spacing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Any vaccination within the last 28 days.</w:t>
      </w:r>
    </w:p>
    <w:p w14:paraId="0790D0C0" w14:textId="3E991290"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 xml:space="preserve">Any corticosteroids, anti-inflammatory drugs </w:t>
      </w:r>
      <w:r w:rsidRPr="00934140">
        <w:rPr>
          <w:rFonts w:ascii="Times New Roman" w:eastAsia="Calibri" w:hAnsi="Times New Roman" w:cs="Times New Roman"/>
          <w:lang w:val="en-GB"/>
        </w:rPr>
        <w:t xml:space="preserve">(excluding commonly used over-the-counter anti-inflammatory drugs such as ibuprofen, acetylsalicylic acid, diclofenac), </w:t>
      </w:r>
      <w:r w:rsidRPr="00934140">
        <w:rPr>
          <w:rFonts w:ascii="Times New Roman" w:eastAsia="Calibri" w:hAnsi="Times New Roman" w:cs="Times New Roman"/>
        </w:rPr>
        <w:t>immunomodulators or anticoagulants</w:t>
      </w:r>
      <w:r w:rsidRPr="00934140">
        <w:rPr>
          <w:rFonts w:ascii="Times New Roman" w:eastAsia="Calibri" w:hAnsi="Times New Roman" w:cs="Times New Roman"/>
          <w:lang w:val="en-GB"/>
        </w:rPr>
        <w:t xml:space="preserve"> within the past three months</w:t>
      </w:r>
      <w:r w:rsidRPr="00934140">
        <w:rPr>
          <w:rFonts w:ascii="Times New Roman" w:eastAsia="Calibri" w:hAnsi="Times New Roman" w:cs="Times New Roman"/>
        </w:rPr>
        <w:t xml:space="preserve">. Any </w:t>
      </w:r>
      <w:r w:rsidR="00474478">
        <w:rPr>
          <w:rFonts w:ascii="Times New Roman" w:eastAsia="Calibri" w:hAnsi="Times New Roman" w:cs="Times New Roman"/>
        </w:rPr>
        <w:t>volunteer</w:t>
      </w:r>
      <w:r w:rsidRPr="00934140">
        <w:rPr>
          <w:rFonts w:ascii="Times New Roman" w:eastAsia="Calibri" w:hAnsi="Times New Roman" w:cs="Times New Roman"/>
        </w:rPr>
        <w:t xml:space="preserve"> currently receiving or having previously received immunosuppressive therapy (including systemic steroids, adrenocorticotrophic hormone or inhaled steroids) at a dose or duration potentially associated with hypothalamic-pituitary-adrenal axis suppression</w:t>
      </w:r>
      <w:r w:rsidRPr="00934140">
        <w:rPr>
          <w:rFonts w:ascii="Times New Roman" w:eastAsia="Calibri" w:hAnsi="Times New Roman" w:cs="Times New Roman"/>
          <w:lang w:val="en-GB"/>
        </w:rPr>
        <w:t xml:space="preserve"> within the past year</w:t>
      </w:r>
      <w:r w:rsidRPr="00934140">
        <w:rPr>
          <w:rFonts w:ascii="Times New Roman" w:eastAsia="Calibri" w:hAnsi="Times New Roman" w:cs="Times New Roman"/>
        </w:rPr>
        <w:t>.</w:t>
      </w:r>
    </w:p>
    <w:p w14:paraId="59A4FE5C" w14:textId="5557F5FB" w:rsidR="00934140" w:rsidRPr="00934140" w:rsidRDefault="00934140" w:rsidP="00934140">
      <w:pPr>
        <w:numPr>
          <w:ilvl w:val="0"/>
          <w:numId w:val="16"/>
        </w:numPr>
        <w:spacing w:after="0" w:line="240" w:lineRule="auto"/>
        <w:ind w:left="714" w:hanging="357"/>
        <w:jc w:val="both"/>
        <w:rPr>
          <w:rFonts w:ascii="Times New Roman" w:eastAsia="Calibri" w:hAnsi="Times New Roman" w:cs="Times New Roman"/>
        </w:rPr>
      </w:pPr>
      <w:r w:rsidRPr="00934140">
        <w:rPr>
          <w:rFonts w:ascii="Times New Roman" w:eastAsia="Calibri" w:hAnsi="Times New Roman" w:cs="Times New Roman"/>
        </w:rPr>
        <w:t xml:space="preserve">Use of prescription drugs (excluding contraceptives) or non-prescription drugs or herbal supplements (such as St John’s Wort), within 14 days or five half-lives (whichever was longer) prior to inoculation. Limited use of other non-prescription medications or dietary supplements, not believed to affect </w:t>
      </w:r>
      <w:r w:rsidR="00F77BA6">
        <w:rPr>
          <w:rFonts w:ascii="Times New Roman" w:eastAsia="Calibri" w:hAnsi="Times New Roman" w:cs="Times New Roman"/>
        </w:rPr>
        <w:t>volunteer</w:t>
      </w:r>
      <w:r w:rsidRPr="00934140">
        <w:rPr>
          <w:rFonts w:ascii="Times New Roman" w:eastAsia="Calibri" w:hAnsi="Times New Roman" w:cs="Times New Roman"/>
        </w:rPr>
        <w:t xml:space="preserve"> safety or the overall results of the study, may have been permitted on a case-by-case b</w:t>
      </w:r>
      <w:r w:rsidR="00F77BA6">
        <w:rPr>
          <w:rFonts w:ascii="Times New Roman" w:eastAsia="Calibri" w:hAnsi="Times New Roman" w:cs="Times New Roman"/>
        </w:rPr>
        <w:t>asis following approval by the s</w:t>
      </w:r>
      <w:r w:rsidRPr="00934140">
        <w:rPr>
          <w:rFonts w:ascii="Times New Roman" w:eastAsia="Calibri" w:hAnsi="Times New Roman" w:cs="Times New Roman"/>
        </w:rPr>
        <w:t xml:space="preserve">ponsor in consultation with </w:t>
      </w:r>
      <w:r w:rsidR="00F77BA6">
        <w:rPr>
          <w:rFonts w:ascii="Times New Roman" w:eastAsia="Calibri" w:hAnsi="Times New Roman" w:cs="Times New Roman"/>
        </w:rPr>
        <w:t xml:space="preserve">the </w:t>
      </w:r>
      <w:r w:rsidR="00F77BA6">
        <w:rPr>
          <w:rFonts w:ascii="Times New Roman" w:eastAsia="Calibri" w:hAnsi="Times New Roman" w:cs="Times New Roman"/>
        </w:rPr>
        <w:lastRenderedPageBreak/>
        <w:t>i</w:t>
      </w:r>
      <w:r w:rsidRPr="00934140">
        <w:rPr>
          <w:rFonts w:ascii="Times New Roman" w:eastAsia="Calibri" w:hAnsi="Times New Roman" w:cs="Times New Roman"/>
        </w:rPr>
        <w:t xml:space="preserve">nvestigator. </w:t>
      </w:r>
      <w:r w:rsidR="00F77BA6">
        <w:rPr>
          <w:rFonts w:ascii="Times New Roman" w:eastAsia="Calibri" w:hAnsi="Times New Roman" w:cs="Times New Roman"/>
        </w:rPr>
        <w:t>Volunteers</w:t>
      </w:r>
      <w:r w:rsidRPr="00934140">
        <w:rPr>
          <w:rFonts w:ascii="Times New Roman" w:eastAsia="Calibri" w:hAnsi="Times New Roman" w:cs="Times New Roman"/>
        </w:rPr>
        <w:t xml:space="preserve"> were requested to refrain from taking non-approved concomitant medications from recruitment until the conclusion of the study.</w:t>
      </w:r>
    </w:p>
    <w:p w14:paraId="29BEFA7F"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Cardiac/QT risk:</w:t>
      </w:r>
    </w:p>
    <w:p w14:paraId="1E9CA345" w14:textId="77777777" w:rsidR="00934140" w:rsidRPr="00934140" w:rsidRDefault="00934140" w:rsidP="00934140">
      <w:pPr>
        <w:numPr>
          <w:ilvl w:val="0"/>
          <w:numId w:val="17"/>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Family history of sudden death or of congenital prolongation of the QTc interval or known congenital prolongation of the QTc interval or any clinical condition known to prolong the QTc interval.</w:t>
      </w:r>
    </w:p>
    <w:p w14:paraId="7A304C54" w14:textId="77777777" w:rsidR="00934140" w:rsidRPr="00934140" w:rsidRDefault="00934140" w:rsidP="00934140">
      <w:pPr>
        <w:numPr>
          <w:ilvl w:val="0"/>
          <w:numId w:val="17"/>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History of symptomatic cardiac arrhythmias or with clinically relevant bradycardia.</w:t>
      </w:r>
    </w:p>
    <w:p w14:paraId="5CB1062C" w14:textId="77777777" w:rsidR="00F77BA6" w:rsidRDefault="00934140" w:rsidP="00F77BA6">
      <w:pPr>
        <w:numPr>
          <w:ilvl w:val="0"/>
          <w:numId w:val="17"/>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Electrolyte disturbances, particularly hypokalaemia, hypocalcaemia, or hypomagnesaemia.</w:t>
      </w:r>
    </w:p>
    <w:p w14:paraId="0B6C326B" w14:textId="22D190E9" w:rsidR="00934140" w:rsidRPr="00934140" w:rsidRDefault="00934140" w:rsidP="00F77BA6">
      <w:pPr>
        <w:numPr>
          <w:ilvl w:val="0"/>
          <w:numId w:val="17"/>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ECG abnormalities in the stan</w:t>
      </w:r>
      <w:r w:rsidR="00F77BA6" w:rsidRPr="00F77BA6">
        <w:rPr>
          <w:rFonts w:ascii="Times New Roman" w:eastAsia="Calibri" w:hAnsi="Times New Roman" w:cs="Times New Roman"/>
        </w:rPr>
        <w:t xml:space="preserve">dard 12-lead ECG (at screening </w:t>
      </w:r>
      <w:r w:rsidRPr="00934140">
        <w:rPr>
          <w:rFonts w:ascii="Times New Roman" w:eastAsia="Calibri" w:hAnsi="Times New Roman" w:cs="Times New Roman"/>
        </w:rPr>
        <w:t>and prior to inoculation) which in the opinion of the Investigator was clinically relevant or would interfere with the ECG analyses.</w:t>
      </w:r>
    </w:p>
    <w:p w14:paraId="50D6F841" w14:textId="77777777" w:rsidR="00934140" w:rsidRPr="00934140" w:rsidRDefault="00934140" w:rsidP="00934140">
      <w:pPr>
        <w:numPr>
          <w:ilvl w:val="0"/>
          <w:numId w:val="16"/>
        </w:numPr>
        <w:spacing w:after="0" w:line="240" w:lineRule="auto"/>
        <w:ind w:left="714" w:hanging="357"/>
        <w:jc w:val="both"/>
        <w:rPr>
          <w:rFonts w:ascii="Times New Roman" w:eastAsia="Calibri" w:hAnsi="Times New Roman" w:cs="Times New Roman"/>
        </w:rPr>
      </w:pPr>
      <w:r w:rsidRPr="00934140">
        <w:rPr>
          <w:rFonts w:ascii="Times New Roman" w:eastAsia="Calibri" w:hAnsi="Times New Roman" w:cs="Times New Roman"/>
        </w:rPr>
        <w:t>History of retinal abnormalities, diseases of the retina or macula of the eye, visual field defects, and hearing disorders like reduced hearing and tinnitus.</w:t>
      </w:r>
    </w:p>
    <w:p w14:paraId="61FEB718" w14:textId="77777777" w:rsidR="00934140" w:rsidRPr="00934140" w:rsidRDefault="00934140" w:rsidP="00934140">
      <w:pPr>
        <w:spacing w:after="0" w:line="240" w:lineRule="auto"/>
        <w:jc w:val="both"/>
        <w:rPr>
          <w:rFonts w:ascii="Times New Roman" w:eastAsia="Calibri" w:hAnsi="Times New Roman" w:cs="Times New Roman"/>
          <w:b/>
        </w:rPr>
      </w:pPr>
      <w:r w:rsidRPr="00934140">
        <w:rPr>
          <w:rFonts w:ascii="Times New Roman" w:eastAsia="Calibri" w:hAnsi="Times New Roman" w:cs="Times New Roman"/>
          <w:b/>
        </w:rPr>
        <w:t>General conditions:</w:t>
      </w:r>
    </w:p>
    <w:p w14:paraId="03C2F9A0" w14:textId="6F68451B"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 xml:space="preserve">Any </w:t>
      </w:r>
      <w:r w:rsidR="00F77BA6">
        <w:rPr>
          <w:rFonts w:ascii="Times New Roman" w:eastAsia="Calibri" w:hAnsi="Times New Roman" w:cs="Times New Roman"/>
        </w:rPr>
        <w:t>volunteer</w:t>
      </w:r>
      <w:r w:rsidRPr="00934140">
        <w:rPr>
          <w:rFonts w:ascii="Times New Roman" w:eastAsia="Calibri" w:hAnsi="Times New Roman" w:cs="Times New Roman"/>
        </w:rPr>
        <w:t xml:space="preserve"> who, in the judgment of</w:t>
      </w:r>
      <w:r w:rsidR="00F77BA6">
        <w:rPr>
          <w:rFonts w:ascii="Times New Roman" w:eastAsia="Calibri" w:hAnsi="Times New Roman" w:cs="Times New Roman"/>
        </w:rPr>
        <w:t xml:space="preserve"> the i</w:t>
      </w:r>
      <w:r w:rsidRPr="00934140">
        <w:rPr>
          <w:rFonts w:ascii="Times New Roman" w:eastAsia="Calibri" w:hAnsi="Times New Roman" w:cs="Times New Roman"/>
        </w:rPr>
        <w:t>nvestigator, was likely to be non-</w:t>
      </w:r>
      <w:r w:rsidR="00F77BA6">
        <w:rPr>
          <w:rFonts w:ascii="Times New Roman" w:eastAsia="Calibri" w:hAnsi="Times New Roman" w:cs="Times New Roman"/>
        </w:rPr>
        <w:t>compliant during the study, or wa</w:t>
      </w:r>
      <w:r w:rsidRPr="00934140">
        <w:rPr>
          <w:rFonts w:ascii="Times New Roman" w:eastAsia="Calibri" w:hAnsi="Times New Roman" w:cs="Times New Roman"/>
        </w:rPr>
        <w:t>s unable to cooperate because of a language problem or poor mental development.</w:t>
      </w:r>
    </w:p>
    <w:p w14:paraId="69EF23CC" w14:textId="3C2E895C"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 xml:space="preserve">Any </w:t>
      </w:r>
      <w:r w:rsidR="00F77BA6">
        <w:rPr>
          <w:rFonts w:ascii="Times New Roman" w:eastAsia="Calibri" w:hAnsi="Times New Roman" w:cs="Times New Roman"/>
        </w:rPr>
        <w:t xml:space="preserve">volunteer </w:t>
      </w:r>
      <w:r w:rsidRPr="00934140">
        <w:rPr>
          <w:rFonts w:ascii="Times New Roman" w:eastAsia="Calibri" w:hAnsi="Times New Roman" w:cs="Times New Roman"/>
        </w:rPr>
        <w:t>in the exclusion period of a previous study according to applicable regulations.</w:t>
      </w:r>
    </w:p>
    <w:p w14:paraId="163D3D8D" w14:textId="6D8C8754"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 xml:space="preserve">Any </w:t>
      </w:r>
      <w:r w:rsidR="00F77BA6">
        <w:rPr>
          <w:rFonts w:ascii="Times New Roman" w:eastAsia="Calibri" w:hAnsi="Times New Roman" w:cs="Times New Roman"/>
        </w:rPr>
        <w:t>volunteer</w:t>
      </w:r>
      <w:r w:rsidRPr="00934140">
        <w:rPr>
          <w:rFonts w:ascii="Times New Roman" w:eastAsia="Calibri" w:hAnsi="Times New Roman" w:cs="Times New Roman"/>
        </w:rPr>
        <w:t xml:space="preserve"> who was</w:t>
      </w:r>
      <w:r w:rsidR="00F77BA6">
        <w:rPr>
          <w:rFonts w:ascii="Times New Roman" w:eastAsia="Calibri" w:hAnsi="Times New Roman" w:cs="Times New Roman"/>
        </w:rPr>
        <w:t xml:space="preserve"> the i</w:t>
      </w:r>
      <w:r w:rsidRPr="00934140">
        <w:rPr>
          <w:rFonts w:ascii="Times New Roman" w:eastAsia="Calibri" w:hAnsi="Times New Roman" w:cs="Times New Roman"/>
        </w:rPr>
        <w:t>nvestigator, research assistant, pharmacist, study coordinator, or other staff thereof, directly involved in conducting the study.</w:t>
      </w:r>
    </w:p>
    <w:p w14:paraId="466F080A" w14:textId="67D7EE3D" w:rsidR="00934140" w:rsidRPr="00934140" w:rsidRDefault="00934140" w:rsidP="00934140">
      <w:pPr>
        <w:numPr>
          <w:ilvl w:val="0"/>
          <w:numId w:val="16"/>
        </w:numPr>
        <w:spacing w:after="0" w:line="240" w:lineRule="auto"/>
        <w:ind w:left="714" w:hanging="357"/>
        <w:jc w:val="both"/>
        <w:rPr>
          <w:rFonts w:ascii="Times New Roman" w:eastAsia="Calibri" w:hAnsi="Times New Roman" w:cs="Times New Roman"/>
        </w:rPr>
      </w:pPr>
      <w:r w:rsidRPr="00934140">
        <w:rPr>
          <w:rFonts w:ascii="Times New Roman" w:eastAsia="Calibri" w:hAnsi="Times New Roman" w:cs="Times New Roman"/>
        </w:rPr>
        <w:t xml:space="preserve">Any </w:t>
      </w:r>
      <w:r w:rsidR="00F77BA6">
        <w:rPr>
          <w:rFonts w:ascii="Times New Roman" w:eastAsia="Calibri" w:hAnsi="Times New Roman" w:cs="Times New Roman"/>
        </w:rPr>
        <w:t xml:space="preserve">volunteer </w:t>
      </w:r>
      <w:r w:rsidRPr="00934140">
        <w:rPr>
          <w:rFonts w:ascii="Times New Roman" w:eastAsia="Calibri" w:hAnsi="Times New Roman" w:cs="Times New Roman"/>
        </w:rPr>
        <w:t>without good peripheral venous access.</w:t>
      </w:r>
    </w:p>
    <w:p w14:paraId="2C943BDB" w14:textId="77777777" w:rsidR="00934140" w:rsidRPr="00934140" w:rsidRDefault="00934140" w:rsidP="00934140">
      <w:pPr>
        <w:spacing w:after="0" w:line="240" w:lineRule="auto"/>
        <w:jc w:val="both"/>
        <w:rPr>
          <w:rFonts w:ascii="Times New Roman" w:eastAsia="Calibri" w:hAnsi="Times New Roman" w:cs="Times New Roman"/>
          <w:b/>
        </w:rPr>
      </w:pPr>
      <w:r w:rsidRPr="00934140">
        <w:rPr>
          <w:rFonts w:ascii="Times New Roman" w:eastAsia="Calibri" w:hAnsi="Times New Roman" w:cs="Times New Roman"/>
          <w:b/>
        </w:rPr>
        <w:t>Biological status:</w:t>
      </w:r>
    </w:p>
    <w:p w14:paraId="4DC8FA54" w14:textId="77777777" w:rsidR="00934140" w:rsidRPr="00934140" w:rsidRDefault="00934140" w:rsidP="00934140">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Positive result on any of the following tests: hepatitis B surface antigen (HBs Ag), anti-hepatitis B core antibodies (anti-HBc Ab), anti-hepatitis C virus (anti-HCV) antibodies, anti-human immunodeficiency virus 1 and 2 antibodies (anti-HIV1 and anti-HIV2 Ab).</w:t>
      </w:r>
    </w:p>
    <w:p w14:paraId="770D9C0B" w14:textId="77777777" w:rsidR="00F77BA6" w:rsidRDefault="00934140" w:rsidP="00F77BA6">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 xml:space="preserve">Positive urine drug test. Any drug in the urine drug screen unless there was an explanation acceptable to </w:t>
      </w:r>
      <w:r w:rsidR="00F77BA6">
        <w:rPr>
          <w:rFonts w:ascii="Times New Roman" w:eastAsia="Calibri" w:hAnsi="Times New Roman" w:cs="Times New Roman"/>
        </w:rPr>
        <w:t>the i</w:t>
      </w:r>
      <w:r w:rsidRPr="00934140">
        <w:rPr>
          <w:rFonts w:ascii="Times New Roman" w:eastAsia="Calibri" w:hAnsi="Times New Roman" w:cs="Times New Roman"/>
        </w:rPr>
        <w:t xml:space="preserve">nvestigator (e.g., the </w:t>
      </w:r>
      <w:r w:rsidR="00F77BA6">
        <w:rPr>
          <w:rFonts w:ascii="Times New Roman" w:eastAsia="Calibri" w:hAnsi="Times New Roman" w:cs="Times New Roman"/>
        </w:rPr>
        <w:t>volunteer</w:t>
      </w:r>
      <w:r w:rsidRPr="00934140">
        <w:rPr>
          <w:rFonts w:ascii="Times New Roman" w:eastAsia="Calibri" w:hAnsi="Times New Roman" w:cs="Times New Roman"/>
        </w:rPr>
        <w:t xml:space="preserve"> had stated in advance that they had consumed a prescription or over-the-counter product which contained the detected drug) and/or the </w:t>
      </w:r>
      <w:r w:rsidR="00F77BA6">
        <w:rPr>
          <w:rFonts w:ascii="Times New Roman" w:eastAsia="Calibri" w:hAnsi="Times New Roman" w:cs="Times New Roman"/>
        </w:rPr>
        <w:t xml:space="preserve">volunteer </w:t>
      </w:r>
      <w:r w:rsidRPr="00934140">
        <w:rPr>
          <w:rFonts w:ascii="Times New Roman" w:eastAsia="Calibri" w:hAnsi="Times New Roman" w:cs="Times New Roman"/>
        </w:rPr>
        <w:t xml:space="preserve">had a negative urine drug screen on retest by the pathology laboratory. Any </w:t>
      </w:r>
      <w:r w:rsidR="00F77BA6">
        <w:rPr>
          <w:rFonts w:ascii="Times New Roman" w:eastAsia="Calibri" w:hAnsi="Times New Roman" w:cs="Times New Roman"/>
        </w:rPr>
        <w:t>volunteer</w:t>
      </w:r>
      <w:r w:rsidRPr="00934140">
        <w:rPr>
          <w:rFonts w:ascii="Times New Roman" w:eastAsia="Calibri" w:hAnsi="Times New Roman" w:cs="Times New Roman"/>
        </w:rPr>
        <w:t xml:space="preserve"> testing positive for acetaminophen (paracetamol) at screening and/or inoculation day may still have been eligible for study participation, at </w:t>
      </w:r>
      <w:r w:rsidR="00F77BA6">
        <w:rPr>
          <w:rFonts w:ascii="Times New Roman" w:eastAsia="Calibri" w:hAnsi="Times New Roman" w:cs="Times New Roman"/>
        </w:rPr>
        <w:t>the i</w:t>
      </w:r>
      <w:r w:rsidRPr="00934140">
        <w:rPr>
          <w:rFonts w:ascii="Times New Roman" w:eastAsia="Calibri" w:hAnsi="Times New Roman" w:cs="Times New Roman"/>
        </w:rPr>
        <w:t>nvestigator’s discretion.</w:t>
      </w:r>
    </w:p>
    <w:p w14:paraId="33988BC2" w14:textId="31B49039" w:rsidR="00934140" w:rsidRPr="00934140" w:rsidRDefault="00934140" w:rsidP="00F77BA6">
      <w:pPr>
        <w:numPr>
          <w:ilvl w:val="0"/>
          <w:numId w:val="16"/>
        </w:numPr>
        <w:spacing w:before="200" w:after="0" w:line="240" w:lineRule="auto"/>
        <w:contextualSpacing/>
        <w:jc w:val="both"/>
        <w:rPr>
          <w:rFonts w:ascii="Times New Roman" w:eastAsia="Calibri" w:hAnsi="Times New Roman" w:cs="Times New Roman"/>
        </w:rPr>
      </w:pPr>
      <w:r w:rsidRPr="00934140">
        <w:rPr>
          <w:rFonts w:ascii="Times New Roman" w:eastAsia="Calibri" w:hAnsi="Times New Roman" w:cs="Times New Roman"/>
        </w:rPr>
        <w:t>Positive alcohol breath test.</w:t>
      </w:r>
    </w:p>
    <w:p w14:paraId="19BC678F" w14:textId="7F6E118A" w:rsidR="001E0DDD" w:rsidRDefault="001E0DDD" w:rsidP="001E0DDD"/>
    <w:p w14:paraId="3CA3E381" w14:textId="675DA0C4" w:rsidR="00DF45DC" w:rsidRDefault="00DF45DC" w:rsidP="001E0DDD"/>
    <w:p w14:paraId="0DED7DD6" w14:textId="44CF6460" w:rsidR="00DF45DC" w:rsidRDefault="00DF45DC" w:rsidP="001E0DDD"/>
    <w:p w14:paraId="634A7FDA" w14:textId="7C73898C" w:rsidR="00DF45DC" w:rsidRDefault="00DF45DC" w:rsidP="001E0DDD"/>
    <w:p w14:paraId="7770CB26" w14:textId="250523AF" w:rsidR="00DF45DC" w:rsidRDefault="00DF45DC" w:rsidP="001E0DDD"/>
    <w:p w14:paraId="5136C877" w14:textId="31FFDA66" w:rsidR="00DF45DC" w:rsidRDefault="00DF45DC" w:rsidP="001E0DDD"/>
    <w:p w14:paraId="3F6A55CB" w14:textId="01E68E96" w:rsidR="00DF45DC" w:rsidRDefault="00DF45DC" w:rsidP="001E0DDD"/>
    <w:p w14:paraId="04F8B8F5" w14:textId="0C2ADDED" w:rsidR="00DF45DC" w:rsidRDefault="00DF45DC" w:rsidP="001E0DDD"/>
    <w:p w14:paraId="6390842B" w14:textId="27EAA035" w:rsidR="00DF45DC" w:rsidRDefault="00DF45DC" w:rsidP="001E0DDD"/>
    <w:p w14:paraId="6F10CD6B" w14:textId="03EE4298" w:rsidR="00DF45DC" w:rsidRDefault="00DF45DC" w:rsidP="001E0DDD"/>
    <w:p w14:paraId="667D72D2" w14:textId="0E0DBE03" w:rsidR="00DF45DC" w:rsidRDefault="00DF45DC" w:rsidP="001E0DDD"/>
    <w:p w14:paraId="36E1AFB8" w14:textId="24CC785F" w:rsidR="00DF45DC" w:rsidRPr="00393DBE" w:rsidRDefault="00DF45DC" w:rsidP="00DF45DC">
      <w:pPr>
        <w:pStyle w:val="Heading1"/>
        <w:spacing w:after="200"/>
        <w:rPr>
          <w:rFonts w:ascii="Times New Roman" w:hAnsi="Times New Roman" w:cs="Times New Roman"/>
          <w:color w:val="auto"/>
          <w:sz w:val="22"/>
          <w:szCs w:val="22"/>
        </w:rPr>
      </w:pPr>
      <w:bookmarkStart w:id="13" w:name="_Toc98321000"/>
      <w:r>
        <w:rPr>
          <w:rFonts w:ascii="Times New Roman" w:hAnsi="Times New Roman" w:cs="Times New Roman"/>
          <w:b/>
          <w:color w:val="auto"/>
          <w:sz w:val="22"/>
          <w:szCs w:val="22"/>
        </w:rPr>
        <w:lastRenderedPageBreak/>
        <w:t>Text S2</w:t>
      </w:r>
      <w:r w:rsidRPr="00393DBE">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qPCR</w:t>
      </w:r>
      <w:proofErr w:type="gramEnd"/>
      <w:r>
        <w:rPr>
          <w:rFonts w:ascii="Times New Roman" w:hAnsi="Times New Roman" w:cs="Times New Roman"/>
          <w:color w:val="auto"/>
          <w:sz w:val="22"/>
          <w:szCs w:val="22"/>
        </w:rPr>
        <w:t xml:space="preserve"> analysis of mosquito head/thorax dissections</w:t>
      </w:r>
      <w:bookmarkEnd w:id="13"/>
    </w:p>
    <w:p w14:paraId="7EC772A5" w14:textId="4DFEFA7F" w:rsidR="005622D2" w:rsidRPr="00394A2A" w:rsidRDefault="00394A2A" w:rsidP="005622D2">
      <w:pPr>
        <w:autoSpaceDE w:val="0"/>
        <w:autoSpaceDN w:val="0"/>
        <w:spacing w:line="252" w:lineRule="auto"/>
        <w:ind w:right="811"/>
        <w:contextualSpacing/>
        <w:rPr>
          <w:rFonts w:ascii="Times New Roman" w:hAnsi="Times New Roman" w:cs="Times New Roman"/>
          <w:bCs/>
          <w:u w:val="single"/>
        </w:rPr>
      </w:pPr>
      <w:r>
        <w:rPr>
          <w:rFonts w:ascii="Times New Roman" w:hAnsi="Times New Roman" w:cs="Times New Roman"/>
          <w:bCs/>
          <w:u w:val="single"/>
        </w:rPr>
        <w:t>DNA e</w:t>
      </w:r>
      <w:r w:rsidR="005622D2" w:rsidRPr="00394A2A">
        <w:rPr>
          <w:rFonts w:ascii="Times New Roman" w:hAnsi="Times New Roman" w:cs="Times New Roman"/>
          <w:bCs/>
          <w:u w:val="single"/>
        </w:rPr>
        <w:t>xtraction</w:t>
      </w:r>
    </w:p>
    <w:p w14:paraId="44861B61" w14:textId="2F4EE415" w:rsidR="005622D2" w:rsidRPr="005622D2" w:rsidRDefault="00394A2A" w:rsidP="005622D2">
      <w:pPr>
        <w:autoSpaceDE w:val="0"/>
        <w:autoSpaceDN w:val="0"/>
        <w:spacing w:line="252" w:lineRule="auto"/>
        <w:ind w:right="811"/>
        <w:contextualSpacing/>
        <w:rPr>
          <w:rFonts w:ascii="Times New Roman" w:hAnsi="Times New Roman" w:cs="Times New Roman"/>
          <w:b/>
          <w:bCs/>
        </w:rPr>
      </w:pPr>
      <w:r>
        <w:rPr>
          <w:rFonts w:ascii="Times New Roman" w:hAnsi="Times New Roman" w:cs="Times New Roman"/>
        </w:rPr>
        <w:t>Mosquito head/</w:t>
      </w:r>
      <w:r w:rsidR="005622D2" w:rsidRPr="005622D2">
        <w:rPr>
          <w:rFonts w:ascii="Times New Roman" w:hAnsi="Times New Roman" w:cs="Times New Roman"/>
        </w:rPr>
        <w:t xml:space="preserve">thorax </w:t>
      </w:r>
      <w:r>
        <w:rPr>
          <w:rFonts w:ascii="Times New Roman" w:hAnsi="Times New Roman" w:cs="Times New Roman"/>
        </w:rPr>
        <w:t>dissections were</w:t>
      </w:r>
      <w:r w:rsidR="005622D2" w:rsidRPr="005622D2">
        <w:rPr>
          <w:rFonts w:ascii="Times New Roman" w:hAnsi="Times New Roman" w:cs="Times New Roman"/>
        </w:rPr>
        <w:t xml:space="preserve"> </w:t>
      </w:r>
      <w:r>
        <w:rPr>
          <w:rFonts w:ascii="Times New Roman" w:hAnsi="Times New Roman" w:cs="Times New Roman"/>
        </w:rPr>
        <w:t xml:space="preserve">collected in </w:t>
      </w:r>
      <w:r w:rsidR="005622D2" w:rsidRPr="005622D2">
        <w:rPr>
          <w:rFonts w:ascii="Times New Roman" w:hAnsi="Times New Roman" w:cs="Times New Roman"/>
        </w:rPr>
        <w:t>180</w:t>
      </w:r>
      <w:r>
        <w:rPr>
          <w:rFonts w:ascii="Times New Roman" w:hAnsi="Times New Roman" w:cs="Times New Roman"/>
        </w:rPr>
        <w:t xml:space="preserve"> </w:t>
      </w:r>
      <w:r w:rsidRPr="00394A2A">
        <w:rPr>
          <w:rFonts w:ascii="Symbol" w:hAnsi="Symbol" w:cs="Times New Roman"/>
        </w:rPr>
        <w:t></w:t>
      </w:r>
      <w:r>
        <w:rPr>
          <w:rFonts w:ascii="Times New Roman" w:hAnsi="Times New Roman" w:cs="Times New Roman"/>
        </w:rPr>
        <w:t>l ATL buffer (</w:t>
      </w:r>
      <w:proofErr w:type="spellStart"/>
      <w:r>
        <w:rPr>
          <w:rFonts w:ascii="Times New Roman" w:hAnsi="Times New Roman" w:cs="Times New Roman"/>
        </w:rPr>
        <w:t>Qiagen</w:t>
      </w:r>
      <w:proofErr w:type="spellEnd"/>
      <w:r w:rsidR="005622D2" w:rsidRPr="005622D2">
        <w:rPr>
          <w:rFonts w:ascii="Times New Roman" w:hAnsi="Times New Roman" w:cs="Times New Roman"/>
        </w:rPr>
        <w:t>) and 5</w:t>
      </w:r>
      <w:r>
        <w:rPr>
          <w:rFonts w:ascii="Times New Roman" w:hAnsi="Times New Roman" w:cs="Times New Roman"/>
        </w:rPr>
        <w:t xml:space="preserve"> </w:t>
      </w:r>
      <w:r w:rsidRPr="00394A2A">
        <w:rPr>
          <w:rFonts w:ascii="Symbol" w:hAnsi="Symbol" w:cs="Times New Roman"/>
        </w:rPr>
        <w:t></w:t>
      </w:r>
      <w:r w:rsidR="005622D2" w:rsidRPr="005622D2">
        <w:rPr>
          <w:rFonts w:ascii="Times New Roman" w:hAnsi="Times New Roman" w:cs="Times New Roman"/>
        </w:rPr>
        <w:t xml:space="preserve">l </w:t>
      </w:r>
      <w:r>
        <w:rPr>
          <w:rFonts w:ascii="Times New Roman" w:hAnsi="Times New Roman" w:cs="Times New Roman"/>
        </w:rPr>
        <w:t xml:space="preserve">DNA </w:t>
      </w:r>
      <w:r w:rsidR="005622D2" w:rsidRPr="005622D2">
        <w:rPr>
          <w:rFonts w:ascii="Times New Roman" w:hAnsi="Times New Roman" w:cs="Times New Roman"/>
        </w:rPr>
        <w:t xml:space="preserve">extraction control </w:t>
      </w:r>
      <w:r>
        <w:rPr>
          <w:rFonts w:ascii="Times New Roman" w:hAnsi="Times New Roman" w:cs="Times New Roman"/>
        </w:rPr>
        <w:t xml:space="preserve">(DEC) was </w:t>
      </w:r>
      <w:r w:rsidR="005622D2" w:rsidRPr="005622D2">
        <w:rPr>
          <w:rFonts w:ascii="Times New Roman" w:hAnsi="Times New Roman" w:cs="Times New Roman"/>
        </w:rPr>
        <w:t>added prior to processin</w:t>
      </w:r>
      <w:r w:rsidR="003F3B26">
        <w:rPr>
          <w:rFonts w:ascii="Times New Roman" w:hAnsi="Times New Roman" w:cs="Times New Roman"/>
        </w:rPr>
        <w:t>g. Bead</w:t>
      </w:r>
      <w:r>
        <w:rPr>
          <w:rFonts w:ascii="Times New Roman" w:hAnsi="Times New Roman" w:cs="Times New Roman"/>
        </w:rPr>
        <w:t xml:space="preserve"> beating was performed using</w:t>
      </w:r>
      <w:r w:rsidR="005622D2" w:rsidRPr="005622D2">
        <w:rPr>
          <w:rFonts w:ascii="Times New Roman" w:hAnsi="Times New Roman" w:cs="Times New Roman"/>
        </w:rPr>
        <w:t xml:space="preserve"> </w:t>
      </w:r>
      <w:r>
        <w:rPr>
          <w:rFonts w:ascii="Times New Roman" w:hAnsi="Times New Roman" w:cs="Times New Roman"/>
        </w:rPr>
        <w:t xml:space="preserve">a </w:t>
      </w:r>
      <w:r w:rsidR="005622D2" w:rsidRPr="005622D2">
        <w:rPr>
          <w:rFonts w:ascii="Times New Roman" w:hAnsi="Times New Roman" w:cs="Times New Roman"/>
        </w:rPr>
        <w:t>Mini</w:t>
      </w:r>
      <w:r>
        <w:rPr>
          <w:rFonts w:ascii="Times New Roman" w:hAnsi="Times New Roman" w:cs="Times New Roman"/>
        </w:rPr>
        <w:t>-</w:t>
      </w:r>
      <w:proofErr w:type="spellStart"/>
      <w:r>
        <w:rPr>
          <w:rFonts w:ascii="Times New Roman" w:hAnsi="Times New Roman" w:cs="Times New Roman"/>
        </w:rPr>
        <w:t>B</w:t>
      </w:r>
      <w:r w:rsidR="005622D2" w:rsidRPr="005622D2">
        <w:rPr>
          <w:rFonts w:ascii="Times New Roman" w:hAnsi="Times New Roman" w:cs="Times New Roman"/>
        </w:rPr>
        <w:t>eadbeater</w:t>
      </w:r>
      <w:proofErr w:type="spellEnd"/>
      <w:r w:rsidR="005622D2" w:rsidRPr="005622D2">
        <w:rPr>
          <w:rFonts w:ascii="Times New Roman" w:hAnsi="Times New Roman" w:cs="Times New Roman"/>
        </w:rPr>
        <w:t xml:space="preserve"> </w:t>
      </w:r>
      <w:r>
        <w:rPr>
          <w:rFonts w:ascii="Times New Roman" w:hAnsi="Times New Roman" w:cs="Times New Roman"/>
        </w:rPr>
        <w:t xml:space="preserve">(Sigma-Aldrich) </w:t>
      </w:r>
      <w:r w:rsidR="005622D2" w:rsidRPr="005622D2">
        <w:rPr>
          <w:rFonts w:ascii="Times New Roman" w:hAnsi="Times New Roman" w:cs="Times New Roman"/>
        </w:rPr>
        <w:t xml:space="preserve">for 2 minutes </w:t>
      </w:r>
      <w:r>
        <w:rPr>
          <w:rFonts w:ascii="Times New Roman" w:hAnsi="Times New Roman" w:cs="Times New Roman"/>
        </w:rPr>
        <w:t>with</w:t>
      </w:r>
      <w:r w:rsidR="005622D2" w:rsidRPr="005622D2">
        <w:rPr>
          <w:rFonts w:ascii="Times New Roman" w:hAnsi="Times New Roman" w:cs="Times New Roman"/>
        </w:rPr>
        <w:t xml:space="preserve"> 2.3</w:t>
      </w:r>
      <w:r>
        <w:rPr>
          <w:rFonts w:ascii="Times New Roman" w:hAnsi="Times New Roman" w:cs="Times New Roman"/>
        </w:rPr>
        <w:t xml:space="preserve"> </w:t>
      </w:r>
      <w:r w:rsidR="005622D2" w:rsidRPr="005622D2">
        <w:rPr>
          <w:rFonts w:ascii="Times New Roman" w:hAnsi="Times New Roman" w:cs="Times New Roman"/>
        </w:rPr>
        <w:t>mm Zirconia/Silic</w:t>
      </w:r>
      <w:r>
        <w:rPr>
          <w:rFonts w:ascii="Times New Roman" w:hAnsi="Times New Roman" w:cs="Times New Roman"/>
        </w:rPr>
        <w:t xml:space="preserve">a beads. </w:t>
      </w:r>
      <w:r w:rsidRPr="005622D2">
        <w:rPr>
          <w:rFonts w:ascii="Times New Roman" w:hAnsi="Times New Roman" w:cs="Times New Roman"/>
        </w:rPr>
        <w:t>40</w:t>
      </w:r>
      <w:r>
        <w:rPr>
          <w:rFonts w:ascii="Times New Roman" w:hAnsi="Times New Roman" w:cs="Times New Roman"/>
        </w:rPr>
        <w:t xml:space="preserve"> </w:t>
      </w:r>
      <w:r w:rsidRPr="00394A2A">
        <w:rPr>
          <w:rFonts w:ascii="Symbol" w:hAnsi="Symbol" w:cs="Times New Roman"/>
        </w:rPr>
        <w:t></w:t>
      </w:r>
      <w:r w:rsidRPr="005622D2">
        <w:rPr>
          <w:rFonts w:ascii="Times New Roman" w:hAnsi="Times New Roman" w:cs="Times New Roman"/>
        </w:rPr>
        <w:t>l</w:t>
      </w:r>
      <w:r>
        <w:rPr>
          <w:rFonts w:ascii="Times New Roman" w:hAnsi="Times New Roman" w:cs="Times New Roman"/>
        </w:rPr>
        <w:t xml:space="preserve"> Proteinase K </w:t>
      </w:r>
      <w:r w:rsidR="005622D2" w:rsidRPr="005622D2">
        <w:rPr>
          <w:rFonts w:ascii="Times New Roman" w:hAnsi="Times New Roman" w:cs="Times New Roman"/>
        </w:rPr>
        <w:t>(</w:t>
      </w:r>
      <w:proofErr w:type="spellStart"/>
      <w:r w:rsidR="003F3B26">
        <w:rPr>
          <w:rFonts w:ascii="Times New Roman" w:hAnsi="Times New Roman" w:cs="Times New Roman"/>
        </w:rPr>
        <w:t>Qiagen</w:t>
      </w:r>
      <w:proofErr w:type="spellEnd"/>
      <w:r w:rsidR="005622D2" w:rsidRPr="005622D2">
        <w:rPr>
          <w:rFonts w:ascii="Times New Roman" w:hAnsi="Times New Roman" w:cs="Times New Roman"/>
        </w:rPr>
        <w:t xml:space="preserve">) </w:t>
      </w:r>
      <w:r>
        <w:rPr>
          <w:rFonts w:ascii="Times New Roman" w:hAnsi="Times New Roman" w:cs="Times New Roman"/>
        </w:rPr>
        <w:t xml:space="preserve">was added </w:t>
      </w:r>
      <w:r w:rsidR="005622D2" w:rsidRPr="005622D2">
        <w:rPr>
          <w:rFonts w:ascii="Times New Roman" w:hAnsi="Times New Roman" w:cs="Times New Roman"/>
        </w:rPr>
        <w:t xml:space="preserve">and the samples </w:t>
      </w:r>
      <w:r>
        <w:rPr>
          <w:rFonts w:ascii="Times New Roman" w:hAnsi="Times New Roman" w:cs="Times New Roman"/>
        </w:rPr>
        <w:t xml:space="preserve">were </w:t>
      </w:r>
      <w:r w:rsidR="005622D2" w:rsidRPr="005622D2">
        <w:rPr>
          <w:rFonts w:ascii="Times New Roman" w:hAnsi="Times New Roman" w:cs="Times New Roman"/>
        </w:rPr>
        <w:t xml:space="preserve">incubated </w:t>
      </w:r>
      <w:r>
        <w:rPr>
          <w:rFonts w:ascii="Times New Roman" w:hAnsi="Times New Roman" w:cs="Times New Roman"/>
        </w:rPr>
        <w:t>for a minimum of 3 hours</w:t>
      </w:r>
      <w:r w:rsidR="005622D2" w:rsidRPr="005622D2">
        <w:rPr>
          <w:rFonts w:ascii="Times New Roman" w:hAnsi="Times New Roman" w:cs="Times New Roman"/>
        </w:rPr>
        <w:t>. DNA extraction was performed using</w:t>
      </w:r>
      <w:r w:rsidR="00C17C89">
        <w:rPr>
          <w:rFonts w:ascii="Times New Roman" w:hAnsi="Times New Roman" w:cs="Times New Roman"/>
        </w:rPr>
        <w:t xml:space="preserve"> a</w:t>
      </w:r>
      <w:r w:rsidR="005622D2" w:rsidRPr="005622D2">
        <w:rPr>
          <w:rFonts w:ascii="Times New Roman" w:hAnsi="Times New Roman" w:cs="Times New Roman"/>
        </w:rPr>
        <w:t xml:space="preserve"> </w:t>
      </w:r>
      <w:proofErr w:type="spellStart"/>
      <w:r w:rsidR="005622D2" w:rsidRPr="005622D2">
        <w:rPr>
          <w:rFonts w:ascii="Times New Roman" w:hAnsi="Times New Roman" w:cs="Times New Roman"/>
        </w:rPr>
        <w:t>DNeasy</w:t>
      </w:r>
      <w:proofErr w:type="spellEnd"/>
      <w:r w:rsidR="005622D2" w:rsidRPr="005622D2">
        <w:rPr>
          <w:rFonts w:ascii="Times New Roman" w:hAnsi="Times New Roman" w:cs="Times New Roman"/>
        </w:rPr>
        <w:t xml:space="preserve"> B</w:t>
      </w:r>
      <w:r w:rsidR="00C17C89">
        <w:rPr>
          <w:rFonts w:ascii="Times New Roman" w:hAnsi="Times New Roman" w:cs="Times New Roman"/>
        </w:rPr>
        <w:t>lood and Tissue Kit (</w:t>
      </w:r>
      <w:proofErr w:type="spellStart"/>
      <w:r w:rsidR="00C17C89">
        <w:rPr>
          <w:rFonts w:ascii="Times New Roman" w:hAnsi="Times New Roman" w:cs="Times New Roman"/>
        </w:rPr>
        <w:t>Qiagen</w:t>
      </w:r>
      <w:proofErr w:type="spellEnd"/>
      <w:r w:rsidR="005622D2" w:rsidRPr="005622D2">
        <w:rPr>
          <w:rFonts w:ascii="Times New Roman" w:hAnsi="Times New Roman" w:cs="Times New Roman"/>
        </w:rPr>
        <w:t xml:space="preserve">) </w:t>
      </w:r>
      <w:r w:rsidR="00C17C89">
        <w:rPr>
          <w:rFonts w:ascii="Times New Roman" w:hAnsi="Times New Roman" w:cs="Times New Roman"/>
        </w:rPr>
        <w:t>in accordance with</w:t>
      </w:r>
      <w:r w:rsidR="005622D2" w:rsidRPr="005622D2">
        <w:rPr>
          <w:rFonts w:ascii="Times New Roman" w:hAnsi="Times New Roman" w:cs="Times New Roman"/>
        </w:rPr>
        <w:t xml:space="preserve"> the manufacturer’s instructions. DNA was eluted in 50</w:t>
      </w:r>
      <w:r w:rsidR="00C17C89">
        <w:rPr>
          <w:rFonts w:ascii="Times New Roman" w:hAnsi="Times New Roman" w:cs="Times New Roman"/>
        </w:rPr>
        <w:t xml:space="preserve"> </w:t>
      </w:r>
      <w:r w:rsidR="00C17C89" w:rsidRPr="00C17C89">
        <w:rPr>
          <w:rFonts w:ascii="Symbol" w:hAnsi="Symbol" w:cs="Times New Roman"/>
        </w:rPr>
        <w:t></w:t>
      </w:r>
      <w:r w:rsidR="00C17C89">
        <w:rPr>
          <w:rFonts w:ascii="Times New Roman" w:hAnsi="Times New Roman" w:cs="Times New Roman"/>
        </w:rPr>
        <w:t>l AE buffer (</w:t>
      </w:r>
      <w:proofErr w:type="spellStart"/>
      <w:r w:rsidR="00C17C89">
        <w:rPr>
          <w:rFonts w:ascii="Times New Roman" w:hAnsi="Times New Roman" w:cs="Times New Roman"/>
        </w:rPr>
        <w:t>Qiagen</w:t>
      </w:r>
      <w:proofErr w:type="spellEnd"/>
      <w:r w:rsidR="005622D2" w:rsidRPr="005622D2">
        <w:rPr>
          <w:rFonts w:ascii="Times New Roman" w:hAnsi="Times New Roman" w:cs="Times New Roman"/>
        </w:rPr>
        <w:t>).</w:t>
      </w:r>
    </w:p>
    <w:p w14:paraId="67D52064" w14:textId="77777777" w:rsidR="005622D2" w:rsidRPr="005622D2" w:rsidRDefault="005622D2" w:rsidP="005622D2">
      <w:pPr>
        <w:autoSpaceDE w:val="0"/>
        <w:autoSpaceDN w:val="0"/>
        <w:spacing w:line="252" w:lineRule="auto"/>
        <w:ind w:left="1026" w:right="811"/>
        <w:contextualSpacing/>
        <w:rPr>
          <w:rFonts w:ascii="Times New Roman" w:hAnsi="Times New Roman" w:cs="Times New Roman"/>
          <w:b/>
          <w:bCs/>
        </w:rPr>
      </w:pPr>
    </w:p>
    <w:p w14:paraId="76489975" w14:textId="2243CB4A" w:rsidR="005622D2" w:rsidRPr="00394A2A" w:rsidRDefault="005622D2" w:rsidP="005622D2">
      <w:pPr>
        <w:autoSpaceDE w:val="0"/>
        <w:autoSpaceDN w:val="0"/>
        <w:spacing w:line="252" w:lineRule="auto"/>
        <w:ind w:right="811"/>
        <w:contextualSpacing/>
        <w:rPr>
          <w:rFonts w:ascii="Times New Roman" w:hAnsi="Times New Roman" w:cs="Times New Roman"/>
          <w:bCs/>
          <w:u w:val="single"/>
        </w:rPr>
      </w:pPr>
      <w:proofErr w:type="gramStart"/>
      <w:r w:rsidRPr="00394A2A">
        <w:rPr>
          <w:rFonts w:ascii="Times New Roman" w:hAnsi="Times New Roman" w:cs="Times New Roman"/>
          <w:bCs/>
          <w:u w:val="single"/>
        </w:rPr>
        <w:t>qPCR</w:t>
      </w:r>
      <w:proofErr w:type="gramEnd"/>
      <w:r w:rsidRPr="00394A2A">
        <w:rPr>
          <w:rFonts w:ascii="Times New Roman" w:hAnsi="Times New Roman" w:cs="Times New Roman"/>
          <w:bCs/>
          <w:u w:val="single"/>
        </w:rPr>
        <w:t xml:space="preserve"> assay</w:t>
      </w:r>
      <w:r w:rsidR="0000408B">
        <w:rPr>
          <w:rFonts w:ascii="Times New Roman" w:hAnsi="Times New Roman" w:cs="Times New Roman"/>
          <w:bCs/>
          <w:u w:val="single"/>
        </w:rPr>
        <w:t>s</w:t>
      </w:r>
      <w:r w:rsidRPr="00394A2A">
        <w:rPr>
          <w:rFonts w:ascii="Times New Roman" w:hAnsi="Times New Roman" w:cs="Times New Roman"/>
          <w:bCs/>
          <w:u w:val="single"/>
        </w:rPr>
        <w:t xml:space="preserve"> </w:t>
      </w:r>
    </w:p>
    <w:p w14:paraId="3CC491D0" w14:textId="23B0069C" w:rsidR="005622D2" w:rsidRDefault="005622D2" w:rsidP="00C17C89">
      <w:pPr>
        <w:autoSpaceDE w:val="0"/>
        <w:autoSpaceDN w:val="0"/>
        <w:spacing w:line="252" w:lineRule="auto"/>
        <w:ind w:right="811"/>
        <w:contextualSpacing/>
        <w:rPr>
          <w:rFonts w:ascii="Times New Roman" w:hAnsi="Times New Roman" w:cs="Times New Roman"/>
          <w:b/>
          <w:bCs/>
        </w:rPr>
      </w:pPr>
      <w:proofErr w:type="gramStart"/>
      <w:r w:rsidRPr="005622D2">
        <w:rPr>
          <w:rFonts w:ascii="Times New Roman" w:hAnsi="Times New Roman" w:cs="Times New Roman"/>
          <w:lang w:val="en-US"/>
        </w:rPr>
        <w:t>qPCR</w:t>
      </w:r>
      <w:proofErr w:type="gramEnd"/>
      <w:r w:rsidRPr="005622D2">
        <w:rPr>
          <w:rFonts w:ascii="Times New Roman" w:hAnsi="Times New Roman" w:cs="Times New Roman"/>
          <w:lang w:val="en-US"/>
        </w:rPr>
        <w:t xml:space="preserve"> </w:t>
      </w:r>
      <w:r w:rsidR="0000408B">
        <w:rPr>
          <w:rFonts w:ascii="Times New Roman" w:hAnsi="Times New Roman" w:cs="Times New Roman"/>
          <w:lang w:val="en-US"/>
        </w:rPr>
        <w:t xml:space="preserve">assays </w:t>
      </w:r>
      <w:r w:rsidRPr="005622D2">
        <w:rPr>
          <w:rFonts w:ascii="Times New Roman" w:hAnsi="Times New Roman" w:cs="Times New Roman"/>
          <w:lang w:val="en-US"/>
        </w:rPr>
        <w:t>w</w:t>
      </w:r>
      <w:r w:rsidR="0000408B">
        <w:rPr>
          <w:rFonts w:ascii="Times New Roman" w:hAnsi="Times New Roman" w:cs="Times New Roman"/>
          <w:lang w:val="en-US"/>
        </w:rPr>
        <w:t>ere</w:t>
      </w:r>
      <w:r w:rsidRPr="005622D2">
        <w:rPr>
          <w:rFonts w:ascii="Times New Roman" w:hAnsi="Times New Roman" w:cs="Times New Roman"/>
          <w:lang w:val="en-US"/>
        </w:rPr>
        <w:t xml:space="preserve"> performed using </w:t>
      </w:r>
      <w:r w:rsidR="00C17C89">
        <w:rPr>
          <w:rFonts w:ascii="Times New Roman" w:hAnsi="Times New Roman" w:cs="Times New Roman"/>
          <w:lang w:val="en-US"/>
        </w:rPr>
        <w:t xml:space="preserve">a </w:t>
      </w:r>
      <w:proofErr w:type="spellStart"/>
      <w:r w:rsidRPr="005622D2">
        <w:rPr>
          <w:rFonts w:ascii="Times New Roman" w:hAnsi="Times New Roman" w:cs="Times New Roman"/>
          <w:lang w:val="en-US"/>
        </w:rPr>
        <w:t>QuantiNova</w:t>
      </w:r>
      <w:proofErr w:type="spellEnd"/>
      <w:r w:rsidRPr="005622D2">
        <w:rPr>
          <w:rFonts w:ascii="Times New Roman" w:hAnsi="Times New Roman" w:cs="Times New Roman"/>
          <w:lang w:val="en-US"/>
        </w:rPr>
        <w:t xml:space="preserve"> </w:t>
      </w:r>
      <w:r w:rsidR="00C17C89">
        <w:rPr>
          <w:rFonts w:ascii="Times New Roman" w:hAnsi="Times New Roman" w:cs="Times New Roman"/>
          <w:lang w:val="en-US"/>
        </w:rPr>
        <w:t>Probe PCR Kit (</w:t>
      </w:r>
      <w:proofErr w:type="spellStart"/>
      <w:r w:rsidR="00C17C89">
        <w:rPr>
          <w:rFonts w:ascii="Times New Roman" w:hAnsi="Times New Roman" w:cs="Times New Roman"/>
          <w:lang w:val="en-US"/>
        </w:rPr>
        <w:t>Qiagen</w:t>
      </w:r>
      <w:proofErr w:type="spellEnd"/>
      <w:r w:rsidR="00C17C89">
        <w:rPr>
          <w:rFonts w:ascii="Times New Roman" w:hAnsi="Times New Roman" w:cs="Times New Roman"/>
          <w:lang w:val="en-US"/>
        </w:rPr>
        <w:t xml:space="preserve">) </w:t>
      </w:r>
      <w:r w:rsidR="004968E5">
        <w:rPr>
          <w:rFonts w:ascii="Times New Roman" w:hAnsi="Times New Roman" w:cs="Times New Roman"/>
          <w:lang w:val="en-US"/>
        </w:rPr>
        <w:t xml:space="preserve">and </w:t>
      </w:r>
      <w:r w:rsidR="004968E5" w:rsidRPr="004968E5">
        <w:rPr>
          <w:rFonts w:ascii="Times New Roman" w:hAnsi="Times New Roman" w:cs="Times New Roman"/>
          <w:lang w:val="en-US"/>
        </w:rPr>
        <w:t xml:space="preserve">Bio-Rad </w:t>
      </w:r>
      <w:r w:rsidR="003F3B26">
        <w:rPr>
          <w:rFonts w:ascii="Times New Roman" w:hAnsi="Times New Roman" w:cs="Times New Roman"/>
          <w:lang w:val="en-US"/>
        </w:rPr>
        <w:t>CF</w:t>
      </w:r>
      <w:r w:rsidR="004968E5" w:rsidRPr="004968E5">
        <w:rPr>
          <w:rFonts w:ascii="Times New Roman" w:hAnsi="Times New Roman" w:cs="Times New Roman"/>
          <w:lang w:val="en-US"/>
        </w:rPr>
        <w:t>X384</w:t>
      </w:r>
      <w:r w:rsidR="004968E5">
        <w:rPr>
          <w:rFonts w:ascii="Times New Roman" w:hAnsi="Times New Roman" w:cs="Times New Roman"/>
          <w:lang w:val="en-US"/>
        </w:rPr>
        <w:t xml:space="preserve"> </w:t>
      </w:r>
      <w:r w:rsidR="004968E5" w:rsidRPr="004968E5">
        <w:rPr>
          <w:rFonts w:ascii="Times New Roman" w:hAnsi="Times New Roman" w:cs="Times New Roman"/>
          <w:lang w:val="en-US"/>
        </w:rPr>
        <w:t xml:space="preserve">Real-Time PCR Detection System </w:t>
      </w:r>
      <w:r w:rsidR="00C17C89">
        <w:rPr>
          <w:rFonts w:ascii="Times New Roman" w:hAnsi="Times New Roman" w:cs="Times New Roman"/>
          <w:lang w:val="en-US"/>
        </w:rPr>
        <w:t xml:space="preserve">in accordance with the </w:t>
      </w:r>
      <w:r w:rsidR="004968E5">
        <w:rPr>
          <w:rFonts w:ascii="Times New Roman" w:hAnsi="Times New Roman" w:cs="Times New Roman"/>
          <w:lang w:val="en-US"/>
        </w:rPr>
        <w:t>manufacturer</w:t>
      </w:r>
      <w:r w:rsidRPr="005622D2">
        <w:rPr>
          <w:rFonts w:ascii="Times New Roman" w:hAnsi="Times New Roman" w:cs="Times New Roman"/>
          <w:lang w:val="en-US"/>
        </w:rPr>
        <w:t>s</w:t>
      </w:r>
      <w:r w:rsidR="004968E5">
        <w:rPr>
          <w:rFonts w:ascii="Times New Roman" w:hAnsi="Times New Roman" w:cs="Times New Roman"/>
          <w:lang w:val="en-US"/>
        </w:rPr>
        <w:t>’</w:t>
      </w:r>
      <w:r w:rsidRPr="005622D2">
        <w:rPr>
          <w:rFonts w:ascii="Times New Roman" w:hAnsi="Times New Roman" w:cs="Times New Roman"/>
          <w:lang w:val="en-US"/>
        </w:rPr>
        <w:t xml:space="preserve"> instructions.</w:t>
      </w:r>
      <w:r w:rsidR="00C17C89">
        <w:rPr>
          <w:rFonts w:ascii="Times New Roman" w:hAnsi="Times New Roman" w:cs="Times New Roman"/>
          <w:b/>
          <w:bCs/>
        </w:rPr>
        <w:t xml:space="preserve"> </w:t>
      </w:r>
      <w:r w:rsidRPr="005622D2">
        <w:rPr>
          <w:rFonts w:ascii="Times New Roman" w:hAnsi="Times New Roman" w:cs="Times New Roman"/>
          <w:lang w:val="en-US"/>
        </w:rPr>
        <w:t>Deta</w:t>
      </w:r>
      <w:r w:rsidR="00C17C89">
        <w:rPr>
          <w:rFonts w:ascii="Times New Roman" w:hAnsi="Times New Roman" w:cs="Times New Roman"/>
          <w:lang w:val="en-US"/>
        </w:rPr>
        <w:t xml:space="preserve">ils of primers and probes </w:t>
      </w:r>
      <w:r w:rsidR="004968E5">
        <w:rPr>
          <w:rFonts w:ascii="Times New Roman" w:hAnsi="Times New Roman" w:cs="Times New Roman"/>
          <w:lang w:val="en-US"/>
        </w:rPr>
        <w:t xml:space="preserve">targeting the gene encoding </w:t>
      </w:r>
      <w:r w:rsidR="004968E5" w:rsidRPr="004968E5">
        <w:rPr>
          <w:rFonts w:ascii="Times New Roman" w:hAnsi="Times New Roman" w:cs="Times New Roman"/>
          <w:i/>
          <w:lang w:val="en-US"/>
        </w:rPr>
        <w:t>Plasmodium falciparum</w:t>
      </w:r>
      <w:r w:rsidR="004968E5">
        <w:rPr>
          <w:rFonts w:ascii="Times New Roman" w:hAnsi="Times New Roman" w:cs="Times New Roman"/>
          <w:lang w:val="en-US"/>
        </w:rPr>
        <w:t xml:space="preserve"> 18S </w:t>
      </w:r>
      <w:proofErr w:type="spellStart"/>
      <w:r w:rsidR="004968E5">
        <w:rPr>
          <w:rFonts w:ascii="Times New Roman" w:hAnsi="Times New Roman" w:cs="Times New Roman"/>
          <w:lang w:val="en-US"/>
        </w:rPr>
        <w:t>rRNA</w:t>
      </w:r>
      <w:proofErr w:type="spellEnd"/>
      <w:r w:rsidR="004968E5">
        <w:rPr>
          <w:rFonts w:ascii="Times New Roman" w:hAnsi="Times New Roman" w:cs="Times New Roman"/>
          <w:lang w:val="en-US"/>
        </w:rPr>
        <w:t xml:space="preserve"> </w:t>
      </w:r>
      <w:r w:rsidR="007B25ED">
        <w:rPr>
          <w:rFonts w:ascii="Times New Roman" w:hAnsi="Times New Roman" w:cs="Times New Roman"/>
          <w:lang w:val="en-US"/>
        </w:rPr>
        <w:t>(SAF18S assay</w:t>
      </w:r>
      <w:r w:rsidR="007F1EAA">
        <w:rPr>
          <w:rFonts w:ascii="Times New Roman" w:hAnsi="Times New Roman" w:cs="Times New Roman"/>
          <w:lang w:val="en-US"/>
        </w:rPr>
        <w:t xml:space="preserve"> [1]</w:t>
      </w:r>
      <w:r w:rsidR="007B25ED">
        <w:rPr>
          <w:rFonts w:ascii="Times New Roman" w:hAnsi="Times New Roman" w:cs="Times New Roman"/>
          <w:lang w:val="en-US"/>
        </w:rPr>
        <w:t xml:space="preserve">), </w:t>
      </w:r>
      <w:r w:rsidR="004968E5">
        <w:rPr>
          <w:rFonts w:ascii="Times New Roman" w:hAnsi="Times New Roman" w:cs="Times New Roman"/>
          <w:lang w:val="en-US"/>
        </w:rPr>
        <w:t xml:space="preserve">the gene encoding </w:t>
      </w:r>
      <w:r w:rsidR="004968E5" w:rsidRPr="004968E5">
        <w:rPr>
          <w:rFonts w:ascii="Times New Roman" w:hAnsi="Times New Roman" w:cs="Times New Roman"/>
          <w:i/>
          <w:lang w:val="en-US"/>
        </w:rPr>
        <w:t>Anopheles</w:t>
      </w:r>
      <w:r w:rsidR="006E1BF5">
        <w:rPr>
          <w:rFonts w:ascii="Times New Roman" w:hAnsi="Times New Roman" w:cs="Times New Roman"/>
          <w:lang w:val="en-US"/>
        </w:rPr>
        <w:t xml:space="preserve"> ribosomal protein S7 (RPS7 assay</w:t>
      </w:r>
      <w:r w:rsidR="007B25ED">
        <w:rPr>
          <w:rFonts w:ascii="Times New Roman" w:hAnsi="Times New Roman" w:cs="Times New Roman"/>
          <w:lang w:val="en-US"/>
        </w:rPr>
        <w:t>; mosquito tissue control</w:t>
      </w:r>
      <w:r w:rsidR="006E1BF5">
        <w:rPr>
          <w:rFonts w:ascii="Times New Roman" w:hAnsi="Times New Roman" w:cs="Times New Roman"/>
          <w:lang w:val="en-US"/>
        </w:rPr>
        <w:t>)</w:t>
      </w:r>
      <w:r w:rsidR="007B25ED">
        <w:rPr>
          <w:rFonts w:ascii="Times New Roman" w:hAnsi="Times New Roman" w:cs="Times New Roman"/>
          <w:lang w:val="en-US"/>
        </w:rPr>
        <w:t xml:space="preserve">, and the DEC assay </w:t>
      </w:r>
      <w:r w:rsidR="00C17C89">
        <w:rPr>
          <w:rFonts w:ascii="Times New Roman" w:hAnsi="Times New Roman" w:cs="Times New Roman"/>
          <w:lang w:val="en-US"/>
        </w:rPr>
        <w:t xml:space="preserve">are as follows: </w:t>
      </w:r>
    </w:p>
    <w:p w14:paraId="663EE3ED" w14:textId="77777777" w:rsidR="00C17C89" w:rsidRPr="00C17C89" w:rsidRDefault="00C17C89" w:rsidP="00C17C89">
      <w:pPr>
        <w:autoSpaceDE w:val="0"/>
        <w:autoSpaceDN w:val="0"/>
        <w:spacing w:line="252" w:lineRule="auto"/>
        <w:ind w:right="811"/>
        <w:contextualSpacing/>
        <w:rPr>
          <w:rFonts w:ascii="Times New Roman" w:hAnsi="Times New Roman" w:cs="Times New Roman"/>
          <w:b/>
          <w:bCs/>
        </w:rPr>
      </w:pPr>
    </w:p>
    <w:tbl>
      <w:tblPr>
        <w:tblW w:w="8921" w:type="dxa"/>
        <w:tblCellMar>
          <w:left w:w="0" w:type="dxa"/>
          <w:right w:w="0" w:type="dxa"/>
        </w:tblCellMar>
        <w:tblLook w:val="04A0" w:firstRow="1" w:lastRow="0" w:firstColumn="1" w:lastColumn="0" w:noHBand="0" w:noVBand="1"/>
      </w:tblPr>
      <w:tblGrid>
        <w:gridCol w:w="1309"/>
        <w:gridCol w:w="3546"/>
        <w:gridCol w:w="4066"/>
      </w:tblGrid>
      <w:tr w:rsidR="005622D2" w:rsidRPr="005622D2" w14:paraId="45168D9F" w14:textId="77777777" w:rsidTr="00053937">
        <w:trPr>
          <w:trHeight w:val="273"/>
        </w:trPr>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ABD7D" w14:textId="77777777" w:rsidR="005622D2" w:rsidRPr="005622D2" w:rsidRDefault="005622D2">
            <w:pPr>
              <w:ind w:left="240"/>
              <w:contextualSpacing/>
              <w:rPr>
                <w:rFonts w:ascii="Times New Roman" w:hAnsi="Times New Roman" w:cs="Times New Roman"/>
                <w:b/>
                <w:bCs/>
                <w:color w:val="000000"/>
              </w:rPr>
            </w:pPr>
            <w:r w:rsidRPr="005622D2">
              <w:rPr>
                <w:rFonts w:ascii="Times New Roman" w:hAnsi="Times New Roman" w:cs="Times New Roman"/>
                <w:b/>
                <w:bCs/>
                <w:color w:val="000000"/>
              </w:rPr>
              <w:t>Assay</w:t>
            </w:r>
          </w:p>
        </w:tc>
        <w:tc>
          <w:tcPr>
            <w:tcW w:w="3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E457F4" w14:textId="77777777" w:rsidR="005622D2" w:rsidRPr="005622D2" w:rsidRDefault="005622D2">
            <w:pPr>
              <w:ind w:left="-119"/>
              <w:contextualSpacing/>
              <w:jc w:val="center"/>
              <w:rPr>
                <w:rFonts w:ascii="Times New Roman" w:hAnsi="Times New Roman" w:cs="Times New Roman"/>
                <w:b/>
                <w:bCs/>
                <w:color w:val="000000"/>
              </w:rPr>
            </w:pPr>
            <w:r w:rsidRPr="005622D2">
              <w:rPr>
                <w:rFonts w:ascii="Times New Roman" w:hAnsi="Times New Roman" w:cs="Times New Roman"/>
                <w:b/>
                <w:bCs/>
                <w:color w:val="000000"/>
              </w:rPr>
              <w:t>Primer Sequences</w:t>
            </w:r>
          </w:p>
        </w:tc>
        <w:tc>
          <w:tcPr>
            <w:tcW w:w="40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E290" w14:textId="77777777" w:rsidR="005622D2" w:rsidRPr="005622D2" w:rsidRDefault="005622D2">
            <w:pPr>
              <w:ind w:left="-179"/>
              <w:contextualSpacing/>
              <w:jc w:val="center"/>
              <w:rPr>
                <w:rFonts w:ascii="Times New Roman" w:hAnsi="Times New Roman" w:cs="Times New Roman"/>
                <w:b/>
                <w:bCs/>
                <w:color w:val="000000"/>
              </w:rPr>
            </w:pPr>
            <w:r w:rsidRPr="005622D2">
              <w:rPr>
                <w:rFonts w:ascii="Times New Roman" w:hAnsi="Times New Roman" w:cs="Times New Roman"/>
                <w:b/>
                <w:bCs/>
                <w:color w:val="000000"/>
              </w:rPr>
              <w:t>Probe Sequence</w:t>
            </w:r>
          </w:p>
        </w:tc>
      </w:tr>
      <w:tr w:rsidR="005622D2" w:rsidRPr="005622D2" w14:paraId="248B9B8B" w14:textId="77777777" w:rsidTr="00053937">
        <w:trPr>
          <w:trHeight w:val="223"/>
        </w:trPr>
        <w:tc>
          <w:tcPr>
            <w:tcW w:w="13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3E867" w14:textId="77777777" w:rsidR="005622D2" w:rsidRPr="005622D2" w:rsidRDefault="005622D2">
            <w:pPr>
              <w:ind w:left="240"/>
              <w:contextualSpacing/>
              <w:rPr>
                <w:rFonts w:ascii="Times New Roman" w:hAnsi="Times New Roman" w:cs="Times New Roman"/>
                <w:b/>
                <w:bCs/>
                <w:color w:val="000000"/>
              </w:rPr>
            </w:pPr>
            <w:r w:rsidRPr="005622D2">
              <w:rPr>
                <w:rFonts w:ascii="Times New Roman" w:hAnsi="Times New Roman" w:cs="Times New Roman"/>
                <w:b/>
                <w:bCs/>
                <w:color w:val="000000"/>
              </w:rPr>
              <w:t>SAF18S</w:t>
            </w: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01377084" w14:textId="77777777" w:rsidR="005622D2" w:rsidRPr="005622D2" w:rsidRDefault="005622D2">
            <w:pPr>
              <w:ind w:left="151"/>
              <w:contextualSpacing/>
              <w:rPr>
                <w:rFonts w:ascii="Times New Roman" w:hAnsi="Times New Roman" w:cs="Times New Roman"/>
                <w:color w:val="000000"/>
                <w:sz w:val="16"/>
                <w:szCs w:val="16"/>
              </w:rPr>
            </w:pPr>
            <w:r w:rsidRPr="005622D2">
              <w:rPr>
                <w:rFonts w:ascii="Times New Roman" w:hAnsi="Times New Roman" w:cs="Times New Roman"/>
                <w:color w:val="000000"/>
                <w:sz w:val="16"/>
                <w:szCs w:val="16"/>
              </w:rPr>
              <w:t>Forward</w:t>
            </w:r>
          </w:p>
          <w:p w14:paraId="46E43B2A" w14:textId="77777777" w:rsidR="005622D2" w:rsidRPr="005622D2" w:rsidRDefault="005622D2">
            <w:pPr>
              <w:ind w:left="151"/>
              <w:contextualSpacing/>
              <w:rPr>
                <w:rFonts w:ascii="Times New Roman" w:hAnsi="Times New Roman" w:cs="Times New Roman"/>
                <w:color w:val="000000"/>
                <w:sz w:val="16"/>
                <w:szCs w:val="16"/>
              </w:rPr>
            </w:pPr>
            <w:r w:rsidRPr="005622D2">
              <w:rPr>
                <w:rFonts w:ascii="Times New Roman" w:hAnsi="Times New Roman" w:cs="Times New Roman"/>
                <w:color w:val="000000"/>
                <w:sz w:val="16"/>
                <w:szCs w:val="16"/>
              </w:rPr>
              <w:t>5’-AGGAAGTTTAAGGCAACAACAGGT-3’</w:t>
            </w:r>
          </w:p>
        </w:tc>
        <w:tc>
          <w:tcPr>
            <w:tcW w:w="40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E917A" w14:textId="77777777" w:rsidR="005622D2" w:rsidRPr="005622D2" w:rsidRDefault="005622D2">
            <w:pPr>
              <w:ind w:left="-89"/>
              <w:contextualSpacing/>
              <w:jc w:val="center"/>
              <w:rPr>
                <w:rFonts w:ascii="Times New Roman" w:hAnsi="Times New Roman" w:cs="Times New Roman"/>
                <w:color w:val="000000"/>
                <w:sz w:val="18"/>
                <w:szCs w:val="18"/>
              </w:rPr>
            </w:pPr>
            <w:r w:rsidRPr="005622D2">
              <w:rPr>
                <w:rFonts w:ascii="Times New Roman" w:hAnsi="Times New Roman" w:cs="Times New Roman"/>
                <w:color w:val="000000"/>
                <w:sz w:val="18"/>
                <w:szCs w:val="18"/>
              </w:rPr>
              <w:t>5’- /5Cy5/TGTCCTTAGATGAACTA</w:t>
            </w:r>
          </w:p>
          <w:p w14:paraId="75DFC4BE" w14:textId="77777777" w:rsidR="005622D2" w:rsidRPr="005622D2" w:rsidRDefault="005622D2">
            <w:pPr>
              <w:ind w:left="-89"/>
              <w:contextualSpacing/>
              <w:jc w:val="center"/>
              <w:rPr>
                <w:rFonts w:ascii="Times New Roman" w:hAnsi="Times New Roman" w:cs="Times New Roman"/>
                <w:color w:val="000000"/>
                <w:sz w:val="18"/>
                <w:szCs w:val="18"/>
              </w:rPr>
            </w:pPr>
            <w:r w:rsidRPr="005622D2">
              <w:rPr>
                <w:rFonts w:ascii="Times New Roman" w:hAnsi="Times New Roman" w:cs="Times New Roman"/>
                <w:color w:val="000000"/>
                <w:sz w:val="18"/>
                <w:szCs w:val="18"/>
              </w:rPr>
              <w:t>GGCTGCACGCG/3IAbRQSp/ -3’</w:t>
            </w:r>
          </w:p>
        </w:tc>
      </w:tr>
      <w:tr w:rsidR="005622D2" w:rsidRPr="005622D2" w14:paraId="05A91527" w14:textId="77777777" w:rsidTr="00053937">
        <w:trPr>
          <w:trHeight w:val="214"/>
        </w:trPr>
        <w:tc>
          <w:tcPr>
            <w:tcW w:w="0" w:type="auto"/>
            <w:vMerge/>
            <w:tcBorders>
              <w:top w:val="nil"/>
              <w:left w:val="single" w:sz="8" w:space="0" w:color="auto"/>
              <w:bottom w:val="single" w:sz="8" w:space="0" w:color="auto"/>
              <w:right w:val="single" w:sz="8" w:space="0" w:color="auto"/>
            </w:tcBorders>
            <w:vAlign w:val="center"/>
            <w:hideMark/>
          </w:tcPr>
          <w:p w14:paraId="1ADAFA57" w14:textId="77777777" w:rsidR="005622D2" w:rsidRPr="005622D2" w:rsidRDefault="005622D2">
            <w:pPr>
              <w:rPr>
                <w:rFonts w:ascii="Times New Roman" w:hAnsi="Times New Roman" w:cs="Times New Roman"/>
                <w:b/>
                <w:bCs/>
                <w:color w:val="00000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5DC2A316" w14:textId="77777777" w:rsidR="005622D2" w:rsidRPr="005622D2" w:rsidRDefault="005622D2">
            <w:pPr>
              <w:ind w:left="151"/>
              <w:contextualSpacing/>
              <w:rPr>
                <w:rFonts w:ascii="Times New Roman" w:hAnsi="Times New Roman" w:cs="Times New Roman"/>
                <w:color w:val="000000"/>
                <w:sz w:val="16"/>
                <w:szCs w:val="16"/>
              </w:rPr>
            </w:pPr>
            <w:r w:rsidRPr="005622D2">
              <w:rPr>
                <w:rFonts w:ascii="Times New Roman" w:hAnsi="Times New Roman" w:cs="Times New Roman"/>
                <w:color w:val="000000"/>
                <w:sz w:val="16"/>
                <w:szCs w:val="16"/>
              </w:rPr>
              <w:t>Reverse</w:t>
            </w:r>
          </w:p>
          <w:p w14:paraId="0EF767C6" w14:textId="77777777" w:rsidR="005622D2" w:rsidRPr="005622D2" w:rsidRDefault="005622D2">
            <w:pPr>
              <w:ind w:left="151"/>
              <w:contextualSpacing/>
              <w:rPr>
                <w:rFonts w:ascii="Times New Roman" w:hAnsi="Times New Roman" w:cs="Times New Roman"/>
                <w:b/>
                <w:bCs/>
                <w:color w:val="000000"/>
                <w:sz w:val="16"/>
                <w:szCs w:val="16"/>
              </w:rPr>
            </w:pPr>
            <w:r w:rsidRPr="005622D2">
              <w:rPr>
                <w:rFonts w:ascii="Times New Roman" w:hAnsi="Times New Roman" w:cs="Times New Roman"/>
                <w:color w:val="000000"/>
                <w:sz w:val="16"/>
                <w:szCs w:val="16"/>
              </w:rPr>
              <w:t>5’-GCAATAATCTATCCCCATCACGA-3’</w:t>
            </w:r>
          </w:p>
        </w:tc>
        <w:tc>
          <w:tcPr>
            <w:tcW w:w="4066" w:type="dxa"/>
            <w:vMerge/>
            <w:tcBorders>
              <w:top w:val="nil"/>
              <w:left w:val="nil"/>
              <w:bottom w:val="single" w:sz="8" w:space="0" w:color="auto"/>
              <w:right w:val="single" w:sz="8" w:space="0" w:color="auto"/>
            </w:tcBorders>
            <w:vAlign w:val="center"/>
            <w:hideMark/>
          </w:tcPr>
          <w:p w14:paraId="4454D62B" w14:textId="77777777" w:rsidR="005622D2" w:rsidRPr="005622D2" w:rsidRDefault="005622D2">
            <w:pPr>
              <w:rPr>
                <w:rFonts w:ascii="Times New Roman" w:hAnsi="Times New Roman" w:cs="Times New Roman"/>
                <w:color w:val="000000"/>
                <w:sz w:val="18"/>
                <w:szCs w:val="18"/>
              </w:rPr>
            </w:pPr>
          </w:p>
        </w:tc>
      </w:tr>
      <w:tr w:rsidR="005622D2" w:rsidRPr="005622D2" w14:paraId="03F7ECDE" w14:textId="77777777" w:rsidTr="00053937">
        <w:trPr>
          <w:trHeight w:val="242"/>
        </w:trPr>
        <w:tc>
          <w:tcPr>
            <w:tcW w:w="13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D315D" w14:textId="77777777" w:rsidR="005622D2" w:rsidRPr="005622D2" w:rsidRDefault="005622D2">
            <w:pPr>
              <w:ind w:left="240"/>
              <w:contextualSpacing/>
              <w:rPr>
                <w:rFonts w:ascii="Times New Roman" w:hAnsi="Times New Roman" w:cs="Times New Roman"/>
                <w:b/>
                <w:bCs/>
                <w:color w:val="000000"/>
              </w:rPr>
            </w:pPr>
            <w:r w:rsidRPr="005622D2">
              <w:rPr>
                <w:rFonts w:ascii="Times New Roman" w:hAnsi="Times New Roman" w:cs="Times New Roman"/>
                <w:b/>
                <w:bCs/>
                <w:color w:val="000000"/>
              </w:rPr>
              <w:t>RPS7</w:t>
            </w: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237B9F78" w14:textId="77777777" w:rsidR="005622D2" w:rsidRPr="005622D2" w:rsidRDefault="005622D2">
            <w:pPr>
              <w:ind w:left="151"/>
              <w:contextualSpacing/>
              <w:rPr>
                <w:rFonts w:ascii="Times New Roman" w:hAnsi="Times New Roman" w:cs="Times New Roman"/>
                <w:color w:val="000000"/>
                <w:sz w:val="16"/>
                <w:szCs w:val="16"/>
              </w:rPr>
            </w:pPr>
            <w:r w:rsidRPr="005622D2">
              <w:rPr>
                <w:rFonts w:ascii="Times New Roman" w:hAnsi="Times New Roman" w:cs="Times New Roman"/>
                <w:color w:val="000000"/>
                <w:sz w:val="16"/>
                <w:szCs w:val="16"/>
              </w:rPr>
              <w:t>Forward</w:t>
            </w:r>
          </w:p>
          <w:p w14:paraId="58A17A89" w14:textId="77777777" w:rsidR="005622D2" w:rsidRPr="005622D2" w:rsidRDefault="005622D2">
            <w:pPr>
              <w:ind w:left="151"/>
              <w:contextualSpacing/>
              <w:rPr>
                <w:rFonts w:ascii="Times New Roman" w:hAnsi="Times New Roman" w:cs="Times New Roman"/>
                <w:b/>
                <w:bCs/>
                <w:color w:val="000000"/>
                <w:sz w:val="16"/>
                <w:szCs w:val="16"/>
              </w:rPr>
            </w:pPr>
            <w:r w:rsidRPr="005622D2">
              <w:rPr>
                <w:rFonts w:ascii="Times New Roman" w:hAnsi="Times New Roman" w:cs="Times New Roman"/>
                <w:color w:val="000000"/>
                <w:sz w:val="16"/>
                <w:szCs w:val="16"/>
              </w:rPr>
              <w:t>5’-TGGAAATGAACTCGGATCTGAAG-3’</w:t>
            </w:r>
          </w:p>
        </w:tc>
        <w:tc>
          <w:tcPr>
            <w:tcW w:w="40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6BF99" w14:textId="77777777" w:rsidR="005622D2" w:rsidRPr="005622D2" w:rsidRDefault="005622D2">
            <w:pPr>
              <w:ind w:left="181"/>
              <w:contextualSpacing/>
              <w:jc w:val="center"/>
              <w:rPr>
                <w:rFonts w:ascii="Times New Roman" w:hAnsi="Times New Roman" w:cs="Times New Roman"/>
                <w:color w:val="000000"/>
                <w:sz w:val="18"/>
                <w:szCs w:val="18"/>
              </w:rPr>
            </w:pPr>
            <w:r w:rsidRPr="005622D2">
              <w:rPr>
                <w:rFonts w:ascii="Times New Roman" w:hAnsi="Times New Roman" w:cs="Times New Roman"/>
                <w:color w:val="000000"/>
                <w:sz w:val="18"/>
                <w:szCs w:val="18"/>
              </w:rPr>
              <w:t>5’- /5HEX/CAGCTGCGT/ZEN/GATCTG</w:t>
            </w:r>
          </w:p>
          <w:p w14:paraId="405124A7" w14:textId="77777777" w:rsidR="005622D2" w:rsidRPr="005622D2" w:rsidRDefault="005622D2">
            <w:pPr>
              <w:ind w:left="181"/>
              <w:contextualSpacing/>
              <w:jc w:val="center"/>
              <w:rPr>
                <w:rFonts w:ascii="Times New Roman" w:hAnsi="Times New Roman" w:cs="Times New Roman"/>
                <w:b/>
                <w:bCs/>
                <w:color w:val="000000"/>
              </w:rPr>
            </w:pPr>
            <w:r w:rsidRPr="005622D2">
              <w:rPr>
                <w:rFonts w:ascii="Times New Roman" w:hAnsi="Times New Roman" w:cs="Times New Roman"/>
                <w:color w:val="000000"/>
                <w:sz w:val="18"/>
                <w:szCs w:val="18"/>
              </w:rPr>
              <w:t>TACATCACCCGCGC/3IABkFQ/ -3’</w:t>
            </w:r>
          </w:p>
        </w:tc>
      </w:tr>
      <w:tr w:rsidR="005622D2" w:rsidRPr="005622D2" w14:paraId="7B1620F9" w14:textId="77777777" w:rsidTr="00053937">
        <w:trPr>
          <w:trHeight w:val="263"/>
        </w:trPr>
        <w:tc>
          <w:tcPr>
            <w:tcW w:w="0" w:type="auto"/>
            <w:vMerge/>
            <w:tcBorders>
              <w:top w:val="nil"/>
              <w:left w:val="single" w:sz="8" w:space="0" w:color="auto"/>
              <w:bottom w:val="single" w:sz="8" w:space="0" w:color="auto"/>
              <w:right w:val="single" w:sz="8" w:space="0" w:color="auto"/>
            </w:tcBorders>
            <w:vAlign w:val="center"/>
            <w:hideMark/>
          </w:tcPr>
          <w:p w14:paraId="5946BE17" w14:textId="77777777" w:rsidR="005622D2" w:rsidRPr="005622D2" w:rsidRDefault="005622D2">
            <w:pPr>
              <w:rPr>
                <w:rFonts w:ascii="Times New Roman" w:hAnsi="Times New Roman" w:cs="Times New Roman"/>
                <w:b/>
                <w:bCs/>
                <w:color w:val="000000"/>
              </w:rPr>
            </w:pPr>
          </w:p>
        </w:tc>
        <w:tc>
          <w:tcPr>
            <w:tcW w:w="3546" w:type="dxa"/>
            <w:tcBorders>
              <w:top w:val="nil"/>
              <w:left w:val="nil"/>
              <w:bottom w:val="single" w:sz="8" w:space="0" w:color="auto"/>
              <w:right w:val="single" w:sz="8" w:space="0" w:color="auto"/>
            </w:tcBorders>
            <w:tcMar>
              <w:top w:w="0" w:type="dxa"/>
              <w:left w:w="108" w:type="dxa"/>
              <w:bottom w:w="0" w:type="dxa"/>
              <w:right w:w="108" w:type="dxa"/>
            </w:tcMar>
            <w:hideMark/>
          </w:tcPr>
          <w:p w14:paraId="09F7501A" w14:textId="77777777" w:rsidR="005622D2" w:rsidRPr="005622D2" w:rsidRDefault="005622D2">
            <w:pPr>
              <w:ind w:left="151"/>
              <w:contextualSpacing/>
              <w:rPr>
                <w:rFonts w:ascii="Times New Roman" w:hAnsi="Times New Roman" w:cs="Times New Roman"/>
                <w:color w:val="000000"/>
                <w:sz w:val="16"/>
                <w:szCs w:val="16"/>
              </w:rPr>
            </w:pPr>
            <w:r w:rsidRPr="005622D2">
              <w:rPr>
                <w:rFonts w:ascii="Times New Roman" w:hAnsi="Times New Roman" w:cs="Times New Roman"/>
                <w:color w:val="000000"/>
                <w:sz w:val="16"/>
                <w:szCs w:val="16"/>
              </w:rPr>
              <w:t>Reverse</w:t>
            </w:r>
          </w:p>
          <w:p w14:paraId="6FC89D74" w14:textId="77777777" w:rsidR="005622D2" w:rsidRPr="005622D2" w:rsidRDefault="005622D2">
            <w:pPr>
              <w:ind w:left="151"/>
              <w:contextualSpacing/>
              <w:rPr>
                <w:rFonts w:ascii="Times New Roman" w:hAnsi="Times New Roman" w:cs="Times New Roman"/>
                <w:b/>
                <w:bCs/>
                <w:color w:val="000000"/>
                <w:sz w:val="16"/>
                <w:szCs w:val="16"/>
              </w:rPr>
            </w:pPr>
            <w:r w:rsidRPr="005622D2">
              <w:rPr>
                <w:rFonts w:ascii="Times New Roman" w:hAnsi="Times New Roman" w:cs="Times New Roman"/>
                <w:color w:val="000000"/>
                <w:sz w:val="16"/>
                <w:szCs w:val="16"/>
              </w:rPr>
              <w:t>5’-CCTTCTTGTTGTTGAACTCGACCT-3’</w:t>
            </w:r>
          </w:p>
        </w:tc>
        <w:tc>
          <w:tcPr>
            <w:tcW w:w="4066" w:type="dxa"/>
            <w:vMerge/>
            <w:tcBorders>
              <w:top w:val="nil"/>
              <w:left w:val="nil"/>
              <w:bottom w:val="single" w:sz="8" w:space="0" w:color="auto"/>
              <w:right w:val="single" w:sz="8" w:space="0" w:color="auto"/>
            </w:tcBorders>
            <w:vAlign w:val="center"/>
            <w:hideMark/>
          </w:tcPr>
          <w:p w14:paraId="7E4D6B31" w14:textId="77777777" w:rsidR="005622D2" w:rsidRPr="005622D2" w:rsidRDefault="005622D2">
            <w:pPr>
              <w:rPr>
                <w:rFonts w:ascii="Times New Roman" w:hAnsi="Times New Roman" w:cs="Times New Roman"/>
                <w:b/>
                <w:bCs/>
                <w:color w:val="000000"/>
              </w:rPr>
            </w:pPr>
          </w:p>
        </w:tc>
      </w:tr>
      <w:tr w:rsidR="005622D2" w:rsidRPr="005622D2" w14:paraId="1F0D44C5" w14:textId="77777777" w:rsidTr="00053937">
        <w:trPr>
          <w:trHeight w:val="371"/>
        </w:trPr>
        <w:tc>
          <w:tcPr>
            <w:tcW w:w="13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BD922" w14:textId="77777777" w:rsidR="005622D2" w:rsidRPr="005622D2" w:rsidRDefault="005622D2">
            <w:pPr>
              <w:ind w:left="240"/>
              <w:contextualSpacing/>
              <w:rPr>
                <w:rFonts w:ascii="Times New Roman" w:hAnsi="Times New Roman" w:cs="Times New Roman"/>
                <w:b/>
                <w:bCs/>
                <w:color w:val="000000"/>
              </w:rPr>
            </w:pPr>
            <w:r w:rsidRPr="005622D2">
              <w:rPr>
                <w:rFonts w:ascii="Times New Roman" w:hAnsi="Times New Roman" w:cs="Times New Roman"/>
                <w:b/>
                <w:bCs/>
                <w:color w:val="000000"/>
              </w:rPr>
              <w:t>DEC</w:t>
            </w:r>
          </w:p>
        </w:tc>
        <w:tc>
          <w:tcPr>
            <w:tcW w:w="761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5BDC0" w14:textId="77777777" w:rsidR="005622D2" w:rsidRPr="00C17C89" w:rsidRDefault="005622D2">
            <w:pPr>
              <w:ind w:left="720"/>
              <w:contextualSpacing/>
              <w:jc w:val="center"/>
              <w:rPr>
                <w:rFonts w:ascii="Times New Roman" w:hAnsi="Times New Roman" w:cs="Times New Roman"/>
                <w:color w:val="000000"/>
              </w:rPr>
            </w:pPr>
            <w:r w:rsidRPr="00C17C89">
              <w:rPr>
                <w:rFonts w:ascii="Times New Roman" w:hAnsi="Times New Roman" w:cs="Times New Roman"/>
                <w:color w:val="000000"/>
              </w:rPr>
              <w:t>Manufacturer Supplied</w:t>
            </w:r>
          </w:p>
        </w:tc>
      </w:tr>
    </w:tbl>
    <w:p w14:paraId="5B14011F" w14:textId="77777777" w:rsidR="005622D2" w:rsidRDefault="005622D2" w:rsidP="005622D2">
      <w:pPr>
        <w:autoSpaceDE w:val="0"/>
        <w:autoSpaceDN w:val="0"/>
        <w:spacing w:line="252" w:lineRule="auto"/>
        <w:rPr>
          <w:rFonts w:ascii="Arial" w:hAnsi="Arial" w:cs="Arial"/>
          <w:sz w:val="23"/>
          <w:szCs w:val="23"/>
          <w:lang w:val="en-US"/>
        </w:rPr>
      </w:pPr>
    </w:p>
    <w:p w14:paraId="55A20BB3" w14:textId="6F0ADEB3" w:rsidR="005622D2" w:rsidRPr="0000408B" w:rsidRDefault="0000408B" w:rsidP="005622D2">
      <w:pPr>
        <w:autoSpaceDE w:val="0"/>
        <w:autoSpaceDN w:val="0"/>
        <w:spacing w:line="252" w:lineRule="auto"/>
        <w:ind w:right="811"/>
        <w:contextualSpacing/>
        <w:rPr>
          <w:rFonts w:ascii="Times New Roman" w:hAnsi="Times New Roman" w:cs="Times New Roman"/>
          <w:bCs/>
          <w:u w:val="single"/>
        </w:rPr>
      </w:pPr>
      <w:r>
        <w:rPr>
          <w:rFonts w:ascii="Times New Roman" w:hAnsi="Times New Roman" w:cs="Times New Roman"/>
          <w:bCs/>
          <w:u w:val="single"/>
        </w:rPr>
        <w:t>Standard curve and c</w:t>
      </w:r>
      <w:r w:rsidR="005622D2" w:rsidRPr="0000408B">
        <w:rPr>
          <w:rFonts w:ascii="Times New Roman" w:hAnsi="Times New Roman" w:cs="Times New Roman"/>
          <w:bCs/>
          <w:u w:val="single"/>
        </w:rPr>
        <w:t>ontrol preparation</w:t>
      </w:r>
    </w:p>
    <w:p w14:paraId="419B43A6" w14:textId="476718A7" w:rsidR="00026794" w:rsidRDefault="00E80A70" w:rsidP="00E80A70">
      <w:pPr>
        <w:contextualSpacing/>
      </w:pPr>
      <w:r>
        <w:rPr>
          <w:rFonts w:ascii="Times New Roman" w:hAnsi="Times New Roman" w:cs="Times New Roman"/>
          <w:color w:val="000000"/>
          <w:lang w:val="en-US"/>
        </w:rPr>
        <w:t>An</w:t>
      </w:r>
      <w:r w:rsidRPr="005622D2">
        <w:rPr>
          <w:rFonts w:ascii="Times New Roman" w:hAnsi="Times New Roman" w:cs="Times New Roman"/>
          <w:color w:val="000000"/>
          <w:spacing w:val="-1"/>
          <w:lang w:val="en-US"/>
        </w:rPr>
        <w:t xml:space="preserve"> </w:t>
      </w:r>
      <w:r>
        <w:rPr>
          <w:rFonts w:ascii="Times New Roman" w:hAnsi="Times New Roman" w:cs="Times New Roman"/>
          <w:color w:val="000000"/>
          <w:spacing w:val="-1"/>
          <w:lang w:val="en-US"/>
        </w:rPr>
        <w:t>18S</w:t>
      </w:r>
      <w:r w:rsidR="00026794">
        <w:rPr>
          <w:rFonts w:ascii="Times New Roman" w:hAnsi="Times New Roman" w:cs="Times New Roman"/>
          <w:color w:val="000000"/>
          <w:spacing w:val="-1"/>
          <w:lang w:val="en-US"/>
        </w:rPr>
        <w:t xml:space="preserve"> </w:t>
      </w:r>
      <w:proofErr w:type="spellStart"/>
      <w:r w:rsidR="00026794">
        <w:rPr>
          <w:rFonts w:ascii="Times New Roman" w:hAnsi="Times New Roman" w:cs="Times New Roman"/>
          <w:color w:val="000000"/>
          <w:spacing w:val="-1"/>
          <w:lang w:val="en-US"/>
        </w:rPr>
        <w:t>rRNA</w:t>
      </w:r>
      <w:proofErr w:type="spellEnd"/>
      <w:r>
        <w:rPr>
          <w:rFonts w:ascii="Times New Roman" w:hAnsi="Times New Roman" w:cs="Times New Roman"/>
          <w:color w:val="000000"/>
          <w:spacing w:val="-1"/>
          <w:lang w:val="en-US"/>
        </w:rPr>
        <w:t xml:space="preserve"> </w:t>
      </w:r>
      <w:r w:rsidRPr="005622D2">
        <w:rPr>
          <w:rFonts w:ascii="Times New Roman" w:hAnsi="Times New Roman" w:cs="Times New Roman"/>
          <w:color w:val="000000"/>
          <w:lang w:val="en-US"/>
        </w:rPr>
        <w:t>q</w:t>
      </w:r>
      <w:r w:rsidRPr="005622D2">
        <w:rPr>
          <w:rFonts w:ascii="Times New Roman" w:hAnsi="Times New Roman" w:cs="Times New Roman"/>
          <w:color w:val="000000"/>
          <w:spacing w:val="1"/>
          <w:lang w:val="en-US"/>
        </w:rPr>
        <w:t>P</w:t>
      </w:r>
      <w:r w:rsidRPr="005622D2">
        <w:rPr>
          <w:rFonts w:ascii="Times New Roman" w:hAnsi="Times New Roman" w:cs="Times New Roman"/>
          <w:color w:val="000000"/>
          <w:lang w:val="en-US"/>
        </w:rPr>
        <w:t>CR</w:t>
      </w:r>
      <w:r w:rsidRPr="005622D2">
        <w:rPr>
          <w:rFonts w:ascii="Times New Roman" w:hAnsi="Times New Roman" w:cs="Times New Roman"/>
          <w:color w:val="000000"/>
          <w:spacing w:val="1"/>
          <w:lang w:val="en-US"/>
        </w:rPr>
        <w:t xml:space="preserve"> </w:t>
      </w:r>
      <w:r w:rsidRPr="005622D2">
        <w:rPr>
          <w:rFonts w:ascii="Times New Roman" w:hAnsi="Times New Roman" w:cs="Times New Roman"/>
          <w:color w:val="000000"/>
          <w:lang w:val="en-US"/>
        </w:rPr>
        <w:t>stand</w:t>
      </w:r>
      <w:r w:rsidRPr="005622D2">
        <w:rPr>
          <w:rFonts w:ascii="Times New Roman" w:hAnsi="Times New Roman" w:cs="Times New Roman"/>
          <w:color w:val="000000"/>
          <w:spacing w:val="-1"/>
          <w:lang w:val="en-US"/>
        </w:rPr>
        <w:t>a</w:t>
      </w:r>
      <w:r w:rsidRPr="005622D2">
        <w:rPr>
          <w:rFonts w:ascii="Times New Roman" w:hAnsi="Times New Roman" w:cs="Times New Roman"/>
          <w:color w:val="000000"/>
          <w:lang w:val="en-US"/>
        </w:rPr>
        <w:t xml:space="preserve">rd </w:t>
      </w:r>
      <w:r w:rsidRPr="005622D2">
        <w:rPr>
          <w:rFonts w:ascii="Times New Roman" w:hAnsi="Times New Roman" w:cs="Times New Roman"/>
          <w:color w:val="000000"/>
          <w:spacing w:val="-2"/>
          <w:lang w:val="en-US"/>
        </w:rPr>
        <w:t>c</w:t>
      </w:r>
      <w:r w:rsidRPr="005622D2">
        <w:rPr>
          <w:rFonts w:ascii="Times New Roman" w:hAnsi="Times New Roman" w:cs="Times New Roman"/>
          <w:color w:val="000000"/>
          <w:lang w:val="en-US"/>
        </w:rPr>
        <w:t>ur</w:t>
      </w:r>
      <w:r w:rsidRPr="005622D2">
        <w:rPr>
          <w:rFonts w:ascii="Times New Roman" w:hAnsi="Times New Roman" w:cs="Times New Roman"/>
          <w:color w:val="000000"/>
          <w:spacing w:val="1"/>
          <w:lang w:val="en-US"/>
        </w:rPr>
        <w:t>v</w:t>
      </w:r>
      <w:r w:rsidRPr="005622D2">
        <w:rPr>
          <w:rFonts w:ascii="Times New Roman" w:hAnsi="Times New Roman" w:cs="Times New Roman"/>
          <w:color w:val="000000"/>
          <w:lang w:val="en-US"/>
        </w:rPr>
        <w:t>e</w:t>
      </w:r>
      <w:r w:rsidRPr="005622D2">
        <w:rPr>
          <w:rFonts w:ascii="Times New Roman" w:hAnsi="Times New Roman" w:cs="Times New Roman"/>
          <w:color w:val="000000"/>
          <w:spacing w:val="-1"/>
          <w:lang w:val="en-US"/>
        </w:rPr>
        <w:t xml:space="preserve"> was generated using </w:t>
      </w:r>
      <w:r>
        <w:rPr>
          <w:rFonts w:ascii="Times New Roman" w:hAnsi="Times New Roman" w:cs="Times New Roman"/>
          <w:color w:val="000000"/>
          <w:spacing w:val="-1"/>
          <w:lang w:val="en-US"/>
        </w:rPr>
        <w:t xml:space="preserve">serial dilutions of a </w:t>
      </w:r>
      <w:r w:rsidRPr="005622D2">
        <w:rPr>
          <w:rFonts w:ascii="Times New Roman" w:hAnsi="Times New Roman" w:cs="Times New Roman"/>
          <w:color w:val="000000"/>
          <w:spacing w:val="-1"/>
          <w:lang w:val="en-US"/>
        </w:rPr>
        <w:t>synthetic plasmid DNA</w:t>
      </w:r>
      <w:r>
        <w:rPr>
          <w:rFonts w:ascii="Times New Roman" w:hAnsi="Times New Roman" w:cs="Times New Roman"/>
          <w:color w:val="000000"/>
          <w:spacing w:val="-1"/>
          <w:lang w:val="en-US"/>
        </w:rPr>
        <w:t xml:space="preserve"> standard</w:t>
      </w:r>
      <w:r w:rsidRPr="005622D2">
        <w:rPr>
          <w:rFonts w:ascii="Times New Roman" w:hAnsi="Times New Roman" w:cs="Times New Roman"/>
          <w:color w:val="000000"/>
          <w:lang w:val="en-US"/>
        </w:rPr>
        <w:t xml:space="preserve">. </w:t>
      </w:r>
      <w:r>
        <w:rPr>
          <w:rFonts w:ascii="Times New Roman" w:hAnsi="Times New Roman" w:cs="Times New Roman"/>
          <w:color w:val="000000"/>
          <w:lang w:val="en-US"/>
        </w:rPr>
        <w:t xml:space="preserve">The DNA standard was prepared by </w:t>
      </w:r>
      <w:r w:rsidRPr="00E80A70">
        <w:rPr>
          <w:rFonts w:ascii="Times New Roman" w:hAnsi="Times New Roman" w:cs="Times New Roman"/>
          <w:color w:val="000000"/>
          <w:lang w:val="en-US"/>
        </w:rPr>
        <w:t xml:space="preserve">PCR </w:t>
      </w:r>
      <w:r>
        <w:rPr>
          <w:rFonts w:ascii="Times New Roman" w:hAnsi="Times New Roman" w:cs="Times New Roman"/>
          <w:color w:val="000000"/>
          <w:lang w:val="en-US"/>
        </w:rPr>
        <w:t>amplification of</w:t>
      </w:r>
      <w:r w:rsidRPr="00E80A70">
        <w:rPr>
          <w:rFonts w:ascii="Times New Roman" w:hAnsi="Times New Roman" w:cs="Times New Roman"/>
          <w:color w:val="000000"/>
          <w:lang w:val="en-US"/>
        </w:rPr>
        <w:t xml:space="preserve"> </w:t>
      </w:r>
      <w:r w:rsidRPr="00E80A70">
        <w:rPr>
          <w:rFonts w:ascii="Times New Roman" w:hAnsi="Times New Roman" w:cs="Times New Roman"/>
          <w:i/>
          <w:color w:val="000000"/>
          <w:lang w:val="en-US"/>
        </w:rPr>
        <w:t>P. falciparum</w:t>
      </w:r>
      <w:r w:rsidRPr="00E80A70">
        <w:rPr>
          <w:rFonts w:ascii="Times New Roman" w:hAnsi="Times New Roman" w:cs="Times New Roman"/>
          <w:color w:val="000000"/>
          <w:lang w:val="en-US"/>
        </w:rPr>
        <w:t xml:space="preserve"> genomic DNA</w:t>
      </w:r>
      <w:r>
        <w:rPr>
          <w:rFonts w:ascii="Times New Roman" w:hAnsi="Times New Roman" w:cs="Times New Roman"/>
          <w:color w:val="000000"/>
          <w:lang w:val="en-US"/>
        </w:rPr>
        <w:t xml:space="preserve"> using SAF18S primers</w:t>
      </w:r>
      <w:r w:rsidR="003F3B26">
        <w:rPr>
          <w:rFonts w:ascii="Times New Roman" w:hAnsi="Times New Roman" w:cs="Times New Roman"/>
          <w:color w:val="000000"/>
          <w:lang w:val="en-US"/>
        </w:rPr>
        <w:t xml:space="preserve"> (generating a 199 </w:t>
      </w:r>
      <w:proofErr w:type="spellStart"/>
      <w:r w:rsidR="003F3B26">
        <w:rPr>
          <w:rFonts w:ascii="Times New Roman" w:hAnsi="Times New Roman" w:cs="Times New Roman"/>
          <w:color w:val="000000"/>
          <w:lang w:val="en-US"/>
        </w:rPr>
        <w:t>bp</w:t>
      </w:r>
      <w:proofErr w:type="spellEnd"/>
      <w:r w:rsidR="003F3B26">
        <w:rPr>
          <w:rFonts w:ascii="Times New Roman" w:hAnsi="Times New Roman" w:cs="Times New Roman"/>
          <w:color w:val="000000"/>
          <w:lang w:val="en-US"/>
        </w:rPr>
        <w:t xml:space="preserve"> fragment)</w:t>
      </w:r>
      <w:r>
        <w:rPr>
          <w:rFonts w:ascii="Times New Roman" w:hAnsi="Times New Roman" w:cs="Times New Roman"/>
          <w:color w:val="000000"/>
          <w:lang w:val="en-US"/>
        </w:rPr>
        <w:t>, cloning of PCR fragments</w:t>
      </w:r>
      <w:r w:rsidRPr="00E80A70">
        <w:rPr>
          <w:rFonts w:ascii="Times New Roman" w:hAnsi="Times New Roman" w:cs="Times New Roman"/>
          <w:color w:val="000000"/>
          <w:lang w:val="en-US"/>
        </w:rPr>
        <w:t xml:space="preserve"> into the </w:t>
      </w:r>
      <w:proofErr w:type="spellStart"/>
      <w:r w:rsidRPr="00E80A70">
        <w:rPr>
          <w:rFonts w:ascii="Times New Roman" w:hAnsi="Times New Roman" w:cs="Times New Roman"/>
          <w:color w:val="000000"/>
          <w:lang w:val="en-US"/>
        </w:rPr>
        <w:t>pGEM</w:t>
      </w:r>
      <w:proofErr w:type="spellEnd"/>
      <w:r w:rsidRPr="00E80A70">
        <w:rPr>
          <w:rFonts w:ascii="Times New Roman" w:hAnsi="Times New Roman" w:cs="Times New Roman"/>
          <w:color w:val="000000"/>
          <w:lang w:val="en-US"/>
        </w:rPr>
        <w:t>-T vector (</w:t>
      </w:r>
      <w:proofErr w:type="spellStart"/>
      <w:r w:rsidRPr="00E80A70">
        <w:rPr>
          <w:rFonts w:ascii="Times New Roman" w:hAnsi="Times New Roman" w:cs="Times New Roman"/>
          <w:color w:val="000000"/>
          <w:lang w:val="en-US"/>
        </w:rPr>
        <w:t>Promega</w:t>
      </w:r>
      <w:proofErr w:type="spellEnd"/>
      <w:r w:rsidRPr="00E80A70">
        <w:rPr>
          <w:rFonts w:ascii="Times New Roman" w:hAnsi="Times New Roman" w:cs="Times New Roman"/>
          <w:color w:val="000000"/>
          <w:lang w:val="en-US"/>
        </w:rPr>
        <w:t>)</w:t>
      </w:r>
      <w:r>
        <w:rPr>
          <w:rFonts w:ascii="Times New Roman" w:hAnsi="Times New Roman" w:cs="Times New Roman"/>
          <w:color w:val="000000"/>
          <w:lang w:val="en-US"/>
        </w:rPr>
        <w:t>,</w:t>
      </w:r>
      <w:r w:rsidRPr="00E80A70">
        <w:rPr>
          <w:rFonts w:ascii="Times New Roman" w:hAnsi="Times New Roman" w:cs="Times New Roman"/>
          <w:color w:val="000000"/>
          <w:lang w:val="en-US"/>
        </w:rPr>
        <w:t xml:space="preserve"> and </w:t>
      </w:r>
      <w:r>
        <w:rPr>
          <w:rFonts w:ascii="Times New Roman" w:hAnsi="Times New Roman" w:cs="Times New Roman"/>
          <w:color w:val="000000"/>
          <w:lang w:val="en-US"/>
        </w:rPr>
        <w:t xml:space="preserve">subsequent </w:t>
      </w:r>
      <w:r w:rsidRPr="00E80A70">
        <w:rPr>
          <w:rFonts w:ascii="Times New Roman" w:hAnsi="Times New Roman" w:cs="Times New Roman"/>
          <w:color w:val="000000"/>
          <w:lang w:val="en-US"/>
        </w:rPr>
        <w:t>transform</w:t>
      </w:r>
      <w:r>
        <w:rPr>
          <w:rFonts w:ascii="Times New Roman" w:hAnsi="Times New Roman" w:cs="Times New Roman"/>
          <w:color w:val="000000"/>
          <w:lang w:val="en-US"/>
        </w:rPr>
        <w:t>ation</w:t>
      </w:r>
      <w:r w:rsidRPr="00E80A70">
        <w:rPr>
          <w:rFonts w:ascii="Times New Roman" w:hAnsi="Times New Roman" w:cs="Times New Roman"/>
          <w:color w:val="000000"/>
          <w:lang w:val="en-US"/>
        </w:rPr>
        <w:t xml:space="preserve"> into </w:t>
      </w:r>
      <w:r w:rsidRPr="00E80A70">
        <w:rPr>
          <w:rFonts w:ascii="Times New Roman" w:hAnsi="Times New Roman" w:cs="Times New Roman"/>
          <w:i/>
          <w:color w:val="000000"/>
          <w:lang w:val="en-US"/>
        </w:rPr>
        <w:t>E. coli</w:t>
      </w:r>
      <w:r w:rsidRPr="00E80A70">
        <w:rPr>
          <w:rFonts w:ascii="Times New Roman" w:hAnsi="Times New Roman" w:cs="Times New Roman"/>
          <w:color w:val="000000"/>
          <w:lang w:val="en-US"/>
        </w:rPr>
        <w:t xml:space="preserve"> using standard laboratory procedures. Recombinant clones were confirmed by Sanger sequencing, linearized and quantitated using a Qubit </w:t>
      </w:r>
      <w:proofErr w:type="spellStart"/>
      <w:r w:rsidRPr="00E80A70">
        <w:rPr>
          <w:rFonts w:ascii="Times New Roman" w:hAnsi="Times New Roman" w:cs="Times New Roman"/>
          <w:color w:val="000000"/>
          <w:lang w:val="en-US"/>
        </w:rPr>
        <w:t>Fluorometer</w:t>
      </w:r>
      <w:proofErr w:type="spellEnd"/>
      <w:r w:rsidRPr="00E80A70">
        <w:rPr>
          <w:rFonts w:ascii="Times New Roman" w:hAnsi="Times New Roman" w:cs="Times New Roman"/>
          <w:color w:val="000000"/>
          <w:lang w:val="en-US"/>
        </w:rPr>
        <w:t xml:space="preserve"> (</w:t>
      </w:r>
      <w:proofErr w:type="spellStart"/>
      <w:r w:rsidRPr="00E80A70">
        <w:rPr>
          <w:rFonts w:ascii="Times New Roman" w:hAnsi="Times New Roman" w:cs="Times New Roman"/>
          <w:color w:val="000000"/>
          <w:lang w:val="en-US"/>
        </w:rPr>
        <w:t>Thermo</w:t>
      </w:r>
      <w:proofErr w:type="spellEnd"/>
      <w:r w:rsidRPr="00E80A70">
        <w:rPr>
          <w:rFonts w:ascii="Times New Roman" w:hAnsi="Times New Roman" w:cs="Times New Roman"/>
          <w:color w:val="000000"/>
          <w:lang w:val="en-US"/>
        </w:rPr>
        <w:t xml:space="preserve"> Fisher).</w:t>
      </w:r>
      <w:r w:rsidR="00026794" w:rsidRPr="00026794">
        <w:t xml:space="preserve"> </w:t>
      </w:r>
    </w:p>
    <w:p w14:paraId="75DFE9F9" w14:textId="5C6B0F38" w:rsidR="00A912FF" w:rsidRDefault="00A912FF" w:rsidP="005622D2">
      <w:pPr>
        <w:autoSpaceDE w:val="0"/>
        <w:autoSpaceDN w:val="0"/>
        <w:spacing w:line="252" w:lineRule="auto"/>
        <w:ind w:right="811"/>
        <w:contextualSpacing/>
        <w:rPr>
          <w:rFonts w:ascii="Times New Roman" w:hAnsi="Times New Roman" w:cs="Times New Roman"/>
          <w:color w:val="000000"/>
          <w:lang w:val="en-US"/>
        </w:rPr>
      </w:pPr>
    </w:p>
    <w:p w14:paraId="471A22FE" w14:textId="2362A39F" w:rsidR="005622D2" w:rsidRPr="00026794" w:rsidRDefault="005622D2" w:rsidP="00026794">
      <w:pPr>
        <w:autoSpaceDE w:val="0"/>
        <w:autoSpaceDN w:val="0"/>
        <w:spacing w:line="252" w:lineRule="auto"/>
        <w:ind w:right="811"/>
        <w:contextualSpacing/>
        <w:rPr>
          <w:rFonts w:ascii="Times New Roman" w:hAnsi="Times New Roman" w:cs="Times New Roman"/>
          <w:b/>
          <w:bCs/>
        </w:rPr>
      </w:pPr>
      <w:r w:rsidRPr="005622D2">
        <w:rPr>
          <w:rFonts w:ascii="Times New Roman" w:hAnsi="Times New Roman" w:cs="Times New Roman"/>
        </w:rPr>
        <w:t>Positive mosquito controls were prepared using naïve blood fed mosquitos. Positive parasite controls were prepared using parasite infected red blood cells at 5% parasitemia.</w:t>
      </w:r>
      <w:r w:rsidR="00026794">
        <w:rPr>
          <w:rFonts w:ascii="Times New Roman" w:hAnsi="Times New Roman" w:cs="Times New Roman"/>
          <w:b/>
          <w:bCs/>
        </w:rPr>
        <w:t xml:space="preserve"> </w:t>
      </w:r>
      <w:r w:rsidRPr="005622D2">
        <w:rPr>
          <w:rFonts w:ascii="Times New Roman" w:hAnsi="Times New Roman" w:cs="Times New Roman"/>
          <w:lang w:val="en-US"/>
        </w:rPr>
        <w:t>Negative controls were prepared using naïve human blood.</w:t>
      </w:r>
      <w:r w:rsidRPr="005622D2">
        <w:rPr>
          <w:rFonts w:ascii="Times New Roman" w:hAnsi="Times New Roman" w:cs="Times New Roman"/>
          <w:lang w:val="en-US" w:eastAsia="en-AU"/>
        </w:rPr>
        <w:t xml:space="preserve"> </w:t>
      </w:r>
      <w:r w:rsidR="003F3B26">
        <w:rPr>
          <w:rFonts w:ascii="Times New Roman" w:hAnsi="Times New Roman" w:cs="Times New Roman"/>
          <w:lang w:val="en-US" w:eastAsia="en-AU"/>
        </w:rPr>
        <w:t xml:space="preserve">DNA extraction of controls was performed as described above. </w:t>
      </w:r>
    </w:p>
    <w:p w14:paraId="08908E91" w14:textId="46FA6977" w:rsidR="00D53C5A" w:rsidRDefault="00D53C5A" w:rsidP="001E0DDD"/>
    <w:p w14:paraId="0FE8A6E7" w14:textId="4A3AEEE6" w:rsidR="00D53C5A" w:rsidRDefault="0000408B" w:rsidP="0000408B">
      <w:pPr>
        <w:spacing w:after="0" w:line="240" w:lineRule="auto"/>
        <w:rPr>
          <w:rFonts w:ascii="Times New Roman" w:hAnsi="Times New Roman" w:cs="Times New Roman"/>
          <w:u w:val="single"/>
        </w:rPr>
      </w:pPr>
      <w:r w:rsidRPr="0000408B">
        <w:rPr>
          <w:rFonts w:ascii="Times New Roman" w:hAnsi="Times New Roman" w:cs="Times New Roman"/>
          <w:u w:val="single"/>
        </w:rPr>
        <w:t xml:space="preserve">18S </w:t>
      </w:r>
      <w:proofErr w:type="spellStart"/>
      <w:r w:rsidR="00026794">
        <w:rPr>
          <w:rFonts w:ascii="Times New Roman" w:hAnsi="Times New Roman" w:cs="Times New Roman"/>
          <w:u w:val="single"/>
        </w:rPr>
        <w:t>rRNA</w:t>
      </w:r>
      <w:proofErr w:type="spellEnd"/>
      <w:r w:rsidR="00026794">
        <w:rPr>
          <w:rFonts w:ascii="Times New Roman" w:hAnsi="Times New Roman" w:cs="Times New Roman"/>
          <w:u w:val="single"/>
        </w:rPr>
        <w:t xml:space="preserve"> </w:t>
      </w:r>
      <w:r w:rsidRPr="0000408B">
        <w:rPr>
          <w:rFonts w:ascii="Times New Roman" w:hAnsi="Times New Roman" w:cs="Times New Roman"/>
          <w:u w:val="single"/>
        </w:rPr>
        <w:t>qPCR assay p</w:t>
      </w:r>
      <w:r w:rsidR="00D53C5A" w:rsidRPr="0000408B">
        <w:rPr>
          <w:rFonts w:ascii="Times New Roman" w:hAnsi="Times New Roman" w:cs="Times New Roman"/>
          <w:u w:val="single"/>
        </w:rPr>
        <w:t>erformance specification</w:t>
      </w:r>
      <w:r w:rsidR="00C17C89" w:rsidRPr="0000408B">
        <w:rPr>
          <w:rFonts w:ascii="Times New Roman" w:hAnsi="Times New Roman" w:cs="Times New Roman"/>
          <w:u w:val="single"/>
        </w:rPr>
        <w:t>s</w:t>
      </w:r>
    </w:p>
    <w:p w14:paraId="59BF32D6" w14:textId="77777777" w:rsidR="0000408B" w:rsidRPr="0000408B" w:rsidRDefault="0000408B" w:rsidP="0000408B">
      <w:pPr>
        <w:spacing w:after="0" w:line="240" w:lineRule="auto"/>
        <w:rPr>
          <w:rFonts w:ascii="Times New Roman" w:hAnsi="Times New Roman" w:cs="Times New Rom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159"/>
      </w:tblGrid>
      <w:tr w:rsidR="004C33EE" w:rsidRPr="00D53C5A" w14:paraId="30F0C7B6" w14:textId="77777777" w:rsidTr="004C33EE">
        <w:trPr>
          <w:trHeight w:val="345"/>
        </w:trPr>
        <w:tc>
          <w:tcPr>
            <w:tcW w:w="2356" w:type="pct"/>
            <w:shd w:val="clear" w:color="auto" w:fill="auto"/>
            <w:hideMark/>
          </w:tcPr>
          <w:p w14:paraId="0CD1DD9B" w14:textId="7F6608B5" w:rsidR="00D53C5A" w:rsidRPr="00D53C5A" w:rsidRDefault="00D53C5A" w:rsidP="006322EB">
            <w:pPr>
              <w:spacing w:after="0" w:line="240" w:lineRule="auto"/>
              <w:rPr>
                <w:rFonts w:ascii="Times New Roman" w:eastAsia="Times New Roman" w:hAnsi="Times New Roman" w:cs="Times New Roman"/>
                <w:b/>
                <w:bCs/>
                <w:color w:val="000000"/>
                <w:lang w:eastAsia="en-AU"/>
              </w:rPr>
            </w:pPr>
            <w:r w:rsidRPr="00D53C5A">
              <w:rPr>
                <w:rFonts w:ascii="Times New Roman" w:eastAsia="Times New Roman" w:hAnsi="Times New Roman" w:cs="Times New Roman"/>
                <w:b/>
                <w:bCs/>
                <w:color w:val="000000"/>
                <w:lang w:eastAsia="en-AU"/>
              </w:rPr>
              <w:t>Reportable Range:</w:t>
            </w:r>
          </w:p>
        </w:tc>
        <w:tc>
          <w:tcPr>
            <w:tcW w:w="2644" w:type="pct"/>
            <w:shd w:val="clear" w:color="auto" w:fill="auto"/>
            <w:noWrap/>
            <w:hideMark/>
          </w:tcPr>
          <w:p w14:paraId="6A2F3AD4" w14:textId="232F7131" w:rsidR="00D53C5A" w:rsidRPr="00D53C5A" w:rsidRDefault="00D53C5A" w:rsidP="006322EB">
            <w:pPr>
              <w:spacing w:after="0" w:line="240" w:lineRule="auto"/>
              <w:rPr>
                <w:rFonts w:ascii="Times New Roman" w:eastAsia="Times New Roman" w:hAnsi="Times New Roman" w:cs="Times New Roman"/>
                <w:color w:val="000000"/>
                <w:lang w:eastAsia="en-AU"/>
              </w:rPr>
            </w:pPr>
            <w:r w:rsidRPr="00D53C5A">
              <w:rPr>
                <w:rFonts w:ascii="Times New Roman" w:eastAsia="Times New Roman" w:hAnsi="Times New Roman" w:cs="Times New Roman"/>
                <w:color w:val="000000"/>
                <w:lang w:eastAsia="en-AU"/>
              </w:rPr>
              <w:t>2.0</w:t>
            </w:r>
            <w:r w:rsidR="004C33EE">
              <w:rPr>
                <w:rFonts w:ascii="Times New Roman" w:eastAsia="Times New Roman" w:hAnsi="Times New Roman" w:cs="Times New Roman"/>
                <w:color w:val="000000"/>
                <w:lang w:eastAsia="en-AU"/>
              </w:rPr>
              <w:t>×</w:t>
            </w:r>
            <w:r w:rsidRPr="00D53C5A">
              <w:rPr>
                <w:rFonts w:ascii="Times New Roman" w:eastAsia="Times New Roman" w:hAnsi="Times New Roman" w:cs="Times New Roman"/>
                <w:color w:val="000000"/>
                <w:lang w:eastAsia="en-AU"/>
              </w:rPr>
              <w:t>10</w:t>
            </w:r>
            <w:r w:rsidRPr="00D53C5A">
              <w:rPr>
                <w:rFonts w:ascii="Times New Roman" w:eastAsia="Times New Roman" w:hAnsi="Times New Roman" w:cs="Times New Roman"/>
                <w:color w:val="000000"/>
                <w:vertAlign w:val="superscript"/>
                <w:lang w:eastAsia="en-AU"/>
              </w:rPr>
              <w:t>6</w:t>
            </w:r>
            <w:r w:rsidRPr="00D53C5A">
              <w:rPr>
                <w:rFonts w:ascii="Times New Roman" w:eastAsia="Times New Roman" w:hAnsi="Times New Roman" w:cs="Times New Roman"/>
                <w:color w:val="000000"/>
                <w:lang w:eastAsia="en-AU"/>
              </w:rPr>
              <w:t xml:space="preserve"> </w:t>
            </w:r>
            <w:r w:rsidRPr="00D53C5A">
              <w:rPr>
                <w:rFonts w:ascii="Times New Roman" w:hAnsi="Times New Roman" w:cs="Times New Roman"/>
              </w:rPr>
              <w:t>to 2.0</w:t>
            </w:r>
            <w:r w:rsidR="004C33EE">
              <w:rPr>
                <w:rFonts w:ascii="Times New Roman" w:hAnsi="Times New Roman" w:cs="Times New Roman"/>
              </w:rPr>
              <w:t>×</w:t>
            </w:r>
            <w:r w:rsidRPr="00D53C5A">
              <w:rPr>
                <w:rFonts w:ascii="Times New Roman" w:eastAsia="Times New Roman" w:hAnsi="Times New Roman" w:cs="Times New Roman"/>
                <w:color w:val="000000"/>
                <w:lang w:eastAsia="en-AU"/>
              </w:rPr>
              <w:t>10</w:t>
            </w:r>
            <w:r w:rsidRPr="00D53C5A">
              <w:rPr>
                <w:rFonts w:ascii="Times New Roman" w:eastAsia="Times New Roman" w:hAnsi="Times New Roman" w:cs="Times New Roman"/>
                <w:color w:val="000000"/>
                <w:vertAlign w:val="superscript"/>
                <w:lang w:eastAsia="en-AU"/>
              </w:rPr>
              <w:t>1</w:t>
            </w:r>
            <w:r w:rsidRPr="00D53C5A">
              <w:rPr>
                <w:rFonts w:ascii="Times New Roman" w:eastAsia="Times New Roman" w:hAnsi="Times New Roman" w:cs="Times New Roman"/>
                <w:color w:val="000000"/>
                <w:lang w:eastAsia="en-AU"/>
              </w:rPr>
              <w:t xml:space="preserve"> copies/µL</w:t>
            </w:r>
          </w:p>
        </w:tc>
      </w:tr>
      <w:tr w:rsidR="004C33EE" w:rsidRPr="00D53C5A" w14:paraId="4B7855B9" w14:textId="77777777" w:rsidTr="004C33EE">
        <w:trPr>
          <w:trHeight w:val="300"/>
        </w:trPr>
        <w:tc>
          <w:tcPr>
            <w:tcW w:w="2356" w:type="pct"/>
            <w:shd w:val="clear" w:color="auto" w:fill="auto"/>
            <w:hideMark/>
          </w:tcPr>
          <w:p w14:paraId="202A4BCA" w14:textId="77777777" w:rsidR="00D53C5A" w:rsidRPr="00D53C5A" w:rsidRDefault="00D53C5A" w:rsidP="006322EB">
            <w:pPr>
              <w:spacing w:after="0" w:line="240" w:lineRule="auto"/>
              <w:rPr>
                <w:rFonts w:ascii="Times New Roman" w:eastAsia="Times New Roman" w:hAnsi="Times New Roman" w:cs="Times New Roman"/>
                <w:b/>
                <w:bCs/>
                <w:color w:val="000000"/>
                <w:lang w:eastAsia="en-AU"/>
              </w:rPr>
            </w:pPr>
            <w:r w:rsidRPr="00D53C5A">
              <w:rPr>
                <w:rFonts w:ascii="Times New Roman" w:eastAsia="Times New Roman" w:hAnsi="Times New Roman" w:cs="Times New Roman"/>
                <w:b/>
                <w:bCs/>
                <w:color w:val="000000"/>
                <w:lang w:eastAsia="en-AU"/>
              </w:rPr>
              <w:t>Analytical Sensitivity:</w:t>
            </w:r>
          </w:p>
        </w:tc>
        <w:tc>
          <w:tcPr>
            <w:tcW w:w="2644" w:type="pct"/>
            <w:shd w:val="clear" w:color="auto" w:fill="auto"/>
            <w:noWrap/>
            <w:hideMark/>
          </w:tcPr>
          <w:p w14:paraId="11AA407A" w14:textId="77777777" w:rsidR="00D53C5A" w:rsidRPr="00D53C5A" w:rsidRDefault="00D53C5A" w:rsidP="006322EB">
            <w:pPr>
              <w:spacing w:after="0" w:line="240" w:lineRule="auto"/>
              <w:rPr>
                <w:rFonts w:ascii="Times New Roman" w:eastAsia="Times New Roman" w:hAnsi="Times New Roman" w:cs="Times New Roman"/>
                <w:color w:val="000000"/>
                <w:lang w:eastAsia="en-AU"/>
              </w:rPr>
            </w:pPr>
          </w:p>
        </w:tc>
      </w:tr>
      <w:tr w:rsidR="004C33EE" w:rsidRPr="00D53C5A" w14:paraId="0C862CBF" w14:textId="77777777" w:rsidTr="004C33EE">
        <w:trPr>
          <w:trHeight w:val="300"/>
        </w:trPr>
        <w:tc>
          <w:tcPr>
            <w:tcW w:w="2356" w:type="pct"/>
            <w:shd w:val="clear" w:color="auto" w:fill="auto"/>
            <w:hideMark/>
          </w:tcPr>
          <w:p w14:paraId="627D6608" w14:textId="77777777" w:rsidR="00D53C5A" w:rsidRPr="00D53C5A" w:rsidRDefault="00D53C5A" w:rsidP="00C17C89">
            <w:pPr>
              <w:spacing w:after="0" w:line="240" w:lineRule="auto"/>
              <w:ind w:firstLineChars="77" w:firstLine="169"/>
              <w:rPr>
                <w:rFonts w:ascii="Times New Roman" w:eastAsia="Times New Roman" w:hAnsi="Times New Roman" w:cs="Times New Roman"/>
                <w:color w:val="000000"/>
                <w:lang w:eastAsia="en-AU"/>
              </w:rPr>
            </w:pPr>
            <w:r w:rsidRPr="00D53C5A">
              <w:rPr>
                <w:rFonts w:ascii="Times New Roman" w:eastAsia="Times New Roman" w:hAnsi="Times New Roman" w:cs="Times New Roman"/>
                <w:color w:val="000000"/>
                <w:lang w:eastAsia="en-AU"/>
              </w:rPr>
              <w:t>Limit of detection (</w:t>
            </w:r>
            <w:proofErr w:type="spellStart"/>
            <w:r w:rsidRPr="00D53C5A">
              <w:rPr>
                <w:rFonts w:ascii="Times New Roman" w:eastAsia="Times New Roman" w:hAnsi="Times New Roman" w:cs="Times New Roman"/>
                <w:color w:val="000000"/>
                <w:lang w:eastAsia="en-AU"/>
              </w:rPr>
              <w:t>LoD</w:t>
            </w:r>
            <w:proofErr w:type="spellEnd"/>
            <w:r w:rsidRPr="00D53C5A">
              <w:rPr>
                <w:rFonts w:ascii="Times New Roman" w:eastAsia="Times New Roman" w:hAnsi="Times New Roman" w:cs="Times New Roman"/>
                <w:color w:val="000000"/>
                <w:lang w:eastAsia="en-AU"/>
              </w:rPr>
              <w:t>)</w:t>
            </w:r>
          </w:p>
        </w:tc>
        <w:tc>
          <w:tcPr>
            <w:tcW w:w="2644" w:type="pct"/>
            <w:shd w:val="clear" w:color="auto" w:fill="auto"/>
            <w:noWrap/>
            <w:hideMark/>
          </w:tcPr>
          <w:p w14:paraId="7FC03A36" w14:textId="77777777" w:rsidR="00D53C5A" w:rsidRPr="00D53C5A" w:rsidRDefault="00D53C5A" w:rsidP="006322EB">
            <w:pPr>
              <w:spacing w:after="0" w:line="240" w:lineRule="auto"/>
              <w:rPr>
                <w:rFonts w:ascii="Times New Roman" w:eastAsia="Times New Roman" w:hAnsi="Times New Roman" w:cs="Times New Roman"/>
                <w:color w:val="000000"/>
                <w:lang w:eastAsia="en-AU"/>
              </w:rPr>
            </w:pPr>
            <w:r w:rsidRPr="00D53C5A">
              <w:rPr>
                <w:rFonts w:ascii="Times New Roman" w:eastAsia="Times New Roman" w:hAnsi="Times New Roman" w:cs="Times New Roman"/>
                <w:color w:val="000000"/>
                <w:lang w:eastAsia="en-AU"/>
              </w:rPr>
              <w:t>3.4 copies/µL</w:t>
            </w:r>
          </w:p>
        </w:tc>
      </w:tr>
      <w:tr w:rsidR="004C33EE" w:rsidRPr="00D53C5A" w14:paraId="4FD8C482" w14:textId="77777777" w:rsidTr="004C33EE">
        <w:trPr>
          <w:trHeight w:val="300"/>
        </w:trPr>
        <w:tc>
          <w:tcPr>
            <w:tcW w:w="2356" w:type="pct"/>
            <w:shd w:val="clear" w:color="auto" w:fill="auto"/>
            <w:hideMark/>
          </w:tcPr>
          <w:p w14:paraId="126F4A12" w14:textId="77777777" w:rsidR="00D53C5A" w:rsidRPr="00D53C5A" w:rsidRDefault="00D53C5A" w:rsidP="00C17C89">
            <w:pPr>
              <w:spacing w:after="0" w:line="240" w:lineRule="auto"/>
              <w:ind w:left="798" w:hanging="627"/>
              <w:rPr>
                <w:rFonts w:ascii="Times New Roman" w:eastAsia="Times New Roman" w:hAnsi="Times New Roman" w:cs="Times New Roman"/>
                <w:color w:val="000000"/>
                <w:lang w:eastAsia="en-AU"/>
              </w:rPr>
            </w:pPr>
            <w:r w:rsidRPr="00D53C5A">
              <w:rPr>
                <w:rFonts w:ascii="Times New Roman" w:eastAsia="Times New Roman" w:hAnsi="Times New Roman" w:cs="Times New Roman"/>
                <w:color w:val="000000"/>
                <w:lang w:eastAsia="en-AU"/>
              </w:rPr>
              <w:t>Lower Limit of quantification (</w:t>
            </w:r>
            <w:proofErr w:type="spellStart"/>
            <w:r w:rsidRPr="00D53C5A">
              <w:rPr>
                <w:rFonts w:ascii="Times New Roman" w:eastAsia="Times New Roman" w:hAnsi="Times New Roman" w:cs="Times New Roman"/>
                <w:color w:val="000000"/>
                <w:lang w:eastAsia="en-AU"/>
              </w:rPr>
              <w:t>LLoQ</w:t>
            </w:r>
            <w:proofErr w:type="spellEnd"/>
            <w:r w:rsidRPr="00D53C5A">
              <w:rPr>
                <w:rFonts w:ascii="Times New Roman" w:eastAsia="Times New Roman" w:hAnsi="Times New Roman" w:cs="Times New Roman"/>
                <w:color w:val="000000"/>
                <w:lang w:eastAsia="en-AU"/>
              </w:rPr>
              <w:t>)</w:t>
            </w:r>
          </w:p>
          <w:p w14:paraId="52794E3C" w14:textId="77777777" w:rsidR="00D53C5A" w:rsidRPr="00D53C5A" w:rsidRDefault="00D53C5A" w:rsidP="00C17C89">
            <w:pPr>
              <w:spacing w:after="0" w:line="240" w:lineRule="auto"/>
              <w:ind w:left="798" w:hanging="627"/>
              <w:rPr>
                <w:rFonts w:ascii="Times New Roman" w:eastAsia="Times New Roman" w:hAnsi="Times New Roman" w:cs="Times New Roman"/>
                <w:color w:val="000000"/>
                <w:lang w:eastAsia="en-AU"/>
              </w:rPr>
            </w:pPr>
            <w:r w:rsidRPr="00D53C5A">
              <w:rPr>
                <w:rFonts w:ascii="Times New Roman" w:eastAsia="Times New Roman" w:hAnsi="Times New Roman" w:cs="Times New Roman"/>
                <w:color w:val="000000"/>
                <w:lang w:eastAsia="en-AU"/>
              </w:rPr>
              <w:t>Upper Limit of quantification (</w:t>
            </w:r>
            <w:proofErr w:type="spellStart"/>
            <w:r w:rsidRPr="00D53C5A">
              <w:rPr>
                <w:rFonts w:ascii="Times New Roman" w:eastAsia="Times New Roman" w:hAnsi="Times New Roman" w:cs="Times New Roman"/>
                <w:color w:val="000000"/>
                <w:lang w:eastAsia="en-AU"/>
              </w:rPr>
              <w:t>ULoQ</w:t>
            </w:r>
            <w:proofErr w:type="spellEnd"/>
            <w:r w:rsidRPr="00D53C5A">
              <w:rPr>
                <w:rFonts w:ascii="Times New Roman" w:eastAsia="Times New Roman" w:hAnsi="Times New Roman" w:cs="Times New Roman"/>
                <w:color w:val="000000"/>
                <w:lang w:eastAsia="en-AU"/>
              </w:rPr>
              <w:t>)</w:t>
            </w:r>
          </w:p>
        </w:tc>
        <w:tc>
          <w:tcPr>
            <w:tcW w:w="2644" w:type="pct"/>
            <w:shd w:val="clear" w:color="auto" w:fill="auto"/>
            <w:noWrap/>
            <w:hideMark/>
          </w:tcPr>
          <w:p w14:paraId="12BB2865" w14:textId="77777777" w:rsidR="00D53C5A" w:rsidRPr="00D53C5A" w:rsidRDefault="00D53C5A" w:rsidP="006322EB">
            <w:pPr>
              <w:spacing w:after="0" w:line="240" w:lineRule="auto"/>
              <w:rPr>
                <w:rFonts w:ascii="Times New Roman" w:eastAsia="Times New Roman" w:hAnsi="Times New Roman" w:cs="Times New Roman"/>
                <w:color w:val="000000"/>
                <w:lang w:eastAsia="en-AU"/>
              </w:rPr>
            </w:pPr>
            <w:r w:rsidRPr="00D53C5A">
              <w:rPr>
                <w:rFonts w:ascii="Times New Roman" w:eastAsia="Times New Roman" w:hAnsi="Times New Roman" w:cs="Times New Roman"/>
                <w:color w:val="000000"/>
                <w:lang w:eastAsia="en-AU"/>
              </w:rPr>
              <w:t xml:space="preserve">3.4 copies/µL </w:t>
            </w:r>
          </w:p>
          <w:p w14:paraId="310960F1" w14:textId="5166EF32" w:rsidR="00D53C5A" w:rsidRPr="00D53C5A" w:rsidRDefault="004C33EE" w:rsidP="006322EB">
            <w:pPr>
              <w:spacing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2.0×</w:t>
            </w:r>
            <w:r w:rsidR="00D53C5A" w:rsidRPr="00D53C5A">
              <w:rPr>
                <w:rFonts w:ascii="Times New Roman" w:eastAsia="Times New Roman" w:hAnsi="Times New Roman" w:cs="Times New Roman"/>
                <w:color w:val="000000"/>
                <w:lang w:eastAsia="en-AU"/>
              </w:rPr>
              <w:t>10</w:t>
            </w:r>
            <w:r w:rsidR="00D53C5A" w:rsidRPr="00D53C5A">
              <w:rPr>
                <w:rFonts w:ascii="Times New Roman" w:eastAsia="Times New Roman" w:hAnsi="Times New Roman" w:cs="Times New Roman"/>
                <w:color w:val="000000"/>
                <w:vertAlign w:val="superscript"/>
                <w:lang w:eastAsia="en-AU"/>
              </w:rPr>
              <w:t>6</w:t>
            </w:r>
            <w:r>
              <w:rPr>
                <w:rFonts w:ascii="Times New Roman" w:eastAsia="Times New Roman" w:hAnsi="Times New Roman" w:cs="Times New Roman"/>
                <w:color w:val="000000"/>
                <w:lang w:eastAsia="en-AU"/>
              </w:rPr>
              <w:t xml:space="preserve"> copies</w:t>
            </w:r>
            <w:r w:rsidR="00D53C5A" w:rsidRPr="00D53C5A">
              <w:rPr>
                <w:rFonts w:ascii="Times New Roman" w:eastAsia="Times New Roman" w:hAnsi="Times New Roman" w:cs="Times New Roman"/>
                <w:color w:val="000000"/>
                <w:lang w:eastAsia="en-AU"/>
              </w:rPr>
              <w:t xml:space="preserve">/µL </w:t>
            </w:r>
          </w:p>
        </w:tc>
      </w:tr>
      <w:tr w:rsidR="004C33EE" w:rsidRPr="00D53C5A" w14:paraId="0731625B" w14:textId="77777777" w:rsidTr="004C33EE">
        <w:trPr>
          <w:trHeight w:val="300"/>
        </w:trPr>
        <w:tc>
          <w:tcPr>
            <w:tcW w:w="2356" w:type="pct"/>
            <w:shd w:val="clear" w:color="auto" w:fill="auto"/>
            <w:hideMark/>
          </w:tcPr>
          <w:p w14:paraId="386641F1" w14:textId="25C262C2" w:rsidR="00D53C5A" w:rsidRPr="00D53C5A" w:rsidRDefault="00D53C5A" w:rsidP="006322EB">
            <w:pPr>
              <w:spacing w:after="0" w:line="240" w:lineRule="auto"/>
              <w:rPr>
                <w:rFonts w:ascii="Times New Roman" w:eastAsia="Times New Roman" w:hAnsi="Times New Roman" w:cs="Times New Roman"/>
                <w:color w:val="000000"/>
                <w:lang w:eastAsia="en-AU"/>
              </w:rPr>
            </w:pPr>
            <w:r w:rsidRPr="00D53C5A">
              <w:rPr>
                <w:rFonts w:ascii="Times New Roman" w:eastAsia="Times New Roman" w:hAnsi="Times New Roman" w:cs="Times New Roman"/>
                <w:b/>
                <w:bCs/>
                <w:color w:val="000000"/>
                <w:lang w:eastAsia="en-AU"/>
              </w:rPr>
              <w:t xml:space="preserve">Precision: </w:t>
            </w:r>
          </w:p>
        </w:tc>
        <w:tc>
          <w:tcPr>
            <w:tcW w:w="2644" w:type="pct"/>
            <w:shd w:val="clear" w:color="auto" w:fill="auto"/>
            <w:noWrap/>
            <w:hideMark/>
          </w:tcPr>
          <w:p w14:paraId="45FC9D75" w14:textId="77777777" w:rsidR="00D53C5A" w:rsidRPr="00D53C5A" w:rsidRDefault="00D53C5A" w:rsidP="006322EB">
            <w:pPr>
              <w:spacing w:after="0" w:line="240" w:lineRule="auto"/>
              <w:rPr>
                <w:rFonts w:ascii="Times New Roman" w:eastAsia="Times New Roman" w:hAnsi="Times New Roman" w:cs="Times New Roman"/>
                <w:color w:val="000000"/>
                <w:lang w:eastAsia="en-AU"/>
              </w:rPr>
            </w:pPr>
          </w:p>
        </w:tc>
      </w:tr>
      <w:tr w:rsidR="004C33EE" w:rsidRPr="00D53C5A" w14:paraId="1D786544" w14:textId="77777777" w:rsidTr="004C33EE">
        <w:trPr>
          <w:trHeight w:val="300"/>
        </w:trPr>
        <w:tc>
          <w:tcPr>
            <w:tcW w:w="2356" w:type="pct"/>
            <w:shd w:val="clear" w:color="auto" w:fill="auto"/>
            <w:hideMark/>
          </w:tcPr>
          <w:p w14:paraId="0C96F02A" w14:textId="77777777" w:rsidR="00D53C5A" w:rsidRPr="00D53C5A" w:rsidRDefault="00D53C5A" w:rsidP="00C17C89">
            <w:pPr>
              <w:spacing w:after="0" w:line="240" w:lineRule="auto"/>
              <w:rPr>
                <w:rFonts w:ascii="Times New Roman" w:eastAsia="Times New Roman" w:hAnsi="Times New Roman" w:cs="Times New Roman"/>
                <w:color w:val="000000"/>
                <w:lang w:eastAsia="en-AU"/>
              </w:rPr>
            </w:pPr>
            <w:r w:rsidRPr="00D53C5A">
              <w:rPr>
                <w:rFonts w:ascii="Times New Roman" w:eastAsia="Times New Roman" w:hAnsi="Times New Roman" w:cs="Times New Roman"/>
                <w:color w:val="000000"/>
                <w:lang w:eastAsia="en-AU"/>
              </w:rPr>
              <w:lastRenderedPageBreak/>
              <w:t xml:space="preserve">    Intra-assay variability</w:t>
            </w:r>
          </w:p>
        </w:tc>
        <w:tc>
          <w:tcPr>
            <w:tcW w:w="2644" w:type="pct"/>
            <w:shd w:val="clear" w:color="auto" w:fill="auto"/>
            <w:noWrap/>
            <w:hideMark/>
          </w:tcPr>
          <w:p w14:paraId="23C37BFD" w14:textId="0D68D940" w:rsidR="00D53C5A" w:rsidRPr="00D53C5A" w:rsidRDefault="00D53C5A" w:rsidP="006322EB">
            <w:pPr>
              <w:spacing w:after="0" w:line="240" w:lineRule="auto"/>
              <w:rPr>
                <w:rFonts w:ascii="Times New Roman" w:eastAsia="Times New Roman" w:hAnsi="Times New Roman" w:cs="Times New Roman"/>
                <w:lang w:eastAsia="en-AU"/>
              </w:rPr>
            </w:pPr>
            <w:r w:rsidRPr="00D53C5A">
              <w:rPr>
                <w:rFonts w:ascii="Times New Roman" w:eastAsia="Times New Roman" w:hAnsi="Times New Roman" w:cs="Times New Roman"/>
                <w:lang w:eastAsia="en-AU"/>
              </w:rPr>
              <w:t>%CV = 2.24</w:t>
            </w:r>
          </w:p>
        </w:tc>
      </w:tr>
      <w:tr w:rsidR="004C33EE" w:rsidRPr="00D53C5A" w14:paraId="34BDCF08" w14:textId="77777777" w:rsidTr="004C33EE">
        <w:trPr>
          <w:trHeight w:val="309"/>
        </w:trPr>
        <w:tc>
          <w:tcPr>
            <w:tcW w:w="2356" w:type="pct"/>
            <w:shd w:val="clear" w:color="auto" w:fill="auto"/>
            <w:hideMark/>
          </w:tcPr>
          <w:p w14:paraId="2ED198B4" w14:textId="77777777" w:rsidR="00D53C5A" w:rsidRPr="00D53C5A" w:rsidRDefault="00D53C5A" w:rsidP="00C17C89">
            <w:pPr>
              <w:spacing w:after="0" w:line="240" w:lineRule="auto"/>
              <w:rPr>
                <w:rFonts w:ascii="Times New Roman" w:eastAsia="Times New Roman" w:hAnsi="Times New Roman" w:cs="Times New Roman"/>
                <w:color w:val="000000"/>
                <w:lang w:eastAsia="en-AU"/>
              </w:rPr>
            </w:pPr>
            <w:r w:rsidRPr="00D53C5A">
              <w:rPr>
                <w:rFonts w:ascii="Times New Roman" w:eastAsia="Times New Roman" w:hAnsi="Times New Roman" w:cs="Times New Roman"/>
                <w:color w:val="000000"/>
                <w:lang w:eastAsia="en-AU"/>
              </w:rPr>
              <w:t xml:space="preserve">    Inter-assay variability</w:t>
            </w:r>
          </w:p>
        </w:tc>
        <w:tc>
          <w:tcPr>
            <w:tcW w:w="2644" w:type="pct"/>
            <w:shd w:val="clear" w:color="auto" w:fill="auto"/>
            <w:hideMark/>
          </w:tcPr>
          <w:p w14:paraId="45C514DA" w14:textId="47546236" w:rsidR="00D53C5A" w:rsidRPr="00D53C5A" w:rsidRDefault="00D53C5A" w:rsidP="006322EB">
            <w:pPr>
              <w:spacing w:after="0" w:line="240" w:lineRule="auto"/>
              <w:rPr>
                <w:rFonts w:ascii="Times New Roman" w:eastAsia="Times New Roman" w:hAnsi="Times New Roman" w:cs="Times New Roman"/>
                <w:lang w:eastAsia="en-AU"/>
              </w:rPr>
            </w:pPr>
            <w:r w:rsidRPr="00D53C5A">
              <w:rPr>
                <w:rFonts w:ascii="Times New Roman" w:eastAsia="Times New Roman" w:hAnsi="Times New Roman" w:cs="Times New Roman"/>
                <w:lang w:eastAsia="en-AU"/>
              </w:rPr>
              <w:t>%CV = 2.21</w:t>
            </w:r>
          </w:p>
        </w:tc>
      </w:tr>
      <w:tr w:rsidR="004C33EE" w:rsidRPr="00D53C5A" w14:paraId="49354112" w14:textId="77777777" w:rsidTr="004C33EE">
        <w:trPr>
          <w:trHeight w:val="300"/>
        </w:trPr>
        <w:tc>
          <w:tcPr>
            <w:tcW w:w="2356" w:type="pct"/>
            <w:shd w:val="clear" w:color="auto" w:fill="auto"/>
            <w:hideMark/>
          </w:tcPr>
          <w:p w14:paraId="70BC2598" w14:textId="77777777" w:rsidR="00D53C5A" w:rsidRPr="00D53C5A" w:rsidRDefault="00D53C5A" w:rsidP="006322EB">
            <w:pPr>
              <w:spacing w:after="0" w:line="240" w:lineRule="auto"/>
              <w:rPr>
                <w:rFonts w:ascii="Times New Roman" w:eastAsia="Times New Roman" w:hAnsi="Times New Roman" w:cs="Times New Roman"/>
                <w:b/>
                <w:bCs/>
                <w:color w:val="000000"/>
                <w:lang w:eastAsia="en-AU"/>
              </w:rPr>
            </w:pPr>
            <w:r w:rsidRPr="00D53C5A">
              <w:rPr>
                <w:rFonts w:ascii="Times New Roman" w:eastAsia="Times New Roman" w:hAnsi="Times New Roman" w:cs="Times New Roman"/>
                <w:b/>
                <w:bCs/>
                <w:color w:val="000000"/>
                <w:lang w:eastAsia="en-AU"/>
              </w:rPr>
              <w:t>Specificity:</w:t>
            </w:r>
          </w:p>
        </w:tc>
        <w:tc>
          <w:tcPr>
            <w:tcW w:w="2644" w:type="pct"/>
            <w:shd w:val="clear" w:color="auto" w:fill="auto"/>
            <w:noWrap/>
            <w:hideMark/>
          </w:tcPr>
          <w:p w14:paraId="7CFB2131" w14:textId="77777777" w:rsidR="00D53C5A" w:rsidRPr="00D53C5A" w:rsidRDefault="00D53C5A" w:rsidP="006322EB">
            <w:pPr>
              <w:spacing w:after="0" w:line="240" w:lineRule="auto"/>
              <w:rPr>
                <w:rFonts w:ascii="Times New Roman" w:eastAsia="Times New Roman" w:hAnsi="Times New Roman" w:cs="Times New Roman"/>
                <w:lang w:eastAsia="en-AU"/>
              </w:rPr>
            </w:pPr>
          </w:p>
        </w:tc>
      </w:tr>
      <w:tr w:rsidR="004C33EE" w:rsidRPr="00D53C5A" w14:paraId="2235B530" w14:textId="77777777" w:rsidTr="004C33EE">
        <w:trPr>
          <w:trHeight w:val="300"/>
        </w:trPr>
        <w:tc>
          <w:tcPr>
            <w:tcW w:w="2356" w:type="pct"/>
            <w:shd w:val="clear" w:color="auto" w:fill="auto"/>
          </w:tcPr>
          <w:p w14:paraId="1B0E3B83" w14:textId="77777777" w:rsidR="00D53C5A" w:rsidRPr="00D53C5A" w:rsidRDefault="00D53C5A" w:rsidP="00C17C89">
            <w:pPr>
              <w:spacing w:after="0" w:line="240" w:lineRule="auto"/>
              <w:ind w:firstLine="171"/>
              <w:rPr>
                <w:rFonts w:ascii="Times New Roman" w:eastAsia="Times New Roman" w:hAnsi="Times New Roman" w:cs="Times New Roman"/>
                <w:bCs/>
                <w:color w:val="000000"/>
                <w:lang w:eastAsia="en-AU"/>
              </w:rPr>
            </w:pPr>
            <w:r w:rsidRPr="00D53C5A">
              <w:rPr>
                <w:rFonts w:ascii="Times New Roman" w:eastAsia="Times New Roman" w:hAnsi="Times New Roman" w:cs="Times New Roman"/>
                <w:bCs/>
                <w:color w:val="000000"/>
                <w:lang w:eastAsia="en-AU"/>
              </w:rPr>
              <w:t>Analytical specificity</w:t>
            </w:r>
          </w:p>
          <w:p w14:paraId="0C0DE09E" w14:textId="77777777" w:rsidR="00D53C5A" w:rsidRPr="00D53C5A" w:rsidRDefault="00D53C5A" w:rsidP="006322EB">
            <w:pPr>
              <w:spacing w:after="0" w:line="240" w:lineRule="auto"/>
              <w:ind w:firstLine="879"/>
              <w:rPr>
                <w:rFonts w:ascii="Times New Roman" w:eastAsia="Times New Roman" w:hAnsi="Times New Roman" w:cs="Times New Roman"/>
                <w:bCs/>
                <w:color w:val="000000"/>
                <w:lang w:eastAsia="en-AU"/>
              </w:rPr>
            </w:pPr>
          </w:p>
        </w:tc>
        <w:tc>
          <w:tcPr>
            <w:tcW w:w="2644" w:type="pct"/>
            <w:shd w:val="clear" w:color="auto" w:fill="auto"/>
            <w:noWrap/>
          </w:tcPr>
          <w:p w14:paraId="0B6EC094" w14:textId="77777777" w:rsidR="00D53C5A" w:rsidRPr="00D53C5A" w:rsidRDefault="00D53C5A" w:rsidP="006322EB">
            <w:pPr>
              <w:spacing w:after="0" w:line="240" w:lineRule="auto"/>
              <w:rPr>
                <w:rFonts w:ascii="Times New Roman" w:eastAsia="Times New Roman" w:hAnsi="Times New Roman" w:cs="Times New Roman"/>
                <w:lang w:eastAsia="en-AU"/>
              </w:rPr>
            </w:pPr>
            <w:r w:rsidRPr="00D53C5A">
              <w:rPr>
                <w:rFonts w:ascii="Times New Roman" w:eastAsia="Times New Roman" w:hAnsi="Times New Roman" w:cs="Times New Roman"/>
                <w:lang w:eastAsia="en-AU"/>
              </w:rPr>
              <w:t>100%</w:t>
            </w:r>
          </w:p>
          <w:p w14:paraId="32DEA391" w14:textId="77777777" w:rsidR="00D53C5A" w:rsidRPr="00D53C5A" w:rsidRDefault="00D53C5A" w:rsidP="006322EB">
            <w:pPr>
              <w:spacing w:after="0" w:line="240" w:lineRule="auto"/>
              <w:rPr>
                <w:rFonts w:ascii="Times New Roman" w:eastAsia="Times New Roman" w:hAnsi="Times New Roman" w:cs="Times New Roman"/>
                <w:lang w:eastAsia="en-AU"/>
              </w:rPr>
            </w:pPr>
          </w:p>
        </w:tc>
      </w:tr>
      <w:tr w:rsidR="004C33EE" w:rsidRPr="00D53C5A" w14:paraId="1F2FF8C2" w14:textId="77777777" w:rsidTr="004C33EE">
        <w:trPr>
          <w:trHeight w:val="300"/>
        </w:trPr>
        <w:tc>
          <w:tcPr>
            <w:tcW w:w="2356" w:type="pct"/>
            <w:shd w:val="clear" w:color="auto" w:fill="auto"/>
            <w:hideMark/>
          </w:tcPr>
          <w:p w14:paraId="0174BF2B" w14:textId="77777777" w:rsidR="00D53C5A" w:rsidRPr="00D53C5A" w:rsidRDefault="00D53C5A" w:rsidP="006322EB">
            <w:pPr>
              <w:spacing w:after="0" w:line="240" w:lineRule="auto"/>
              <w:rPr>
                <w:rFonts w:ascii="Times New Roman" w:eastAsia="Times New Roman" w:hAnsi="Times New Roman" w:cs="Times New Roman"/>
                <w:b/>
                <w:bCs/>
                <w:color w:val="000000"/>
                <w:lang w:eastAsia="en-AU"/>
              </w:rPr>
            </w:pPr>
            <w:r w:rsidRPr="00D53C5A">
              <w:rPr>
                <w:rFonts w:ascii="Times New Roman" w:eastAsia="Times New Roman" w:hAnsi="Times New Roman" w:cs="Times New Roman"/>
                <w:b/>
                <w:bCs/>
                <w:color w:val="000000"/>
                <w:lang w:eastAsia="en-AU"/>
              </w:rPr>
              <w:t>Accuracy (Trueness):</w:t>
            </w:r>
          </w:p>
        </w:tc>
        <w:tc>
          <w:tcPr>
            <w:tcW w:w="2644" w:type="pct"/>
            <w:shd w:val="clear" w:color="auto" w:fill="auto"/>
            <w:noWrap/>
            <w:hideMark/>
          </w:tcPr>
          <w:p w14:paraId="76D68818" w14:textId="77777777" w:rsidR="00D53C5A" w:rsidRPr="00D53C5A" w:rsidRDefault="00D53C5A" w:rsidP="006322EB">
            <w:pPr>
              <w:spacing w:after="0" w:line="240" w:lineRule="auto"/>
              <w:rPr>
                <w:rFonts w:ascii="Times New Roman" w:eastAsia="Times New Roman" w:hAnsi="Times New Roman" w:cs="Times New Roman"/>
                <w:lang w:eastAsia="en-AU"/>
              </w:rPr>
            </w:pPr>
          </w:p>
        </w:tc>
      </w:tr>
      <w:tr w:rsidR="004C33EE" w:rsidRPr="00D53C5A" w14:paraId="688D4E0C" w14:textId="77777777" w:rsidTr="004C33EE">
        <w:trPr>
          <w:trHeight w:val="300"/>
        </w:trPr>
        <w:tc>
          <w:tcPr>
            <w:tcW w:w="2356" w:type="pct"/>
            <w:shd w:val="clear" w:color="auto" w:fill="auto"/>
            <w:hideMark/>
          </w:tcPr>
          <w:p w14:paraId="0E66E90C" w14:textId="77777777" w:rsidR="00D53C5A" w:rsidRPr="00D53C5A" w:rsidRDefault="00D53C5A" w:rsidP="00C17C89">
            <w:pPr>
              <w:spacing w:after="0" w:line="240" w:lineRule="auto"/>
              <w:ind w:firstLineChars="77" w:firstLine="169"/>
              <w:rPr>
                <w:rFonts w:ascii="Times New Roman" w:eastAsia="Times New Roman" w:hAnsi="Times New Roman" w:cs="Times New Roman"/>
                <w:color w:val="000000"/>
                <w:lang w:eastAsia="en-AU"/>
              </w:rPr>
            </w:pPr>
            <w:r w:rsidRPr="00D53C5A">
              <w:rPr>
                <w:rFonts w:ascii="Times New Roman" w:eastAsia="Times New Roman" w:hAnsi="Times New Roman" w:cs="Times New Roman"/>
                <w:color w:val="000000"/>
                <w:lang w:eastAsia="en-AU"/>
              </w:rPr>
              <w:t>Comparison-of-methods study</w:t>
            </w:r>
          </w:p>
          <w:p w14:paraId="1D07182D" w14:textId="77777777" w:rsidR="00D53C5A" w:rsidRPr="00D53C5A" w:rsidRDefault="00D53C5A" w:rsidP="00C17C89">
            <w:pPr>
              <w:spacing w:after="0" w:line="240" w:lineRule="auto"/>
              <w:ind w:firstLineChars="77" w:firstLine="169"/>
              <w:rPr>
                <w:rFonts w:ascii="Times New Roman" w:eastAsia="Times New Roman" w:hAnsi="Times New Roman" w:cs="Times New Roman"/>
                <w:color w:val="000000"/>
                <w:lang w:eastAsia="en-AU"/>
              </w:rPr>
            </w:pPr>
            <w:r w:rsidRPr="00D53C5A">
              <w:rPr>
                <w:rFonts w:ascii="Times New Roman" w:eastAsia="Times New Roman" w:hAnsi="Times New Roman" w:cs="Times New Roman"/>
                <w:color w:val="000000"/>
                <w:lang w:eastAsia="en-AU"/>
              </w:rPr>
              <w:t>Microscopy versus qPCR</w:t>
            </w:r>
          </w:p>
        </w:tc>
        <w:tc>
          <w:tcPr>
            <w:tcW w:w="2644" w:type="pct"/>
            <w:shd w:val="clear" w:color="auto" w:fill="auto"/>
            <w:noWrap/>
            <w:hideMark/>
          </w:tcPr>
          <w:p w14:paraId="34372D45" w14:textId="77777777" w:rsidR="00D53C5A" w:rsidRPr="00D53C5A" w:rsidRDefault="00D53C5A" w:rsidP="006322EB">
            <w:pPr>
              <w:spacing w:after="0" w:line="240" w:lineRule="auto"/>
              <w:rPr>
                <w:rFonts w:ascii="Times New Roman" w:eastAsia="Times New Roman" w:hAnsi="Times New Roman" w:cs="Times New Roman"/>
                <w:lang w:eastAsia="en-AU"/>
              </w:rPr>
            </w:pPr>
            <w:r w:rsidRPr="00D53C5A">
              <w:rPr>
                <w:rFonts w:ascii="Times New Roman" w:eastAsia="Times New Roman" w:hAnsi="Times New Roman" w:cs="Times New Roman"/>
                <w:lang w:eastAsia="en-AU"/>
              </w:rPr>
              <w:t>% Agreement = 90%</w:t>
            </w:r>
          </w:p>
          <w:p w14:paraId="33193183" w14:textId="68DC186E" w:rsidR="00D53C5A" w:rsidRPr="00D53C5A" w:rsidRDefault="004C33EE" w:rsidP="006322EB">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3 samples were </w:t>
            </w:r>
            <w:r w:rsidR="00D53C5A" w:rsidRPr="00D53C5A">
              <w:rPr>
                <w:rFonts w:ascii="Times New Roman" w:eastAsia="Times New Roman" w:hAnsi="Times New Roman" w:cs="Times New Roman"/>
                <w:lang w:eastAsia="en-AU"/>
              </w:rPr>
              <w:t>qPCR positive and microscopy negative</w:t>
            </w:r>
          </w:p>
        </w:tc>
      </w:tr>
      <w:tr w:rsidR="004C33EE" w:rsidRPr="00D53C5A" w14:paraId="138B14F6" w14:textId="77777777" w:rsidTr="004C33EE">
        <w:trPr>
          <w:trHeight w:val="300"/>
        </w:trPr>
        <w:tc>
          <w:tcPr>
            <w:tcW w:w="2356" w:type="pct"/>
            <w:shd w:val="clear" w:color="auto" w:fill="auto"/>
            <w:hideMark/>
          </w:tcPr>
          <w:p w14:paraId="0FF80BF0" w14:textId="77777777" w:rsidR="00D53C5A" w:rsidRPr="00D53C5A" w:rsidRDefault="00D53C5A" w:rsidP="006322EB">
            <w:pPr>
              <w:spacing w:after="0" w:line="240" w:lineRule="auto"/>
              <w:rPr>
                <w:rFonts w:ascii="Times New Roman" w:eastAsia="Times New Roman" w:hAnsi="Times New Roman" w:cs="Times New Roman"/>
                <w:b/>
                <w:bCs/>
                <w:color w:val="000000"/>
                <w:lang w:eastAsia="en-AU"/>
              </w:rPr>
            </w:pPr>
            <w:r w:rsidRPr="00D53C5A">
              <w:rPr>
                <w:rFonts w:ascii="Times New Roman" w:eastAsia="Times New Roman" w:hAnsi="Times New Roman" w:cs="Times New Roman"/>
                <w:b/>
                <w:bCs/>
                <w:color w:val="000000"/>
                <w:lang w:eastAsia="en-AU"/>
              </w:rPr>
              <w:t>Reference Interval:</w:t>
            </w:r>
          </w:p>
        </w:tc>
        <w:tc>
          <w:tcPr>
            <w:tcW w:w="2644" w:type="pct"/>
            <w:shd w:val="clear" w:color="auto" w:fill="auto"/>
            <w:noWrap/>
            <w:hideMark/>
          </w:tcPr>
          <w:p w14:paraId="39EEA70B" w14:textId="77777777" w:rsidR="00D53C5A" w:rsidRPr="00D53C5A" w:rsidRDefault="00D53C5A" w:rsidP="006322EB">
            <w:pPr>
              <w:spacing w:after="0" w:line="240" w:lineRule="auto"/>
              <w:rPr>
                <w:rFonts w:ascii="Times New Roman" w:eastAsia="Times New Roman" w:hAnsi="Times New Roman" w:cs="Times New Roman"/>
                <w:color w:val="000000"/>
                <w:lang w:eastAsia="en-AU"/>
              </w:rPr>
            </w:pPr>
            <w:r w:rsidRPr="00D53C5A">
              <w:rPr>
                <w:rFonts w:ascii="Times New Roman" w:eastAsia="Times New Roman" w:hAnsi="Times New Roman" w:cs="Times New Roman"/>
                <w:color w:val="000000"/>
                <w:lang w:eastAsia="en-AU"/>
              </w:rPr>
              <w:t>Not detect</w:t>
            </w:r>
          </w:p>
        </w:tc>
      </w:tr>
    </w:tbl>
    <w:p w14:paraId="67FD4CD8" w14:textId="20E876B7" w:rsidR="00DF45DC" w:rsidRDefault="00DF45DC" w:rsidP="00A912FF">
      <w:pPr>
        <w:tabs>
          <w:tab w:val="left" w:pos="1139"/>
        </w:tabs>
      </w:pPr>
    </w:p>
    <w:p w14:paraId="111F02C1" w14:textId="0953B9ED" w:rsidR="00A912FF" w:rsidRPr="00A912FF" w:rsidRDefault="007F1EAA" w:rsidP="007F1EAA">
      <w:pPr>
        <w:pStyle w:val="ListParagraph"/>
        <w:numPr>
          <w:ilvl w:val="0"/>
          <w:numId w:val="18"/>
        </w:numPr>
        <w:tabs>
          <w:tab w:val="left" w:pos="1139"/>
        </w:tabs>
      </w:pPr>
      <w:r>
        <w:t xml:space="preserve">McCarthy et al. 2013. Experimentally Induced Blood-Stage </w:t>
      </w:r>
      <w:r w:rsidRPr="007F1EAA">
        <w:rPr>
          <w:i/>
        </w:rPr>
        <w:t xml:space="preserve">Plasmodium </w:t>
      </w:r>
      <w:proofErr w:type="spellStart"/>
      <w:r w:rsidRPr="007F1EAA">
        <w:rPr>
          <w:i/>
        </w:rPr>
        <w:t>vivax</w:t>
      </w:r>
      <w:proofErr w:type="spellEnd"/>
      <w:r>
        <w:t xml:space="preserve"> Infection in Healthy Volunteers. J Infect Dis. 208: 1688-1694. </w:t>
      </w:r>
    </w:p>
    <w:sectPr w:rsidR="00A912FF" w:rsidRPr="00A912FF" w:rsidSect="00EB2B5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4B2B" w14:textId="77777777" w:rsidR="006322EB" w:rsidRDefault="006322EB" w:rsidP="004D21C4">
      <w:pPr>
        <w:spacing w:after="0" w:line="240" w:lineRule="auto"/>
      </w:pPr>
      <w:r>
        <w:separator/>
      </w:r>
    </w:p>
  </w:endnote>
  <w:endnote w:type="continuationSeparator" w:id="0">
    <w:p w14:paraId="4E072C5E" w14:textId="77777777" w:rsidR="006322EB" w:rsidRDefault="006322EB" w:rsidP="004D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20273"/>
      <w:docPartObj>
        <w:docPartGallery w:val="Page Numbers (Bottom of Page)"/>
        <w:docPartUnique/>
      </w:docPartObj>
    </w:sdtPr>
    <w:sdtEndPr>
      <w:rPr>
        <w:noProof/>
      </w:rPr>
    </w:sdtEndPr>
    <w:sdtContent>
      <w:p w14:paraId="128BC85F" w14:textId="4611F75A" w:rsidR="006322EB" w:rsidRDefault="006322EB">
        <w:pPr>
          <w:pStyle w:val="Footer"/>
          <w:jc w:val="center"/>
        </w:pPr>
        <w:r>
          <w:fldChar w:fldCharType="begin"/>
        </w:r>
        <w:r>
          <w:instrText xml:space="preserve"> PAGE   \* MERGEFORMAT </w:instrText>
        </w:r>
        <w:r>
          <w:fldChar w:fldCharType="separate"/>
        </w:r>
        <w:r w:rsidR="006370AB">
          <w:rPr>
            <w:noProof/>
          </w:rPr>
          <w:t>7</w:t>
        </w:r>
        <w:r>
          <w:rPr>
            <w:noProof/>
          </w:rPr>
          <w:fldChar w:fldCharType="end"/>
        </w:r>
      </w:p>
    </w:sdtContent>
  </w:sdt>
  <w:p w14:paraId="0171FFFB" w14:textId="77777777" w:rsidR="006322EB" w:rsidRDefault="00632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97FC2" w14:textId="77777777" w:rsidR="006322EB" w:rsidRDefault="006322EB" w:rsidP="004D21C4">
      <w:pPr>
        <w:spacing w:after="0" w:line="240" w:lineRule="auto"/>
      </w:pPr>
      <w:r>
        <w:separator/>
      </w:r>
    </w:p>
  </w:footnote>
  <w:footnote w:type="continuationSeparator" w:id="0">
    <w:p w14:paraId="1365BCF0" w14:textId="77777777" w:rsidR="006322EB" w:rsidRDefault="006322EB" w:rsidP="004D2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2E66"/>
    <w:multiLevelType w:val="hybridMultilevel"/>
    <w:tmpl w:val="B5CE36AC"/>
    <w:lvl w:ilvl="0" w:tplc="1756A97E">
      <w:start w:val="1"/>
      <w:numFmt w:val="decimal"/>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CF130D"/>
    <w:multiLevelType w:val="hybridMultilevel"/>
    <w:tmpl w:val="F55446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632B2"/>
    <w:multiLevelType w:val="hybridMultilevel"/>
    <w:tmpl w:val="1730CF4A"/>
    <w:lvl w:ilvl="0" w:tplc="E9502C7A">
      <w:start w:val="1"/>
      <w:numFmt w:val="decimal"/>
      <w:lvlText w:val="%1."/>
      <w:lvlJc w:val="righ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4D783E"/>
    <w:multiLevelType w:val="hybridMultilevel"/>
    <w:tmpl w:val="0FB4D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BC7E77"/>
    <w:multiLevelType w:val="hybridMultilevel"/>
    <w:tmpl w:val="F170E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04C6B"/>
    <w:multiLevelType w:val="hybridMultilevel"/>
    <w:tmpl w:val="6E702D38"/>
    <w:lvl w:ilvl="0" w:tplc="1E6EBBF6">
      <w:start w:val="1"/>
      <w:numFmt w:val="decimal"/>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E31772"/>
    <w:multiLevelType w:val="hybridMultilevel"/>
    <w:tmpl w:val="F38494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4F62F9"/>
    <w:multiLevelType w:val="hybridMultilevel"/>
    <w:tmpl w:val="813A31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5403C2"/>
    <w:multiLevelType w:val="hybridMultilevel"/>
    <w:tmpl w:val="C02020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FF1585"/>
    <w:multiLevelType w:val="hybridMultilevel"/>
    <w:tmpl w:val="9F249C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4753B53"/>
    <w:multiLevelType w:val="hybridMultilevel"/>
    <w:tmpl w:val="E624B656"/>
    <w:lvl w:ilvl="0" w:tplc="E9502C7A">
      <w:start w:val="1"/>
      <w:numFmt w:val="decimal"/>
      <w:lvlText w:val="%1."/>
      <w:lvlJc w:val="right"/>
      <w:pPr>
        <w:ind w:left="720" w:hanging="360"/>
      </w:pPr>
      <w:rPr>
        <w:rFonts w:hint="default"/>
      </w:rPr>
    </w:lvl>
    <w:lvl w:ilvl="1" w:tplc="6D8CEBE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C11991"/>
    <w:multiLevelType w:val="hybridMultilevel"/>
    <w:tmpl w:val="EFBA33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A639E4"/>
    <w:multiLevelType w:val="hybridMultilevel"/>
    <w:tmpl w:val="2DE876A4"/>
    <w:lvl w:ilvl="0" w:tplc="CC3CBB18">
      <w:start w:val="1"/>
      <w:numFmt w:val="decimal"/>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271A29"/>
    <w:multiLevelType w:val="hybridMultilevel"/>
    <w:tmpl w:val="85ACB0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7D06FC"/>
    <w:multiLevelType w:val="hybridMultilevel"/>
    <w:tmpl w:val="4E08EC86"/>
    <w:lvl w:ilvl="0" w:tplc="E9502C7A">
      <w:start w:val="1"/>
      <w:numFmt w:val="decimal"/>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5B2F76"/>
    <w:multiLevelType w:val="hybridMultilevel"/>
    <w:tmpl w:val="03181B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800A88"/>
    <w:multiLevelType w:val="hybridMultilevel"/>
    <w:tmpl w:val="E0E071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6F33E2"/>
    <w:multiLevelType w:val="hybridMultilevel"/>
    <w:tmpl w:val="28A0C4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5"/>
  </w:num>
  <w:num w:numId="3">
    <w:abstractNumId w:val="1"/>
  </w:num>
  <w:num w:numId="4">
    <w:abstractNumId w:val="0"/>
  </w:num>
  <w:num w:numId="5">
    <w:abstractNumId w:val="12"/>
  </w:num>
  <w:num w:numId="6">
    <w:abstractNumId w:val="5"/>
  </w:num>
  <w:num w:numId="7">
    <w:abstractNumId w:val="6"/>
  </w:num>
  <w:num w:numId="8">
    <w:abstractNumId w:val="16"/>
  </w:num>
  <w:num w:numId="9">
    <w:abstractNumId w:val="11"/>
  </w:num>
  <w:num w:numId="10">
    <w:abstractNumId w:val="7"/>
  </w:num>
  <w:num w:numId="11">
    <w:abstractNumId w:val="13"/>
  </w:num>
  <w:num w:numId="12">
    <w:abstractNumId w:val="17"/>
  </w:num>
  <w:num w:numId="13">
    <w:abstractNumId w:val="4"/>
  </w:num>
  <w:num w:numId="14">
    <w:abstractNumId w:val="10"/>
  </w:num>
  <w:num w:numId="15">
    <w:abstractNumId w:val="2"/>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B9"/>
    <w:rsid w:val="0000004C"/>
    <w:rsid w:val="00003EB8"/>
    <w:rsid w:val="0000408B"/>
    <w:rsid w:val="000054C7"/>
    <w:rsid w:val="00007F0E"/>
    <w:rsid w:val="000105CC"/>
    <w:rsid w:val="00026794"/>
    <w:rsid w:val="000302E0"/>
    <w:rsid w:val="00053937"/>
    <w:rsid w:val="00075A90"/>
    <w:rsid w:val="00077110"/>
    <w:rsid w:val="00084DB7"/>
    <w:rsid w:val="00085E88"/>
    <w:rsid w:val="000A3A3A"/>
    <w:rsid w:val="000B2F7D"/>
    <w:rsid w:val="000D08F9"/>
    <w:rsid w:val="000F534E"/>
    <w:rsid w:val="0010373E"/>
    <w:rsid w:val="001057DF"/>
    <w:rsid w:val="00111E78"/>
    <w:rsid w:val="001127FE"/>
    <w:rsid w:val="00133F2E"/>
    <w:rsid w:val="00146CE0"/>
    <w:rsid w:val="00152C4B"/>
    <w:rsid w:val="001542B1"/>
    <w:rsid w:val="00170F48"/>
    <w:rsid w:val="00181E2A"/>
    <w:rsid w:val="00194BF3"/>
    <w:rsid w:val="001A4524"/>
    <w:rsid w:val="001D2DCF"/>
    <w:rsid w:val="001D36E7"/>
    <w:rsid w:val="001E0DDD"/>
    <w:rsid w:val="00201970"/>
    <w:rsid w:val="0020491E"/>
    <w:rsid w:val="00210E93"/>
    <w:rsid w:val="00221FA7"/>
    <w:rsid w:val="0022402A"/>
    <w:rsid w:val="002337FB"/>
    <w:rsid w:val="002645EB"/>
    <w:rsid w:val="00264A66"/>
    <w:rsid w:val="00266DE9"/>
    <w:rsid w:val="00282CF3"/>
    <w:rsid w:val="00290C41"/>
    <w:rsid w:val="0029421F"/>
    <w:rsid w:val="002A5E7C"/>
    <w:rsid w:val="002E5748"/>
    <w:rsid w:val="002E7CCB"/>
    <w:rsid w:val="002F5721"/>
    <w:rsid w:val="002F6AA7"/>
    <w:rsid w:val="003047E2"/>
    <w:rsid w:val="00304EC8"/>
    <w:rsid w:val="00305997"/>
    <w:rsid w:val="00311F4C"/>
    <w:rsid w:val="00320DF8"/>
    <w:rsid w:val="00322CD3"/>
    <w:rsid w:val="00327F52"/>
    <w:rsid w:val="0033390A"/>
    <w:rsid w:val="00342BD7"/>
    <w:rsid w:val="003435DA"/>
    <w:rsid w:val="003441BE"/>
    <w:rsid w:val="003450BF"/>
    <w:rsid w:val="003467A5"/>
    <w:rsid w:val="00354010"/>
    <w:rsid w:val="0036458F"/>
    <w:rsid w:val="00365DC2"/>
    <w:rsid w:val="0038587A"/>
    <w:rsid w:val="00393DBE"/>
    <w:rsid w:val="00394A2A"/>
    <w:rsid w:val="00396801"/>
    <w:rsid w:val="003A1D64"/>
    <w:rsid w:val="003B691B"/>
    <w:rsid w:val="003C5D50"/>
    <w:rsid w:val="003D7709"/>
    <w:rsid w:val="003E4263"/>
    <w:rsid w:val="003E728F"/>
    <w:rsid w:val="003F1B60"/>
    <w:rsid w:val="003F2864"/>
    <w:rsid w:val="003F2A37"/>
    <w:rsid w:val="003F3B26"/>
    <w:rsid w:val="003F648B"/>
    <w:rsid w:val="0040522D"/>
    <w:rsid w:val="00406E7B"/>
    <w:rsid w:val="004106B3"/>
    <w:rsid w:val="00425A3E"/>
    <w:rsid w:val="004269A7"/>
    <w:rsid w:val="00473DC6"/>
    <w:rsid w:val="00474478"/>
    <w:rsid w:val="00491EF9"/>
    <w:rsid w:val="004968E5"/>
    <w:rsid w:val="004B5050"/>
    <w:rsid w:val="004B7C83"/>
    <w:rsid w:val="004C2FA0"/>
    <w:rsid w:val="004C33EE"/>
    <w:rsid w:val="004C6C14"/>
    <w:rsid w:val="004C6EE2"/>
    <w:rsid w:val="004D21C4"/>
    <w:rsid w:val="004E4F26"/>
    <w:rsid w:val="004F5F8F"/>
    <w:rsid w:val="00503475"/>
    <w:rsid w:val="00511843"/>
    <w:rsid w:val="005218E4"/>
    <w:rsid w:val="00527658"/>
    <w:rsid w:val="005335FF"/>
    <w:rsid w:val="00556849"/>
    <w:rsid w:val="005622D2"/>
    <w:rsid w:val="00562FA9"/>
    <w:rsid w:val="0056525C"/>
    <w:rsid w:val="00566A0A"/>
    <w:rsid w:val="005736AA"/>
    <w:rsid w:val="00584A64"/>
    <w:rsid w:val="0059617A"/>
    <w:rsid w:val="005A199A"/>
    <w:rsid w:val="005B5210"/>
    <w:rsid w:val="005B63F9"/>
    <w:rsid w:val="005E664C"/>
    <w:rsid w:val="005E687D"/>
    <w:rsid w:val="00604B56"/>
    <w:rsid w:val="006322EB"/>
    <w:rsid w:val="00634EB8"/>
    <w:rsid w:val="006370AB"/>
    <w:rsid w:val="006407D1"/>
    <w:rsid w:val="006435DE"/>
    <w:rsid w:val="006449AC"/>
    <w:rsid w:val="00646741"/>
    <w:rsid w:val="006560BB"/>
    <w:rsid w:val="006737E9"/>
    <w:rsid w:val="0068546D"/>
    <w:rsid w:val="00694414"/>
    <w:rsid w:val="006A0D81"/>
    <w:rsid w:val="006B6257"/>
    <w:rsid w:val="006C69D3"/>
    <w:rsid w:val="006D0CD9"/>
    <w:rsid w:val="006E0203"/>
    <w:rsid w:val="006E1BF5"/>
    <w:rsid w:val="006F42D8"/>
    <w:rsid w:val="006F7158"/>
    <w:rsid w:val="00733B8A"/>
    <w:rsid w:val="00752FE0"/>
    <w:rsid w:val="00754928"/>
    <w:rsid w:val="007621E3"/>
    <w:rsid w:val="007636FF"/>
    <w:rsid w:val="0078023C"/>
    <w:rsid w:val="007B25ED"/>
    <w:rsid w:val="007C0F7A"/>
    <w:rsid w:val="007C40AC"/>
    <w:rsid w:val="007D1FF2"/>
    <w:rsid w:val="007D3FCD"/>
    <w:rsid w:val="007F0E4B"/>
    <w:rsid w:val="007F1EAA"/>
    <w:rsid w:val="007F6C8B"/>
    <w:rsid w:val="008160FF"/>
    <w:rsid w:val="0081663A"/>
    <w:rsid w:val="0082078D"/>
    <w:rsid w:val="00820986"/>
    <w:rsid w:val="00853D8F"/>
    <w:rsid w:val="0089129B"/>
    <w:rsid w:val="00895EC5"/>
    <w:rsid w:val="008A0300"/>
    <w:rsid w:val="008A364C"/>
    <w:rsid w:val="008B118E"/>
    <w:rsid w:val="008B2451"/>
    <w:rsid w:val="008C565C"/>
    <w:rsid w:val="008D2428"/>
    <w:rsid w:val="008D4817"/>
    <w:rsid w:val="008E0DBB"/>
    <w:rsid w:val="008E64B9"/>
    <w:rsid w:val="008F5FC9"/>
    <w:rsid w:val="0091207E"/>
    <w:rsid w:val="00934140"/>
    <w:rsid w:val="009354B3"/>
    <w:rsid w:val="0096139C"/>
    <w:rsid w:val="0097085B"/>
    <w:rsid w:val="00980BCA"/>
    <w:rsid w:val="009D7A85"/>
    <w:rsid w:val="009E1113"/>
    <w:rsid w:val="009E6EBC"/>
    <w:rsid w:val="00A13568"/>
    <w:rsid w:val="00A222A5"/>
    <w:rsid w:val="00A22E8F"/>
    <w:rsid w:val="00A6001B"/>
    <w:rsid w:val="00A62177"/>
    <w:rsid w:val="00A912FF"/>
    <w:rsid w:val="00AA7BD2"/>
    <w:rsid w:val="00AC4F6E"/>
    <w:rsid w:val="00AE049B"/>
    <w:rsid w:val="00AE3864"/>
    <w:rsid w:val="00AF390F"/>
    <w:rsid w:val="00B00D2A"/>
    <w:rsid w:val="00B05482"/>
    <w:rsid w:val="00B33708"/>
    <w:rsid w:val="00B35ECC"/>
    <w:rsid w:val="00B374BB"/>
    <w:rsid w:val="00B73AD8"/>
    <w:rsid w:val="00B96F88"/>
    <w:rsid w:val="00BE6E96"/>
    <w:rsid w:val="00C01494"/>
    <w:rsid w:val="00C17C89"/>
    <w:rsid w:val="00C241EF"/>
    <w:rsid w:val="00C32E2C"/>
    <w:rsid w:val="00C34033"/>
    <w:rsid w:val="00C471DC"/>
    <w:rsid w:val="00C66E07"/>
    <w:rsid w:val="00C72107"/>
    <w:rsid w:val="00CC259A"/>
    <w:rsid w:val="00CC302E"/>
    <w:rsid w:val="00CD26B8"/>
    <w:rsid w:val="00CD7DA3"/>
    <w:rsid w:val="00CF4423"/>
    <w:rsid w:val="00D00B3B"/>
    <w:rsid w:val="00D01279"/>
    <w:rsid w:val="00D04847"/>
    <w:rsid w:val="00D278BF"/>
    <w:rsid w:val="00D35526"/>
    <w:rsid w:val="00D52DE5"/>
    <w:rsid w:val="00D53C5A"/>
    <w:rsid w:val="00D54675"/>
    <w:rsid w:val="00D57AD5"/>
    <w:rsid w:val="00D61D20"/>
    <w:rsid w:val="00D6264A"/>
    <w:rsid w:val="00D707F1"/>
    <w:rsid w:val="00D70DCE"/>
    <w:rsid w:val="00D8719E"/>
    <w:rsid w:val="00DA7A2C"/>
    <w:rsid w:val="00DB14D1"/>
    <w:rsid w:val="00DC6AA3"/>
    <w:rsid w:val="00DF45DC"/>
    <w:rsid w:val="00DF6606"/>
    <w:rsid w:val="00DF6BCB"/>
    <w:rsid w:val="00DF6F8D"/>
    <w:rsid w:val="00E22465"/>
    <w:rsid w:val="00E51387"/>
    <w:rsid w:val="00E51780"/>
    <w:rsid w:val="00E52EF8"/>
    <w:rsid w:val="00E70492"/>
    <w:rsid w:val="00E80A70"/>
    <w:rsid w:val="00E83A10"/>
    <w:rsid w:val="00E94974"/>
    <w:rsid w:val="00EB2B5B"/>
    <w:rsid w:val="00EC3FAA"/>
    <w:rsid w:val="00ED2A6E"/>
    <w:rsid w:val="00ED7AA6"/>
    <w:rsid w:val="00EE26B9"/>
    <w:rsid w:val="00EF22DF"/>
    <w:rsid w:val="00F0383F"/>
    <w:rsid w:val="00F240B5"/>
    <w:rsid w:val="00F35332"/>
    <w:rsid w:val="00F37427"/>
    <w:rsid w:val="00F410CD"/>
    <w:rsid w:val="00F54821"/>
    <w:rsid w:val="00F60384"/>
    <w:rsid w:val="00F65769"/>
    <w:rsid w:val="00F66647"/>
    <w:rsid w:val="00F77BA6"/>
    <w:rsid w:val="00F81C1F"/>
    <w:rsid w:val="00F81E3B"/>
    <w:rsid w:val="00F978B4"/>
    <w:rsid w:val="00FA2D26"/>
    <w:rsid w:val="00FB5FEA"/>
    <w:rsid w:val="00FC217D"/>
    <w:rsid w:val="00FC445A"/>
    <w:rsid w:val="00FD0F73"/>
    <w:rsid w:val="00FF2E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148980"/>
  <w15:chartTrackingRefBased/>
  <w15:docId w15:val="{5772C46B-541F-4EF2-AFDD-D6BB7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38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038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7D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Rguidance">
    <w:name w:val="CSR guidance"/>
    <w:basedOn w:val="Normal"/>
    <w:link w:val="CSRguidanceChar"/>
    <w:uiPriority w:val="7"/>
    <w:qFormat/>
    <w:rsid w:val="00FB5FEA"/>
    <w:pPr>
      <w:spacing w:after="120" w:line="240" w:lineRule="auto"/>
    </w:pPr>
    <w:rPr>
      <w:rFonts w:ascii="Times New Roman" w:hAnsi="Times New Roman" w:cs="Times New Roman"/>
      <w:i/>
      <w:color w:val="0000FF"/>
      <w:sz w:val="24"/>
      <w:szCs w:val="20"/>
      <w:lang w:val="en-GB"/>
    </w:rPr>
  </w:style>
  <w:style w:type="character" w:customStyle="1" w:styleId="CSRguidanceChar">
    <w:name w:val="CSR guidance Char"/>
    <w:basedOn w:val="DefaultParagraphFont"/>
    <w:link w:val="CSRguidance"/>
    <w:uiPriority w:val="7"/>
    <w:rsid w:val="00FB5FEA"/>
    <w:rPr>
      <w:rFonts w:ascii="Times New Roman" w:hAnsi="Times New Roman" w:cs="Times New Roman"/>
      <w:i/>
      <w:color w:val="0000FF"/>
      <w:sz w:val="24"/>
      <w:szCs w:val="20"/>
      <w:lang w:val="en-GB"/>
    </w:rPr>
  </w:style>
  <w:style w:type="table" w:styleId="TableGrid">
    <w:name w:val="Table Grid"/>
    <w:basedOn w:val="TableNormal"/>
    <w:uiPriority w:val="39"/>
    <w:rsid w:val="00FB5FEA"/>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Rnormal">
    <w:name w:val="CSR normal"/>
    <w:basedOn w:val="Normal"/>
    <w:link w:val="CSRnormalChar"/>
    <w:qFormat/>
    <w:rsid w:val="00DF6BCB"/>
    <w:pPr>
      <w:spacing w:after="120" w:line="240" w:lineRule="auto"/>
    </w:pPr>
    <w:rPr>
      <w:rFonts w:ascii="Times New Roman" w:hAnsi="Times New Roman" w:cs="Times New Roman"/>
      <w:sz w:val="24"/>
      <w:szCs w:val="20"/>
      <w:lang w:val="en-GB"/>
    </w:rPr>
  </w:style>
  <w:style w:type="character" w:customStyle="1" w:styleId="CSRnormalChar">
    <w:name w:val="CSR normal Char"/>
    <w:basedOn w:val="DefaultParagraphFont"/>
    <w:link w:val="CSRnormal"/>
    <w:rsid w:val="00DF6BCB"/>
    <w:rPr>
      <w:rFonts w:ascii="Times New Roman" w:hAnsi="Times New Roman" w:cs="Times New Roman"/>
      <w:sz w:val="24"/>
      <w:szCs w:val="20"/>
      <w:lang w:val="en-GB"/>
    </w:rPr>
  </w:style>
  <w:style w:type="character" w:styleId="CommentReference">
    <w:name w:val="annotation reference"/>
    <w:basedOn w:val="DefaultParagraphFont"/>
    <w:uiPriority w:val="99"/>
    <w:semiHidden/>
    <w:unhideWhenUsed/>
    <w:rsid w:val="008D4817"/>
    <w:rPr>
      <w:sz w:val="16"/>
      <w:szCs w:val="16"/>
    </w:rPr>
  </w:style>
  <w:style w:type="paragraph" w:styleId="CommentText">
    <w:name w:val="annotation text"/>
    <w:basedOn w:val="Normal"/>
    <w:link w:val="CommentTextChar"/>
    <w:uiPriority w:val="99"/>
    <w:unhideWhenUsed/>
    <w:rsid w:val="008D4817"/>
    <w:pPr>
      <w:spacing w:line="240" w:lineRule="auto"/>
    </w:pPr>
    <w:rPr>
      <w:sz w:val="20"/>
      <w:szCs w:val="20"/>
    </w:rPr>
  </w:style>
  <w:style w:type="character" w:customStyle="1" w:styleId="CommentTextChar">
    <w:name w:val="Comment Text Char"/>
    <w:basedOn w:val="DefaultParagraphFont"/>
    <w:link w:val="CommentText"/>
    <w:uiPriority w:val="99"/>
    <w:rsid w:val="008D4817"/>
    <w:rPr>
      <w:sz w:val="20"/>
      <w:szCs w:val="20"/>
    </w:rPr>
  </w:style>
  <w:style w:type="paragraph" w:styleId="CommentSubject">
    <w:name w:val="annotation subject"/>
    <w:basedOn w:val="CommentText"/>
    <w:next w:val="CommentText"/>
    <w:link w:val="CommentSubjectChar"/>
    <w:uiPriority w:val="99"/>
    <w:semiHidden/>
    <w:unhideWhenUsed/>
    <w:rsid w:val="008D4817"/>
    <w:rPr>
      <w:b/>
      <w:bCs/>
    </w:rPr>
  </w:style>
  <w:style w:type="character" w:customStyle="1" w:styleId="CommentSubjectChar">
    <w:name w:val="Comment Subject Char"/>
    <w:basedOn w:val="CommentTextChar"/>
    <w:link w:val="CommentSubject"/>
    <w:uiPriority w:val="99"/>
    <w:semiHidden/>
    <w:rsid w:val="008D4817"/>
    <w:rPr>
      <w:b/>
      <w:bCs/>
      <w:sz w:val="20"/>
      <w:szCs w:val="20"/>
    </w:rPr>
  </w:style>
  <w:style w:type="paragraph" w:styleId="BalloonText">
    <w:name w:val="Balloon Text"/>
    <w:basedOn w:val="Normal"/>
    <w:link w:val="BalloonTextChar"/>
    <w:uiPriority w:val="99"/>
    <w:semiHidden/>
    <w:unhideWhenUsed/>
    <w:rsid w:val="008D4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817"/>
    <w:rPr>
      <w:rFonts w:ascii="Segoe UI" w:hAnsi="Segoe UI" w:cs="Segoe UI"/>
      <w:sz w:val="18"/>
      <w:szCs w:val="18"/>
    </w:rPr>
  </w:style>
  <w:style w:type="character" w:customStyle="1" w:styleId="Heading1Char">
    <w:name w:val="Heading 1 Char"/>
    <w:basedOn w:val="DefaultParagraphFont"/>
    <w:link w:val="Heading1"/>
    <w:uiPriority w:val="9"/>
    <w:rsid w:val="00F0383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0383F"/>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F0383F"/>
    <w:pPr>
      <w:spacing w:line="259" w:lineRule="auto"/>
      <w:outlineLvl w:val="9"/>
    </w:pPr>
    <w:rPr>
      <w:lang w:val="en-US"/>
    </w:rPr>
  </w:style>
  <w:style w:type="paragraph" w:styleId="TOC1">
    <w:name w:val="toc 1"/>
    <w:basedOn w:val="Normal"/>
    <w:next w:val="Normal"/>
    <w:autoRedefine/>
    <w:uiPriority w:val="39"/>
    <w:unhideWhenUsed/>
    <w:rsid w:val="00F0383F"/>
    <w:pPr>
      <w:spacing w:after="100"/>
    </w:pPr>
  </w:style>
  <w:style w:type="paragraph" w:styleId="TOC2">
    <w:name w:val="toc 2"/>
    <w:basedOn w:val="Normal"/>
    <w:next w:val="Normal"/>
    <w:autoRedefine/>
    <w:uiPriority w:val="39"/>
    <w:unhideWhenUsed/>
    <w:rsid w:val="00F0383F"/>
    <w:pPr>
      <w:spacing w:after="100"/>
      <w:ind w:left="220"/>
    </w:pPr>
  </w:style>
  <w:style w:type="character" w:styleId="Hyperlink">
    <w:name w:val="Hyperlink"/>
    <w:basedOn w:val="DefaultParagraphFont"/>
    <w:uiPriority w:val="99"/>
    <w:unhideWhenUsed/>
    <w:rsid w:val="00F0383F"/>
    <w:rPr>
      <w:color w:val="0000FF" w:themeColor="hyperlink"/>
      <w:u w:val="single"/>
    </w:rPr>
  </w:style>
  <w:style w:type="paragraph" w:styleId="ListParagraph">
    <w:name w:val="List Paragraph"/>
    <w:basedOn w:val="Normal"/>
    <w:uiPriority w:val="34"/>
    <w:qFormat/>
    <w:rsid w:val="00FA2D26"/>
    <w:pPr>
      <w:ind w:left="720"/>
      <w:contextualSpacing/>
    </w:pPr>
  </w:style>
  <w:style w:type="character" w:customStyle="1" w:styleId="Heading3Char">
    <w:name w:val="Heading 3 Char"/>
    <w:basedOn w:val="DefaultParagraphFont"/>
    <w:link w:val="Heading3"/>
    <w:uiPriority w:val="9"/>
    <w:rsid w:val="00CD7DA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CD7DA3"/>
    <w:pPr>
      <w:spacing w:after="100"/>
      <w:ind w:left="440"/>
    </w:pPr>
  </w:style>
  <w:style w:type="paragraph" w:styleId="Header">
    <w:name w:val="header"/>
    <w:basedOn w:val="Normal"/>
    <w:link w:val="HeaderChar"/>
    <w:uiPriority w:val="99"/>
    <w:unhideWhenUsed/>
    <w:rsid w:val="004D2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1C4"/>
  </w:style>
  <w:style w:type="paragraph" w:styleId="Footer">
    <w:name w:val="footer"/>
    <w:basedOn w:val="Normal"/>
    <w:link w:val="FooterChar"/>
    <w:uiPriority w:val="99"/>
    <w:unhideWhenUsed/>
    <w:rsid w:val="004D2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1C4"/>
  </w:style>
  <w:style w:type="paragraph" w:styleId="Revision">
    <w:name w:val="Revision"/>
    <w:hidden/>
    <w:uiPriority w:val="99"/>
    <w:semiHidden/>
    <w:rsid w:val="00221FA7"/>
    <w:pPr>
      <w:spacing w:after="0" w:line="240" w:lineRule="auto"/>
    </w:pPr>
  </w:style>
  <w:style w:type="paragraph" w:styleId="Caption">
    <w:name w:val="caption"/>
    <w:basedOn w:val="Normal"/>
    <w:next w:val="Normal"/>
    <w:uiPriority w:val="35"/>
    <w:unhideWhenUsed/>
    <w:qFormat/>
    <w:rsid w:val="006322EB"/>
    <w:pPr>
      <w:spacing w:line="240" w:lineRule="auto"/>
      <w:ind w:firstLine="357"/>
      <w:jc w:val="both"/>
    </w:pPr>
    <w:rPr>
      <w:rFonts w:ascii="Times New Roman" w:eastAsiaTheme="minorEastAsia" w:hAnsi="Times New Roman"/>
      <w:i/>
      <w:iCs/>
      <w:color w:val="1F497D" w:themeColor="text2"/>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C3A97-8B57-4419-858A-4D9EA0EA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11</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QIMR Berghofer</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Potter</dc:creator>
  <cp:keywords/>
  <dc:description/>
  <cp:lastModifiedBy>Adam Potter</cp:lastModifiedBy>
  <cp:revision>40</cp:revision>
  <dcterms:created xsi:type="dcterms:W3CDTF">2022-03-01T00:50:00Z</dcterms:created>
  <dcterms:modified xsi:type="dcterms:W3CDTF">2022-03-16T01:03:00Z</dcterms:modified>
</cp:coreProperties>
</file>