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589A" w14:textId="751FA8F2" w:rsidR="0087626D" w:rsidRPr="00F10A17" w:rsidRDefault="0087626D" w:rsidP="0034420D">
      <w:pPr>
        <w:spacing w:before="100" w:beforeAutospacing="1" w:after="100" w:afterAutospacing="1" w:line="360" w:lineRule="auto"/>
        <w:jc w:val="center"/>
        <w:rPr>
          <w:b/>
          <w:bCs/>
          <w:sz w:val="28"/>
          <w:szCs w:val="20"/>
        </w:rPr>
      </w:pPr>
      <w:r w:rsidRPr="00F10A17">
        <w:rPr>
          <w:b/>
          <w:bCs/>
          <w:sz w:val="28"/>
          <w:szCs w:val="20"/>
        </w:rPr>
        <w:t>Supplementary material</w:t>
      </w:r>
    </w:p>
    <w:p w14:paraId="735E01EB" w14:textId="5981597B" w:rsidR="00A265C9" w:rsidRPr="00F10A17" w:rsidRDefault="00A265C9" w:rsidP="00A265C9">
      <w:pPr>
        <w:pStyle w:val="Sinespaciado"/>
        <w:jc w:val="center"/>
        <w:rPr>
          <w:rFonts w:eastAsiaTheme="minorHAnsi"/>
          <w:b/>
          <w:bCs/>
          <w:sz w:val="28"/>
          <w:szCs w:val="20"/>
        </w:rPr>
      </w:pPr>
      <w:r w:rsidRPr="00F10A17">
        <w:rPr>
          <w:rFonts w:eastAsiaTheme="minorHAnsi"/>
          <w:b/>
          <w:bCs/>
          <w:sz w:val="28"/>
          <w:szCs w:val="20"/>
        </w:rPr>
        <w:t>A Genome-Wide Association Study of Survival in Patients with Sepsis</w:t>
      </w:r>
    </w:p>
    <w:p w14:paraId="5252A0BE" w14:textId="77777777" w:rsidR="005B4F57" w:rsidRPr="00F10A17" w:rsidRDefault="005B4F57" w:rsidP="00A265C9">
      <w:pPr>
        <w:pStyle w:val="Sinespaciado"/>
        <w:jc w:val="center"/>
        <w:rPr>
          <w:rFonts w:eastAsiaTheme="minorHAnsi"/>
          <w:b/>
          <w:bCs/>
          <w:sz w:val="20"/>
          <w:szCs w:val="20"/>
        </w:rPr>
      </w:pPr>
    </w:p>
    <w:p w14:paraId="3839328D" w14:textId="4CC77D8C" w:rsidR="00513DA1" w:rsidRPr="00930A6C" w:rsidRDefault="00513DA1" w:rsidP="00930A6C">
      <w:pPr>
        <w:pStyle w:val="Sinespaciado"/>
        <w:jc w:val="center"/>
        <w:rPr>
          <w:sz w:val="20"/>
          <w:szCs w:val="20"/>
        </w:rPr>
      </w:pPr>
      <w:r w:rsidRPr="00F10A17">
        <w:rPr>
          <w:sz w:val="20"/>
          <w:szCs w:val="20"/>
        </w:rPr>
        <w:t>Tamara Hernandez-Beeftink</w:t>
      </w:r>
      <w:r w:rsidRPr="00F10A17">
        <w:rPr>
          <w:sz w:val="20"/>
          <w:szCs w:val="20"/>
          <w:vertAlign w:val="superscript"/>
        </w:rPr>
        <w:t xml:space="preserve"> </w:t>
      </w:r>
      <w:r w:rsidRPr="00F10A17">
        <w:rPr>
          <w:sz w:val="20"/>
          <w:szCs w:val="20"/>
        </w:rPr>
        <w:t>(MSc), Beatriz Guillen-Guio</w:t>
      </w:r>
      <w:r w:rsidRPr="00F10A17">
        <w:rPr>
          <w:sz w:val="20"/>
          <w:szCs w:val="20"/>
          <w:vertAlign w:val="superscript"/>
        </w:rPr>
        <w:t xml:space="preserve"> </w:t>
      </w:r>
      <w:r w:rsidRPr="00F10A17">
        <w:rPr>
          <w:sz w:val="20"/>
          <w:szCs w:val="20"/>
        </w:rPr>
        <w:t>(PhD), Jose M. Lorenzo-Salazar (MSc), Almudena Corrales</w:t>
      </w:r>
      <w:r w:rsidRPr="00F10A17">
        <w:rPr>
          <w:sz w:val="20"/>
          <w:szCs w:val="20"/>
          <w:vertAlign w:val="superscript"/>
        </w:rPr>
        <w:t xml:space="preserve"> </w:t>
      </w:r>
      <w:r w:rsidRPr="00F10A17">
        <w:rPr>
          <w:sz w:val="20"/>
          <w:szCs w:val="20"/>
        </w:rPr>
        <w:t>(LT), Eva Suarez-Pajes (MSc), Rui Feng</w:t>
      </w:r>
      <w:r w:rsidRPr="00F10A17">
        <w:rPr>
          <w:sz w:val="20"/>
          <w:szCs w:val="20"/>
          <w:vertAlign w:val="superscript"/>
        </w:rPr>
        <w:t xml:space="preserve"> </w:t>
      </w:r>
      <w:r w:rsidRPr="00F10A17">
        <w:rPr>
          <w:sz w:val="20"/>
          <w:szCs w:val="20"/>
        </w:rPr>
        <w:t>(PhD), Luis A. Rubio-Rodríguez (MScEng), Megan L Paynton (PhD), Raquel Cruz-Guerrero (PhD), M. Isabel García-Laorden</w:t>
      </w:r>
      <w:r w:rsidRPr="00F10A17">
        <w:rPr>
          <w:sz w:val="20"/>
          <w:szCs w:val="20"/>
          <w:vertAlign w:val="superscript"/>
        </w:rPr>
        <w:t xml:space="preserve"> </w:t>
      </w:r>
      <w:r w:rsidRPr="00F10A17">
        <w:rPr>
          <w:sz w:val="20"/>
          <w:szCs w:val="20"/>
        </w:rPr>
        <w:t>(PhD), Miryam Prieto-González (MD), Aurelio Rodríguez-Pérez</w:t>
      </w:r>
      <w:r w:rsidRPr="00F10A17">
        <w:rPr>
          <w:sz w:val="20"/>
          <w:szCs w:val="20"/>
          <w:vertAlign w:val="superscript"/>
        </w:rPr>
        <w:t xml:space="preserve"> </w:t>
      </w:r>
      <w:r w:rsidRPr="00F10A17">
        <w:rPr>
          <w:sz w:val="20"/>
          <w:szCs w:val="20"/>
        </w:rPr>
        <w:t>(MD, PhD), Demetrio Carriedo (MD), Jesús Blanco</w:t>
      </w:r>
      <w:r w:rsidRPr="00F10A17">
        <w:rPr>
          <w:sz w:val="20"/>
          <w:szCs w:val="20"/>
          <w:vertAlign w:val="superscript"/>
        </w:rPr>
        <w:t xml:space="preserve"> </w:t>
      </w:r>
      <w:r w:rsidRPr="00F10A17">
        <w:rPr>
          <w:sz w:val="20"/>
          <w:szCs w:val="20"/>
        </w:rPr>
        <w:t>(MD), Alfonso Ambrós (MD), Elena González-Higueras (MD), Elena Espinosa (MD, PhD), Arturo Muriel (MD, PhD), Eduardo Tamayo (MD),</w:t>
      </w:r>
      <w:r w:rsidR="00930A6C" w:rsidRPr="00F10A17">
        <w:rPr>
          <w:sz w:val="20"/>
          <w:szCs w:val="20"/>
        </w:rPr>
        <w:t xml:space="preserve"> Mar</w:t>
      </w:r>
      <w:r w:rsidR="00F10A17" w:rsidRPr="00F10A17">
        <w:rPr>
          <w:sz w:val="20"/>
          <w:szCs w:val="20"/>
        </w:rPr>
        <w:t>ía</w:t>
      </w:r>
      <w:r w:rsidR="00930A6C" w:rsidRPr="00F10A17">
        <w:rPr>
          <w:sz w:val="20"/>
          <w:szCs w:val="20"/>
        </w:rPr>
        <w:t xml:space="preserve"> M Martin (MD), Leonardo Lorente (MD), </w:t>
      </w:r>
      <w:r w:rsidRPr="00F10A17">
        <w:rPr>
          <w:sz w:val="20"/>
          <w:szCs w:val="20"/>
        </w:rPr>
        <w:t>David Domínguez (MD, PhD), Abelar</w:t>
      </w:r>
      <w:r w:rsidR="00930A6C" w:rsidRPr="00F10A17">
        <w:rPr>
          <w:sz w:val="20"/>
          <w:szCs w:val="20"/>
        </w:rPr>
        <w:t xml:space="preserve">do García de Lorenzo (MD, PhD), </w:t>
      </w:r>
      <w:r w:rsidRPr="00F10A17">
        <w:rPr>
          <w:sz w:val="20"/>
          <w:szCs w:val="20"/>
        </w:rPr>
        <w:t xml:space="preserve">Heather M. Giannini (MD, MSc), John P. Reilly (MD, MSc), Tiffanie K. Jones (MD, MSc), José M. Añón (MD, PhD), </w:t>
      </w:r>
      <w:r w:rsidRPr="00F10A17">
        <w:rPr>
          <w:iCs/>
          <w:sz w:val="20"/>
          <w:szCs w:val="20"/>
        </w:rPr>
        <w:t>Marina Soro (MD), Ángel Carracedo</w:t>
      </w:r>
      <w:r w:rsidRPr="00F10A17">
        <w:rPr>
          <w:iCs/>
          <w:sz w:val="20"/>
          <w:szCs w:val="20"/>
          <w:vertAlign w:val="superscript"/>
        </w:rPr>
        <w:t xml:space="preserve"> </w:t>
      </w:r>
      <w:r w:rsidRPr="00F10A17">
        <w:rPr>
          <w:iCs/>
          <w:sz w:val="20"/>
          <w:szCs w:val="20"/>
        </w:rPr>
        <w:t>(MD, PhD), Louise V. Wain (PhD),</w:t>
      </w:r>
      <w:r w:rsidRPr="00F10A17">
        <w:rPr>
          <w:rFonts w:eastAsiaTheme="minorHAnsi"/>
          <w:iCs/>
          <w:sz w:val="20"/>
          <w:szCs w:val="20"/>
        </w:rPr>
        <w:t xml:space="preserve"> Nuala J Meyer (MD, </w:t>
      </w:r>
      <w:r w:rsidRPr="00F10A17">
        <w:rPr>
          <w:iCs/>
          <w:sz w:val="20"/>
          <w:szCs w:val="20"/>
        </w:rPr>
        <w:t>MSc</w:t>
      </w:r>
      <w:r w:rsidRPr="00F10A17">
        <w:rPr>
          <w:rFonts w:eastAsiaTheme="minorHAnsi"/>
          <w:iCs/>
          <w:sz w:val="20"/>
          <w:szCs w:val="20"/>
        </w:rPr>
        <w:t>),</w:t>
      </w:r>
      <w:r w:rsidRPr="00F10A17">
        <w:rPr>
          <w:iCs/>
          <w:sz w:val="20"/>
          <w:szCs w:val="20"/>
        </w:rPr>
        <w:t xml:space="preserve"> Jesús Villar (MD, PhD), Carlos Flores (PhD) and the Genetics of Sepsis (GEN-SEP) Network.</w:t>
      </w:r>
    </w:p>
    <w:p w14:paraId="352CBE97" w14:textId="6C97A893" w:rsidR="00433C90" w:rsidRPr="00930A6C" w:rsidRDefault="00433C90">
      <w:pPr>
        <w:rPr>
          <w:b/>
          <w:sz w:val="20"/>
          <w:szCs w:val="20"/>
        </w:rPr>
      </w:pPr>
    </w:p>
    <w:p w14:paraId="2A7CB7A2" w14:textId="77777777" w:rsidR="003D1838" w:rsidRPr="00930A6C" w:rsidRDefault="003D1838">
      <w:pPr>
        <w:rPr>
          <w:b/>
          <w:sz w:val="20"/>
          <w:szCs w:val="20"/>
        </w:rPr>
      </w:pPr>
    </w:p>
    <w:p w14:paraId="4C3FDAD3" w14:textId="7BA95708" w:rsidR="00F927ED" w:rsidRPr="008E6E0D" w:rsidRDefault="008C3F62" w:rsidP="00525E23">
      <w:pPr>
        <w:spacing w:after="360"/>
        <w:rPr>
          <w:b/>
          <w:szCs w:val="20"/>
        </w:rPr>
      </w:pPr>
      <w:r w:rsidRPr="008E6E0D">
        <w:rPr>
          <w:b/>
          <w:szCs w:val="20"/>
        </w:rPr>
        <w:t xml:space="preserve">Supplementary </w:t>
      </w:r>
      <w:r w:rsidR="00082C80" w:rsidRPr="008E6E0D">
        <w:rPr>
          <w:b/>
          <w:szCs w:val="20"/>
        </w:rPr>
        <w:t>methods</w:t>
      </w:r>
    </w:p>
    <w:p w14:paraId="0CD2230E" w14:textId="1F0A96FB" w:rsidR="00844E8A" w:rsidRPr="008E6E0D" w:rsidRDefault="00FB6A60" w:rsidP="00844E8A">
      <w:pPr>
        <w:spacing w:before="100" w:beforeAutospacing="1" w:after="100" w:afterAutospacing="1" w:line="360" w:lineRule="auto"/>
        <w:rPr>
          <w:b/>
          <w:szCs w:val="20"/>
          <w:u w:val="single"/>
        </w:rPr>
      </w:pPr>
      <w:r w:rsidRPr="008E6E0D">
        <w:rPr>
          <w:b/>
          <w:szCs w:val="20"/>
          <w:u w:val="single"/>
        </w:rPr>
        <w:t>GEN-SEP study p</w:t>
      </w:r>
      <w:r w:rsidR="00844E8A" w:rsidRPr="008E6E0D">
        <w:rPr>
          <w:b/>
          <w:szCs w:val="20"/>
          <w:u w:val="single"/>
        </w:rPr>
        <w:t>opulation</w:t>
      </w:r>
      <w:r w:rsidR="00970EFB" w:rsidRPr="008E6E0D">
        <w:rPr>
          <w:b/>
          <w:szCs w:val="20"/>
          <w:u w:val="single"/>
        </w:rPr>
        <w:t xml:space="preserve"> and samples</w:t>
      </w:r>
    </w:p>
    <w:p w14:paraId="4643F7E0" w14:textId="4E4527DC" w:rsidR="00FB6A60" w:rsidRPr="008E6E0D" w:rsidRDefault="00371C3F" w:rsidP="00E32C76">
      <w:pPr>
        <w:pBdr>
          <w:top w:val="nil"/>
          <w:left w:val="nil"/>
          <w:bottom w:val="nil"/>
          <w:right w:val="nil"/>
          <w:between w:val="nil"/>
        </w:pBdr>
        <w:shd w:val="clear" w:color="auto" w:fill="FFFFFF"/>
        <w:spacing w:before="100" w:beforeAutospacing="1" w:after="100" w:afterAutospacing="1" w:line="360" w:lineRule="auto"/>
        <w:jc w:val="both"/>
        <w:rPr>
          <w:sz w:val="20"/>
          <w:szCs w:val="20"/>
        </w:rPr>
      </w:pPr>
      <w:r>
        <w:rPr>
          <w:sz w:val="20"/>
          <w:szCs w:val="20"/>
        </w:rPr>
        <w:t>The GEN-SEP study</w:t>
      </w:r>
      <w:r w:rsidR="00EE24C1" w:rsidRPr="008E6E0D">
        <w:rPr>
          <w:sz w:val="20"/>
          <w:szCs w:val="20"/>
        </w:rPr>
        <w:fldChar w:fldCharType="begin" w:fldLock="1"/>
      </w:r>
      <w:r w:rsidR="002253CB">
        <w:rPr>
          <w:sz w:val="20"/>
          <w:szCs w:val="20"/>
        </w:rPr>
        <w:instrText>ADDIN CSL_CITATION {"citationItems":[{"id":"ITEM-1","itemData":{"DOI":"10.1016/S2213-2600(19)30368-6.Sepsis-associated","author":[{"dropping-particle":"","family":"Guillen-guio","given":"Beatriz","non-dropping-particle":"","parse-names":false,"suffix":""},{"dropping-particle":"","family":"Lorenzo-salazar","given":"Jose M","non-dropping-particle":"","parse-names":false,"suffix":""},{"dropping-particle":"","family":"Ma","given":"Shwu-fan","non-dropping-particle":"","parse-names":false,"suffix":""},{"dropping-particle":"","family":"Hernandez-beeftink","given":"Tamara","non-dropping-particle":"","parse-names":false,"suffix":""},{"dropping-particle":"","family":"Corrales","given":"Almudena","non-dropping-particle":"","parse-names":false,"suffix":""},{"dropping-particle":"","family":"Isabel","given":"M","non-dropping-particle":"","parse-names":false,"suffix":""},{"dropping-particle":"","family":"Jou","given":"Jonathan","non-dropping-particle":"","parse-names":false,"suffix":""},{"dropping-particle":"","family":"Espinosa","given":"Elena","non-dropping-particle":"","parse-names":false,"suffix":""},{"dropping-particle":"","family":"Muriel","given":"Arturo","non-dropping-particle":"","parse-names":false,"suffix":""},{"dropping-particle":"","family":"Domínguez","given":"David","non-dropping-particle":"","parse-names":false,"suffix":""},{"dropping-particle":"","family":"Lorente","given":"Leonardo","non-dropping-particle":"","parse-names":false,"suffix":""},{"dropping-particle":"","family":"Martín","given":"María M","non-dropping-particle":"","parse-names":false,"suffix":""},{"dropping-particle":"","family":"Rodríguez-","given":"Carlos","non-dropping-particle":"","parse-names":false,"suffix":""}],"container-title":"Lancet Respir Med.","id":"ITEM-1","issue":"3","issued":{"date-parts":[["2020"]]},"page":"258-266","title":"Sepsis-associated acute respiratory distress syndrome in individuals of European ancestry: a genome-wide association study","type":"article-journal","volume":"8"},"uris":["http://www.mendeley.com/documents/?uuid=99588a1c-c1ad-4fb6-9000-57f7a7f7e19c"]}],"mendeley":{"formattedCitation":"&lt;sup&gt;1&lt;/sup&gt;","plainTextFormattedCitation":"1","previouslyFormattedCitation":"&lt;sup&gt;1&lt;/sup&gt;"},"properties":{"noteIndex":0},"schema":"https://github.com/citation-style-language/schema/raw/master/csl-citation.json"}</w:instrText>
      </w:r>
      <w:r w:rsidR="00EE24C1" w:rsidRPr="008E6E0D">
        <w:rPr>
          <w:sz w:val="20"/>
          <w:szCs w:val="20"/>
        </w:rPr>
        <w:fldChar w:fldCharType="separate"/>
      </w:r>
      <w:r w:rsidRPr="00371C3F">
        <w:rPr>
          <w:noProof/>
          <w:sz w:val="20"/>
          <w:szCs w:val="20"/>
          <w:vertAlign w:val="superscript"/>
        </w:rPr>
        <w:t>1</w:t>
      </w:r>
      <w:r w:rsidR="00EE24C1" w:rsidRPr="008E6E0D">
        <w:rPr>
          <w:sz w:val="20"/>
          <w:szCs w:val="20"/>
        </w:rPr>
        <w:fldChar w:fldCharType="end"/>
      </w:r>
      <w:r w:rsidR="00EE24C1" w:rsidRPr="008E6E0D">
        <w:rPr>
          <w:sz w:val="20"/>
          <w:szCs w:val="20"/>
        </w:rPr>
        <w:t xml:space="preserve">, used for the first stage, is a national, multicenter, observational study conducted in a Spanish network of post-surgical units and ICUs recruiting unrelated adult (&gt;18 years old) patients of European ancestry. </w:t>
      </w:r>
      <w:r w:rsidR="00EE24C1" w:rsidRPr="008E6E0D">
        <w:rPr>
          <w:sz w:val="20"/>
          <w:szCs w:val="20"/>
          <w:lang w:val="es-ES"/>
        </w:rPr>
        <w:t xml:space="preserve">This </w:t>
      </w:r>
      <w:r w:rsidR="000D26A3" w:rsidRPr="008E6E0D">
        <w:rPr>
          <w:sz w:val="20"/>
          <w:szCs w:val="20"/>
          <w:lang w:val="es-ES"/>
        </w:rPr>
        <w:t>cohort</w:t>
      </w:r>
      <w:r w:rsidR="00FC086B" w:rsidRPr="008E6E0D">
        <w:rPr>
          <w:sz w:val="20"/>
          <w:szCs w:val="20"/>
          <w:lang w:val="es-ES"/>
        </w:rPr>
        <w:t xml:space="preserve"> </w:t>
      </w:r>
      <w:r w:rsidR="00354AE3" w:rsidRPr="008E6E0D">
        <w:rPr>
          <w:sz w:val="20"/>
          <w:szCs w:val="20"/>
          <w:lang w:val="es-ES"/>
        </w:rPr>
        <w:t>included patients</w:t>
      </w:r>
      <w:r w:rsidR="000D26A3" w:rsidRPr="008E6E0D">
        <w:rPr>
          <w:sz w:val="20"/>
          <w:szCs w:val="20"/>
          <w:lang w:val="es-ES"/>
        </w:rPr>
        <w:t xml:space="preserve"> admitted in the following hospitals from Spain</w:t>
      </w:r>
      <w:r w:rsidR="00FC086B" w:rsidRPr="008E6E0D">
        <w:rPr>
          <w:sz w:val="20"/>
          <w:szCs w:val="20"/>
          <w:lang w:val="es-ES"/>
        </w:rPr>
        <w:t>: Hospital Universitario de Canarias, Tenerife; Hospital Universitario NS de Candelaria, Tenerife; Hospital Universitario Río Hortega, Valladolid; Hospital Universitario Dr. Negrin, Gran Canaria; Hospital General de Ciudad Real, Ciudad Real; Complejo Hospitalario Universitario de León, León; Hospital Virgen de la Luz, Cuenca; Complejo Hospitalario Universitario de Santiago de Compostela, Santiago de Compostela; Fundació Althaia-Manresa, Barcelona; Hospital Clinic, Barcelona; Hospital Clínico de Valladolid; Hospita</w:t>
      </w:r>
      <w:r w:rsidR="00B66E15" w:rsidRPr="008E6E0D">
        <w:rPr>
          <w:sz w:val="20"/>
          <w:szCs w:val="20"/>
          <w:lang w:val="es-ES"/>
        </w:rPr>
        <w:t>l La Paz, Madrid; Hospital Fundación Jiménez Díaz</w:t>
      </w:r>
      <w:r w:rsidR="00FC086B" w:rsidRPr="008E6E0D">
        <w:rPr>
          <w:sz w:val="20"/>
          <w:szCs w:val="20"/>
          <w:lang w:val="es-ES"/>
        </w:rPr>
        <w:t>, Madrid; Hospital del Bierzo, Ponferrada; Hospital General Río Carrión, Palencia, and Hospit</w:t>
      </w:r>
      <w:r w:rsidR="00FB6A60" w:rsidRPr="008E6E0D">
        <w:rPr>
          <w:sz w:val="20"/>
          <w:szCs w:val="20"/>
          <w:lang w:val="es-ES"/>
        </w:rPr>
        <w:t xml:space="preserve">al Virgen de la Concha, Zamora. </w:t>
      </w:r>
      <w:r w:rsidR="00FC086B" w:rsidRPr="008E6E0D">
        <w:rPr>
          <w:sz w:val="20"/>
          <w:szCs w:val="20"/>
        </w:rPr>
        <w:t xml:space="preserve">All participants </w:t>
      </w:r>
      <w:r w:rsidR="0006280E" w:rsidRPr="008E6E0D">
        <w:rPr>
          <w:sz w:val="20"/>
          <w:szCs w:val="20"/>
        </w:rPr>
        <w:t xml:space="preserve">or their representatives </w:t>
      </w:r>
      <w:r w:rsidR="00FC086B" w:rsidRPr="008E6E0D">
        <w:rPr>
          <w:sz w:val="20"/>
          <w:szCs w:val="20"/>
        </w:rPr>
        <w:t xml:space="preserve">gave written informed consent, and the study was approved by the Ethics Committee for Drug Research from the Hospital Universitario de Canarias (Code: </w:t>
      </w:r>
      <w:r w:rsidR="00B66E15" w:rsidRPr="008E6E0D">
        <w:rPr>
          <w:sz w:val="20"/>
          <w:szCs w:val="20"/>
        </w:rPr>
        <w:t xml:space="preserve">CHUNSC_2018-16). </w:t>
      </w:r>
    </w:p>
    <w:p w14:paraId="7F162E76" w14:textId="5EE9A0D6" w:rsidR="00FB6A60" w:rsidRPr="008E6E0D" w:rsidRDefault="00FB6A60" w:rsidP="00E32C76">
      <w:pPr>
        <w:pBdr>
          <w:top w:val="nil"/>
          <w:left w:val="nil"/>
          <w:bottom w:val="nil"/>
          <w:right w:val="nil"/>
          <w:between w:val="nil"/>
        </w:pBdr>
        <w:shd w:val="clear" w:color="auto" w:fill="FFFFFF"/>
        <w:spacing w:before="100" w:beforeAutospacing="1" w:after="100" w:afterAutospacing="1" w:line="360" w:lineRule="auto"/>
        <w:jc w:val="both"/>
        <w:rPr>
          <w:sz w:val="20"/>
          <w:szCs w:val="20"/>
        </w:rPr>
      </w:pPr>
      <w:r w:rsidRPr="008E6E0D">
        <w:rPr>
          <w:sz w:val="20"/>
          <w:szCs w:val="20"/>
        </w:rPr>
        <w:t>Illustra™ blood genomicPrep Mini Spin Kit</w:t>
      </w:r>
      <w:r w:rsidR="00886C01">
        <w:rPr>
          <w:sz w:val="20"/>
          <w:szCs w:val="20"/>
        </w:rPr>
        <w:t xml:space="preserve"> </w:t>
      </w:r>
      <w:r w:rsidRPr="008E6E0D">
        <w:rPr>
          <w:sz w:val="20"/>
          <w:szCs w:val="20"/>
        </w:rPr>
        <w:t>was used to purify DNA from peripheral blood for GEN-SEP samples and the concentration was measured on the Qubit 3.0 fluorometer with the dsDNA HS Assay kit (Thermo Fisher Scientific).</w:t>
      </w:r>
    </w:p>
    <w:p w14:paraId="3523A01D" w14:textId="22C521C1" w:rsidR="00FB6A60" w:rsidRPr="008E6E0D" w:rsidRDefault="00FB6A60" w:rsidP="00FB6A60">
      <w:pPr>
        <w:spacing w:before="100" w:beforeAutospacing="1" w:after="100" w:afterAutospacing="1" w:line="360" w:lineRule="auto"/>
        <w:jc w:val="both"/>
        <w:rPr>
          <w:color w:val="000000"/>
          <w:szCs w:val="20"/>
        </w:rPr>
      </w:pPr>
      <w:r w:rsidRPr="008E6E0D">
        <w:rPr>
          <w:b/>
          <w:szCs w:val="20"/>
          <w:u w:val="single"/>
        </w:rPr>
        <w:t>MESSI study population</w:t>
      </w:r>
    </w:p>
    <w:p w14:paraId="0A5B1301" w14:textId="2D821150" w:rsidR="00FB6A60" w:rsidRPr="008E6E0D" w:rsidRDefault="00FB6A60" w:rsidP="00D64B81">
      <w:pPr>
        <w:spacing w:before="100" w:beforeAutospacing="1" w:after="100" w:afterAutospacing="1" w:line="360" w:lineRule="auto"/>
        <w:jc w:val="both"/>
        <w:rPr>
          <w:sz w:val="20"/>
          <w:szCs w:val="20"/>
        </w:rPr>
      </w:pPr>
      <w:r w:rsidRPr="008E6E0D">
        <w:rPr>
          <w:color w:val="000000"/>
          <w:sz w:val="20"/>
          <w:szCs w:val="20"/>
        </w:rPr>
        <w:t>Subjects from MESSI study were eligible if they were admitted to the medical ICU with infection-related organ dysfunction consistent with severe sepsis by Sepsis-2 criteria to maintain con</w:t>
      </w:r>
      <w:r w:rsidR="00371C3F">
        <w:rPr>
          <w:color w:val="000000"/>
          <w:sz w:val="20"/>
          <w:szCs w:val="20"/>
        </w:rPr>
        <w:t>sistency with cohort initiation</w:t>
      </w:r>
      <w:r w:rsidRPr="008E6E0D">
        <w:rPr>
          <w:color w:val="000000"/>
          <w:sz w:val="20"/>
          <w:szCs w:val="20"/>
        </w:rPr>
        <w:fldChar w:fldCharType="begin" w:fldLock="1"/>
      </w:r>
      <w:r w:rsidR="002253CB">
        <w:rPr>
          <w:color w:val="000000"/>
          <w:sz w:val="20"/>
          <w:szCs w:val="20"/>
        </w:rPr>
        <w:instrText>ADDIN CSL_CITATION {"citationItems":[{"id":"ITEM-1","itemData":{"DOI":"10.1007/s00134-018-5328-0","ISSN":"14321238","PMID":"30343317","abstract":"Purpose: A causal biomarker for acute respiratory distress syndrome (ARDS) could fuel precision therapy options. Plasma angiopoietin-2 (ANG2), a vascular permeability marker, is a strong candidate on the basis of experimental and observational evidence. We used genetic causal inference methods—Mendelian randomization and mediation—to infer potential effects of plasma ANG2. Methods: We genotyped 703 septic subjects, measured ICU admission plasma ANG2, and performed a quantitative trait loci (QTL) analysis to determine variants in the ANGPT2 gene associated with plasma ANG2 (p &lt; 0.005). We then used linear regression and post-estimation analysis to genetically predict plasma ANG2 and tested genetically predicted ANG2 for ARDS association using logistic regression. We estimated the proportion of the genetic effect explained by plasma ANG2 using mediation analysis. Results: Plasma ANG2 was strongly associated with ARDS (OR 1.59 (95% CI 1.35, 1.88) per log). Five ANGPT2 variants were associated with ANG2 in European ancestry subjects (n = 404). Rs2442608C, the most extreme cis QTL (coefficient 0.22, 95% CI 0.09–0.36, p = 0.001), was associated with higher ARDS risk: adjusted OR 1.38 (95% CI 1.01, 1.87), p = 0.042. No significant QTL were identified in African ancestry subjects. Genetically predicted plasma ANG2 was associated with ARDS risk: adjusted OR 2.25 (95% CI 1.06–4.78), p = 0.035. Plasma ANG2 mediated 34% of the rs2442608C-related ARDS risk. Conclusions: In septic European ancestry subjects, the strongest ANG2-determining ANGPT2 genetic variant is associated with higher ARDS risk. Plasma ANG2 may be a causal factor in ARDS development. Strategies to reduce plasma ANG2 warrant testing to prevent or treat sepsis-associated ARDS.","author":[{"dropping-particle":"","family":"Reilly","given":"John P.","non-dropping-particle":"","parse-names":false,"suffix":""},{"dropping-particle":"","family":"Wang","given":"Fan","non-dropping-particle":"","parse-names":false,"suffix":""},{"dropping-particle":"","family":"Jones","given":"Tiffanie K.","non-dropping-particle":"","parse-names":false,"suffix":""},{"dropping-particle":"","family":"Palakshappa","given":"Jessica A.","non-dropping-particle":"","parse-names":false,"suffix":""},{"dropping-particle":"","family":"Anderson","given":"Brian J.","non-dropping-particle":"","parse-names":false,"suffix":""},{"dropping-particle":"","family":"Shashaty","given":"Michael G.S.","non-dropping-particle":"","parse-names":false,"suffix":""},{"dropping-particle":"","family":"Dunn","given":"Thomas G.","non-dropping-particle":"","parse-names":false,"suffix":""},{"dropping-particle":"","family":"Johansson","given":"Erik D.","non-dropping-particle":"","parse-names":false,"suffix":""},{"dropping-particle":"","family":"Riley","given":"Thomas R.","non-dropping-particle":"","parse-names":false,"suffix":""},{"dropping-particle":"","family":"Lim","given":"Brian","non-dropping-particle":"","parse-names":false,"suffix":""},{"dropping-particle":"","family":"Abbott","given":"Jason","non-dropping-particle":"","parse-names":false,"suffix":""},{"dropping-particle":"","family":"Ittner","given":"Caroline A.G.","non-dropping-particle":"","parse-names":false,"suffix":""},{"dropping-particle":"","family":"Cantu","given":"Edward","non-dropping-particle":"","parse-names":false,"suffix":""},{"dropping-particle":"","family":"Lin","given":"Xihong","non-dropping-particle":"","parse-names":false,"suffix":""},{"dropping-particle":"","family":"Mikacenic","given":"Carmen","non-dropping-particle":"","parse-names":false,"suffix":""},{"dropping-particle":"","family":"Wurfel","given":"Mark M.","non-dropping-particle":"","parse-names":false,"suffix":""},{"dropping-particle":"","family":"Christiani","given":"David C.","non-dropping-particle":"","parse-names":false,"suffix":""},{"dropping-particle":"","family":"Calfee","given":"Carolyn S.","non-dropping-particle":"","parse-names":false,"suffix":""},{"dropping-particle":"","family":"Matthay","given":"Michael A.","non-dropping-particle":"","parse-names":false,"suffix":""},{"dropping-particle":"","family":"Christie","given":"Jason D.","non-dropping-particle":"","parse-names":false,"suffix":""},{"dropping-particle":"","family":"Feng","given":"Rui","non-dropping-particle":"","parse-names":false,"suffix":""},{"dropping-particle":"","family":"Meyer","given":"Nuala J.","non-dropping-particle":"","parse-names":false,"suffix":""}],"container-title":"Intensive Care Medicine","id":"ITEM-1","issue":"11","issued":{"date-parts":[["2018"]]},"page":"1849-1858","publisher":"Springer Berlin Heidelberg","title":"Plasma angiopoietin-2 as a potential causal marker in sepsis-associated ARDS development: evidence from Mendelian randomization and mediation analysis","type":"article-journal","volume":"44"},"uris":["http://www.mendeley.com/documents/?uuid=8d279434-abb2-49db-894d-5f34956623fd"]}],"mendeley":{"formattedCitation":"&lt;sup&gt;2&lt;/sup&gt;","plainTextFormattedCitation":"2","previouslyFormattedCitation":"&lt;sup&gt;2&lt;/sup&gt;"},"properties":{"noteIndex":0},"schema":"https://github.com/citation-style-language/schema/raw/master/csl-citation.json"}</w:instrText>
      </w:r>
      <w:r w:rsidRPr="008E6E0D">
        <w:rPr>
          <w:color w:val="000000"/>
          <w:sz w:val="20"/>
          <w:szCs w:val="20"/>
        </w:rPr>
        <w:fldChar w:fldCharType="separate"/>
      </w:r>
      <w:r w:rsidR="00371C3F" w:rsidRPr="00371C3F">
        <w:rPr>
          <w:noProof/>
          <w:color w:val="000000"/>
          <w:sz w:val="20"/>
          <w:szCs w:val="20"/>
          <w:vertAlign w:val="superscript"/>
        </w:rPr>
        <w:t>2</w:t>
      </w:r>
      <w:r w:rsidRPr="008E6E0D">
        <w:rPr>
          <w:color w:val="000000"/>
          <w:sz w:val="20"/>
          <w:szCs w:val="20"/>
        </w:rPr>
        <w:fldChar w:fldCharType="end"/>
      </w:r>
      <w:r w:rsidRPr="008E6E0D">
        <w:rPr>
          <w:color w:val="000000"/>
          <w:sz w:val="20"/>
          <w:szCs w:val="20"/>
        </w:rPr>
        <w:t xml:space="preserve">. More than 95% of subjects met Sepsis-3 criteria also, but organ dysfunction beyond that captured by the sequential organ failure score was permitted. Subjects were excluded for chronic critical illness based on residence in a </w:t>
      </w:r>
      <w:r w:rsidR="00695C23" w:rsidRPr="008E6E0D">
        <w:rPr>
          <w:color w:val="000000"/>
          <w:sz w:val="20"/>
          <w:szCs w:val="20"/>
        </w:rPr>
        <w:t>long-term</w:t>
      </w:r>
      <w:r w:rsidRPr="008E6E0D">
        <w:rPr>
          <w:color w:val="000000"/>
          <w:sz w:val="20"/>
          <w:szCs w:val="20"/>
        </w:rPr>
        <w:t xml:space="preserve"> acute care hospital, for prior enrollment to the cohort, or if they desired only palliative measures on ICU admission.  </w:t>
      </w:r>
    </w:p>
    <w:p w14:paraId="3BFDFA05" w14:textId="6A207BC0" w:rsidR="00E32C76" w:rsidRPr="008E6E0D" w:rsidRDefault="00EE24C1" w:rsidP="00E32C76">
      <w:pPr>
        <w:pBdr>
          <w:top w:val="nil"/>
          <w:left w:val="nil"/>
          <w:bottom w:val="nil"/>
          <w:right w:val="nil"/>
          <w:between w:val="nil"/>
        </w:pBdr>
        <w:shd w:val="clear" w:color="auto" w:fill="FFFFFF"/>
        <w:spacing w:before="100" w:beforeAutospacing="1" w:after="100" w:afterAutospacing="1" w:line="360" w:lineRule="auto"/>
        <w:jc w:val="both"/>
        <w:rPr>
          <w:szCs w:val="20"/>
        </w:rPr>
      </w:pPr>
      <w:r w:rsidRPr="008E6E0D">
        <w:rPr>
          <w:b/>
          <w:szCs w:val="20"/>
          <w:u w:val="single"/>
        </w:rPr>
        <w:lastRenderedPageBreak/>
        <w:t>Genotyping and quality control</w:t>
      </w:r>
    </w:p>
    <w:p w14:paraId="46712AE1" w14:textId="05A5110E" w:rsidR="00D949E1" w:rsidRPr="008E6E0D" w:rsidRDefault="00D949E1" w:rsidP="00D949E1">
      <w:pPr>
        <w:spacing w:before="100" w:beforeAutospacing="1" w:after="100" w:afterAutospacing="1" w:line="360" w:lineRule="auto"/>
        <w:jc w:val="both"/>
        <w:rPr>
          <w:sz w:val="20"/>
          <w:szCs w:val="20"/>
        </w:rPr>
      </w:pPr>
      <w:r w:rsidRPr="008E6E0D">
        <w:rPr>
          <w:sz w:val="20"/>
          <w:szCs w:val="20"/>
        </w:rPr>
        <w:t xml:space="preserve">Genotyping in the GEN-SEP </w:t>
      </w:r>
      <w:r w:rsidR="006A6624" w:rsidRPr="008E6E0D">
        <w:rPr>
          <w:sz w:val="20"/>
          <w:szCs w:val="20"/>
        </w:rPr>
        <w:t xml:space="preserve">cohort </w:t>
      </w:r>
      <w:r w:rsidRPr="008E6E0D">
        <w:rPr>
          <w:sz w:val="20"/>
          <w:szCs w:val="20"/>
        </w:rPr>
        <w:t>was performed using the Axiom Genome-Wide Human CEU 1 array (Thermo Fisher Scientific) in the National Genotyping Center (CeGen), Universidad de Santiago de Compostela Node, Spain. The variant calling was achieved following the quality controls recommended by the manufacturer with AffyPipe v2.10.0</w:t>
      </w:r>
      <w:r w:rsidRPr="008E6E0D">
        <w:rPr>
          <w:sz w:val="20"/>
          <w:szCs w:val="20"/>
          <w:vertAlign w:val="superscript"/>
        </w:rPr>
        <w:fldChar w:fldCharType="begin" w:fldLock="1"/>
      </w:r>
      <w:r w:rsidR="002253CB">
        <w:rPr>
          <w:sz w:val="20"/>
          <w:szCs w:val="20"/>
          <w:vertAlign w:val="superscript"/>
        </w:rPr>
        <w:instrText>ADDIN CSL_CITATION {"citationItems":[{"id":"ITEM-1","itemData":{"DOI":"10.1093/bioinformatics/btu486","ISSN":"14602059","PMID":"25028724","abstract":"The Affymetrix Axiom genotyping standard and 'best practice' workflow for Linux and Mac users consists of three stand-alone executable programs (Affymetrix Power Tools) and an R package (SNPolisher). Currently, SNP analysis has to be performed in a step-by-step procedure. Manual intervention and/or programming skills by the user is required at each intermediate point, as Affymetrix Power Tools programs do not produce input files for the program next-in-line. An additional problem is that the output format of genotypes is not compatible with most analysis software currently available. AffyPipe solves all the above problems, by automating both standard and 'best practice' workflows for any species genotyped with the Axiom technology. AffyPipe does not require programming skills and performs all the steps necessary to obtain a final genotype file. Furthermore, users can directly edit SNP probes and export genotypes in PLINK format.","author":[{"dropping-particle":"","family":"Nicolazzi","given":"Ezequiel L.","non-dropping-particle":"","parse-names":false,"suffix":""},{"dropping-particle":"","family":"Iamartino","given":"Daniela","non-dropping-particle":"","parse-names":false,"suffix":""},{"dropping-particle":"","family":"Williams","given":"John L.","non-dropping-particle":"","parse-names":false,"suffix":""}],"container-title":"Bioinformatics","id":"ITEM-1","issue":"21","issued":{"date-parts":[["2014"]]},"page":"3118-3119","title":"AffyPipe: An open-source pipeline for Affymetrix Axiom genotyping workflow","type":"article-journal","volume":"30"},"uris":["http://www.mendeley.com/documents/?uuid=28075d5e-82e0-402d-af2b-371c0ee056f5"]}],"mendeley":{"formattedCitation":"&lt;sup&gt;3&lt;/sup&gt;","plainTextFormattedCitation":"3","previouslyFormattedCitation":"&lt;sup&gt;3&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3</w:t>
      </w:r>
      <w:r w:rsidRPr="008E6E0D">
        <w:rPr>
          <w:sz w:val="20"/>
          <w:szCs w:val="20"/>
          <w:vertAlign w:val="superscript"/>
        </w:rPr>
        <w:fldChar w:fldCharType="end"/>
      </w:r>
      <w:r w:rsidRPr="008E6E0D">
        <w:rPr>
          <w:sz w:val="20"/>
          <w:szCs w:val="20"/>
        </w:rPr>
        <w:t>. Subsequently, the genotyping quality controls were performed with PLINK v1.07</w:t>
      </w:r>
      <w:r w:rsidRPr="008E6E0D">
        <w:rPr>
          <w:sz w:val="20"/>
          <w:szCs w:val="20"/>
          <w:vertAlign w:val="superscript"/>
        </w:rPr>
        <w:fldChar w:fldCharType="begin" w:fldLock="1"/>
      </w:r>
      <w:r w:rsidR="002253CB">
        <w:rPr>
          <w:sz w:val="20"/>
          <w:szCs w:val="20"/>
          <w:vertAlign w:val="superscript"/>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b1348985-5451-4a1c-996d-c61902e6a138"]}],"mendeley":{"formattedCitation":"&lt;sup&gt;4&lt;/sup&gt;","plainTextFormattedCitation":"4","previouslyFormattedCitation":"&lt;sup&gt;4&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4</w:t>
      </w:r>
      <w:r w:rsidRPr="008E6E0D">
        <w:rPr>
          <w:sz w:val="20"/>
          <w:szCs w:val="20"/>
          <w:vertAlign w:val="superscript"/>
        </w:rPr>
        <w:fldChar w:fldCharType="end"/>
      </w:r>
      <w:r w:rsidRPr="008E6E0D">
        <w:rPr>
          <w:sz w:val="20"/>
          <w:szCs w:val="20"/>
        </w:rPr>
        <w:t xml:space="preserve"> and R v3.6.0 to filter out samples with genotype call rate (CR) &lt;95% and with evidence of relatedness with other individuals (PIHAT&gt;0.2) (</w:t>
      </w:r>
      <w:r w:rsidRPr="008E6E0D">
        <w:rPr>
          <w:b/>
          <w:sz w:val="20"/>
          <w:szCs w:val="20"/>
        </w:rPr>
        <w:t>Figure 1</w:t>
      </w:r>
      <w:r w:rsidRPr="008E6E0D">
        <w:rPr>
          <w:sz w:val="20"/>
          <w:szCs w:val="20"/>
        </w:rPr>
        <w:t>). Single nucleotide polymorphisms (SNPs) from mitochondrial DNA, chromosome Y, or with a genotyping CR &lt;95%, a minor allele frequency (MAF) &lt;0.01, or deviating from Hardy-Weinberg equilibrium (HWE) expectations (</w:t>
      </w:r>
      <w:r w:rsidRPr="008E6E0D">
        <w:rPr>
          <w:i/>
          <w:sz w:val="20"/>
          <w:szCs w:val="20"/>
        </w:rPr>
        <w:t>p</w:t>
      </w:r>
      <w:r w:rsidRPr="008E6E0D">
        <w:rPr>
          <w:sz w:val="20"/>
          <w:szCs w:val="20"/>
        </w:rPr>
        <w:t>&lt;1.0x10</w:t>
      </w:r>
      <w:r w:rsidRPr="008E6E0D">
        <w:rPr>
          <w:sz w:val="20"/>
          <w:szCs w:val="20"/>
          <w:vertAlign w:val="superscript"/>
        </w:rPr>
        <w:t>-6</w:t>
      </w:r>
      <w:r w:rsidRPr="008E6E0D">
        <w:rPr>
          <w:sz w:val="20"/>
          <w:szCs w:val="20"/>
        </w:rPr>
        <w:t>) were excluded from the study (</w:t>
      </w:r>
      <w:r w:rsidRPr="008E6E0D">
        <w:rPr>
          <w:b/>
          <w:sz w:val="20"/>
          <w:szCs w:val="20"/>
        </w:rPr>
        <w:t>Figure 1</w:t>
      </w:r>
      <w:r w:rsidRPr="008E6E0D">
        <w:rPr>
          <w:sz w:val="20"/>
          <w:szCs w:val="20"/>
        </w:rPr>
        <w:t>). PLINK v1.90</w:t>
      </w:r>
      <w:r w:rsidRPr="008E6E0D">
        <w:rPr>
          <w:sz w:val="20"/>
          <w:szCs w:val="20"/>
          <w:vertAlign w:val="superscript"/>
        </w:rPr>
        <w:fldChar w:fldCharType="begin" w:fldLock="1"/>
      </w:r>
      <w:r w:rsidR="002253CB">
        <w:rPr>
          <w:sz w:val="20"/>
          <w:szCs w:val="20"/>
          <w:vertAlign w:val="superscript"/>
        </w:rPr>
        <w:instrText>ADDIN CSL_CITATION {"citationItems":[{"id":"ITEM-1","itemData":{"DOI":"10.1186/s13742-015-0047-8","ISBN":"1374201500478","ISSN":"2047217X","PMID":"25722852","abstract":"Background: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O(√n)-time/constant-space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J.","non-dropping-particle":"","parse-names":false,"suffix":""}],"container-title":"GigaScience","id":"ITEM-1","issue":"1","issued":{"date-parts":[["2015"]]},"page":"1-16","title":"Second-generation PLINK: Rising to the challenge of larger and richer datasets","type":"article-journal","volume":"4"},"uris":["http://www.mendeley.com/documents/?uuid=f96cfe4c-056f-4187-8023-35935b7e8ab1"]}],"mendeley":{"formattedCitation":"&lt;sup&gt;5&lt;/sup&gt;","plainTextFormattedCitation":"5","previouslyFormattedCitation":"&lt;sup&gt;5&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5</w:t>
      </w:r>
      <w:r w:rsidRPr="008E6E0D">
        <w:rPr>
          <w:sz w:val="20"/>
          <w:szCs w:val="20"/>
          <w:vertAlign w:val="superscript"/>
        </w:rPr>
        <w:fldChar w:fldCharType="end"/>
      </w:r>
      <w:r w:rsidRPr="008E6E0D">
        <w:rPr>
          <w:sz w:val="20"/>
          <w:szCs w:val="20"/>
        </w:rPr>
        <w:t xml:space="preserve"> was used to calculate the main axis of genetic variation based on 115,611 (1</w:t>
      </w:r>
      <w:r w:rsidRPr="008D43CD">
        <w:rPr>
          <w:sz w:val="20"/>
          <w:szCs w:val="20"/>
          <w:vertAlign w:val="superscript"/>
        </w:rPr>
        <w:t>st</w:t>
      </w:r>
      <w:r w:rsidRPr="008E6E0D">
        <w:rPr>
          <w:sz w:val="20"/>
          <w:szCs w:val="20"/>
        </w:rPr>
        <w:t xml:space="preserve"> recruitment period) or 114,420 SNPs (2</w:t>
      </w:r>
      <w:r w:rsidRPr="008D43CD">
        <w:rPr>
          <w:sz w:val="20"/>
          <w:szCs w:val="20"/>
          <w:vertAlign w:val="superscript"/>
        </w:rPr>
        <w:t>nd</w:t>
      </w:r>
      <w:r w:rsidRPr="008E6E0D">
        <w:rPr>
          <w:sz w:val="20"/>
          <w:szCs w:val="20"/>
        </w:rPr>
        <w:t xml:space="preserve"> recruitment period) using principal component (PC) analyses (</w:t>
      </w:r>
      <w:r w:rsidRPr="008E6E0D">
        <w:rPr>
          <w:b/>
          <w:sz w:val="20"/>
          <w:szCs w:val="20"/>
        </w:rPr>
        <w:t>Figure S1</w:t>
      </w:r>
      <w:r w:rsidRPr="008E6E0D">
        <w:rPr>
          <w:sz w:val="20"/>
          <w:szCs w:val="20"/>
        </w:rPr>
        <w:t>).</w:t>
      </w:r>
    </w:p>
    <w:p w14:paraId="7E86D2D3" w14:textId="4C9E42F4" w:rsidR="00D949E1" w:rsidRPr="008E6E0D" w:rsidRDefault="00D949E1" w:rsidP="00D949E1">
      <w:pPr>
        <w:spacing w:before="100" w:beforeAutospacing="1" w:after="100" w:afterAutospacing="1" w:line="360" w:lineRule="auto"/>
        <w:jc w:val="both"/>
        <w:rPr>
          <w:sz w:val="20"/>
          <w:szCs w:val="20"/>
          <w:vertAlign w:val="superscript"/>
        </w:rPr>
      </w:pPr>
      <w:r w:rsidRPr="008E6E0D">
        <w:rPr>
          <w:sz w:val="20"/>
          <w:szCs w:val="20"/>
        </w:rPr>
        <w:t xml:space="preserve">Variant imputation </w:t>
      </w:r>
      <w:r w:rsidR="006A6624" w:rsidRPr="008E6E0D">
        <w:rPr>
          <w:sz w:val="20"/>
          <w:szCs w:val="20"/>
        </w:rPr>
        <w:t xml:space="preserve">in the GEN-SEP study </w:t>
      </w:r>
      <w:r w:rsidRPr="008E6E0D">
        <w:rPr>
          <w:sz w:val="20"/>
          <w:szCs w:val="20"/>
        </w:rPr>
        <w:t>was performed with the Michigan Imputation Server using the Haplotype Reference Consortium panel (v1.1 2016)</w:t>
      </w:r>
      <w:r w:rsidRPr="008E6E0D">
        <w:rPr>
          <w:sz w:val="20"/>
          <w:szCs w:val="20"/>
          <w:vertAlign w:val="superscript"/>
        </w:rPr>
        <w:fldChar w:fldCharType="begin" w:fldLock="1"/>
      </w:r>
      <w:r w:rsidR="002253CB">
        <w:rPr>
          <w:sz w:val="20"/>
          <w:szCs w:val="20"/>
          <w:vertAlign w:val="superscript"/>
        </w:rPr>
        <w:instrText>ADDIN CSL_CITATION {"citationItems":[{"id":"ITEM-1","itemData":{"DOI":"10.1038/ng.3679","ISSN":"15461718","PMID":"27694958","abstract":"Haplotype phasing is a fundamental problem in medical and population genetics. Phasing is generally performed via statistical phasing in a genotyped cohort, an approach that can yield high accuracy in very large cohorts but attains lower accuracy in smaller cohorts. Here we instead explore the paradigm of reference-based phasing. We introduce a new phasing algorithm, Eagle2, that attains high accuracy across a broad range of cohort sizes by efficiently leveraging information from large external reference panels (such as the Haplotype Reference Consortium; HRC) using a new data structure based on the positional Burrows-Wheeler transform. We demonstrate that Eagle2 attains a â 1/420× speedup and â 1/410% increase in accuracy compared to reference-based phasing using SHAPEIT2. On European-ancestry samples, Eagle2 with the HRC panel achieves &gt;2× the accuracy of 1000 Genomes-based phasing. Eagle2 is open source and freely available for HRC-based phasing via the Sanger Imputation Service and the Michigan Imputation Server.","author":[{"dropping-particle":"","family":"Loh","given":"Po Ru","non-dropping-particle":"","parse-names":false,"suffix":""},{"dropping-particle":"","family":"Danecek","given":"Petr","non-dropping-particle":"","parse-names":false,"suffix":""},{"dropping-particle":"","family":"Palamara","given":"Pier Francesco","non-dropping-particle":"","parse-names":false,"suffix":""},{"dropping-particle":"","family":"Fuchsberger","given":"Christian","non-dropping-particle":"","parse-names":false,"suffix":""},{"dropping-particle":"","family":"Reshef","given":"Yakir A.","non-dropping-particle":"","parse-names":false,"suffix":""},{"dropping-particle":"","family":"Finucane","given":"Hilary K.","non-dropping-particle":"","parse-names":false,"suffix":""},{"dropping-particle":"","family":"Schoenherr","given":"Sebastian","non-dropping-particle":"","parse-names":false,"suffix":""},{"dropping-particle":"","family":"Forer","given":"Lukas","non-dropping-particle":"","parse-names":false,"suffix":""},{"dropping-particle":"","family":"McCarthy","given":"Shane","non-dropping-particle":"","parse-names":false,"suffix":""},{"dropping-particle":"","family":"Abecasis","given":"Goncalo R.","non-dropping-particle":"","parse-names":false,"suffix":""},{"dropping-particle":"","family":"Durbin","given":"Richard","non-dropping-particle":"","parse-names":false,"suffix":""},{"dropping-particle":"","family":"Price","given":"Alkes L.","non-dropping-particle":"","parse-names":false,"suffix":""}],"container-title":"Nature Genetics","id":"ITEM-1","issue":"11","issued":{"date-parts":[["2016"]]},"page":"1443-1448","title":"Reference-based phasing using the Haplotype Reference Consortium panel","type":"article-journal","volume":"48"},"uris":["http://www.mendeley.com/documents/?uuid=902234af-e2e7-476c-9bf7-4f8240631e69"]}],"mendeley":{"formattedCitation":"&lt;sup&gt;6&lt;/sup&gt;","plainTextFormattedCitation":"6","previouslyFormattedCitation":"&lt;sup&gt;6&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6</w:t>
      </w:r>
      <w:r w:rsidRPr="008E6E0D">
        <w:rPr>
          <w:sz w:val="20"/>
          <w:szCs w:val="20"/>
          <w:vertAlign w:val="superscript"/>
        </w:rPr>
        <w:fldChar w:fldCharType="end"/>
      </w:r>
      <w:r w:rsidRPr="008E6E0D">
        <w:rPr>
          <w:sz w:val="20"/>
          <w:szCs w:val="20"/>
        </w:rPr>
        <w:t>. To obtain a better coverage of the Human Leukocyte Antigen (HLA) region, we imputed the classic HLA alleles and a</w:t>
      </w:r>
      <w:r w:rsidR="00371C3F">
        <w:rPr>
          <w:sz w:val="20"/>
          <w:szCs w:val="20"/>
        </w:rPr>
        <w:t>mino acids using SHAPEIT v2.837</w:t>
      </w:r>
      <w:r w:rsidRPr="008E6E0D">
        <w:rPr>
          <w:sz w:val="20"/>
          <w:szCs w:val="20"/>
        </w:rPr>
        <w:fldChar w:fldCharType="begin" w:fldLock="1"/>
      </w:r>
      <w:r w:rsidR="002253CB">
        <w:rPr>
          <w:sz w:val="20"/>
          <w:szCs w:val="20"/>
        </w:rPr>
        <w:instrText>ADDIN CSL_CITATION {"citationItems":[{"id":"ITEM-1","itemData":{"DOI":"10.1186/1471-2105-9-540","ISSN":"14712105","PMID":"19087329","abstract":"Background: We have developed a new computational algorithm, Shape-IT, to infer haplotypes under the genetic model of coalescence with recombination developed by Stephens et al in Phase v2.1. It runs much faster than Phase v2.1 while exhibiting the same accuracy. The major algorithmic improvements rely on the use of binary trees to represent the sets of candidate haplotypes for each individual. These binary tree representations: (1) speed up the computations of posterior probabilities of the haplotypes by avoiding the redundant operations made in Phase v2.1, and (2) overcome the exponential aspect of the haplotypes inference problem by the smart exploration of the most plausible pathways (ie. haplotypes) in the binary trees. Results: Our results show that Shape-IT is several orders of magnitude faster than Phase v2.1 while being as accurate. For instance, Shape-IT runs 50 times faster than Phase v2.1 to compute the haplotypes of 200 subjects on 6,000 segments of 50 SNPs extracted from a standard Illumina 300 K chip (13 days instead of 630 days). We also compared Shape-IT with other widely used software, Gerbil, PL-EM, Fastphase, 2SNP, and Ishape in various tests: Shape-IT and Phase v2.1 were the most accurate in all cases, followed by Ishape and Fastphase. As a matter of speed, Shape-IT was faster than Ishape and Fastphase for datasets smaller than 100 SNPs, but Fastphase became faster -but still less accurate- to infer haplotypes on larger SNP datasets. Conclusion: Shape-IT deserves to be extensively used for regular haplotype inference but also in the context of the new high-throughput genotyping chips since it permits to fit the genetic model of Phase v2.1 on large datasets. This new algorithm based on tree representations could be used in other HMM-based haplotype inference software and may apply more largely to other fields using HMM. © 2008 Delaneau et al; licensee BioMed Central Ltd.","author":[{"dropping-particle":"","family":"Delaneau","given":"Olivier","non-dropping-particle":"","parse-names":false,"suffix":""},{"dropping-particle":"","family":"Coulonges","given":"Cédric","non-dropping-particle":"","parse-names":false,"suffix":""},{"dropping-particle":"","family":"Zagury","given":"Jean François","non-dropping-particle":"","parse-names":false,"suffix":""}],"container-title":"BMC Bioinformatics","id":"ITEM-1","issued":{"date-parts":[["2008"]]},"page":"1-14","title":"Shape-IT: New rapid and accurate algorithm for haplotype inference","type":"article-journal","volume":"9"},"uris":["http://www.mendeley.com/documents/?uuid=7f881fc3-4798-491f-aa7c-9e2a1278fe45"]}],"mendeley":{"formattedCitation":"&lt;sup&gt;7&lt;/sup&gt;","plainTextFormattedCitation":"7","previouslyFormattedCitation":"&lt;sup&gt;7&lt;/sup&gt;"},"properties":{"noteIndex":0},"schema":"https://github.com/citation-style-language/schema/raw/master/csl-citation.json"}</w:instrText>
      </w:r>
      <w:r w:rsidRPr="008E6E0D">
        <w:rPr>
          <w:sz w:val="20"/>
          <w:szCs w:val="20"/>
        </w:rPr>
        <w:fldChar w:fldCharType="separate"/>
      </w:r>
      <w:r w:rsidR="00371C3F" w:rsidRPr="00371C3F">
        <w:rPr>
          <w:noProof/>
          <w:sz w:val="20"/>
          <w:szCs w:val="20"/>
          <w:vertAlign w:val="superscript"/>
        </w:rPr>
        <w:t>7</w:t>
      </w:r>
      <w:r w:rsidRPr="008E6E0D">
        <w:rPr>
          <w:sz w:val="20"/>
          <w:szCs w:val="20"/>
        </w:rPr>
        <w:fldChar w:fldCharType="end"/>
      </w:r>
      <w:r w:rsidR="00371C3F" w:rsidRPr="00371C3F">
        <w:rPr>
          <w:sz w:val="20"/>
          <w:szCs w:val="20"/>
          <w:vertAlign w:val="superscript"/>
        </w:rPr>
        <w:t>-</w:t>
      </w:r>
      <w:r w:rsidRPr="008E6E0D">
        <w:rPr>
          <w:sz w:val="20"/>
          <w:szCs w:val="20"/>
        </w:rPr>
        <w:fldChar w:fldCharType="begin" w:fldLock="1"/>
      </w:r>
      <w:r w:rsidR="002253CB">
        <w:rPr>
          <w:sz w:val="20"/>
          <w:szCs w:val="20"/>
        </w:rPr>
        <w:instrText>ADDIN CSL_CITATION {"citationItems":[{"id":"ITEM-1","itemData":{"DOI":"10.1038/ncomms4934","ISSN":"20411723","PMID":"25653097","abstract":"A major use of the 1000 Genomes Project (1000GP) data is genotype imputation in genome-wide association studies (GWAS). Here we develop a method to estimate haplotypes from low-coverage sequencing data that can take advantage of single-nucleotide polymorphism (SNP) microarray genotypes on the same samples. First the SNP array data are phased to build a backbone (or 'scaffold') of haplotypes across each chromosome. We then phase the sequence data 'onto' this haplotype scaffold. This approach can take advantage of relatedness between sequenced and non-sequenced samples to improve accuracy. We use this method to create a new 1000GP haplotype reference set for use by the human genetic community. Using a set of validation genotypes at SNP and bi-allelic indels we show that these haplotypes have lower genotype discordance and improved imputation performance into downstream GWAS samples, especially at low-frequency variants. © 2014 Macmillan Publishers Limited. All rights reserved.","author":[{"dropping-particle":"","family":"Delaneau","given":"Olivier","non-dropping-particle":"","parse-names":false,"suffix":""},{"dropping-particle":"","family":"Marchini","given":"Jonathan","non-dropping-particle":"","parse-names":false,"suffix":""},{"dropping-particle":"","family":"McVeanh","given":"Gil A.","non-dropping-particle":"","parse-names":false,"suffix":""},{"dropping-particle":"","family":"Donnelly","given":"Peter","non-dropping-particle":"","parse-names":false,"suffix":""},{"dropping-particle":"","family":"Lunter","given":"Gerton","non-dropping-particle":"","parse-names":false,"suffix":""},{"dropping-particle":"","family":"Marchini","given":"Jonathan L.","non-dropping-particle":"","parse-names":false,"suffix":""},{"dropping-particle":"","family":"Myers","given":"Simon","non-dropping-particle":"","parse-names":false,"suffix":""},{"dropping-particle":"","family":"Gupta-Hinch","given":"Anjali","non-dropping-particle":"","parse-names":false,"suffix":""},{"dropping-particle":"","family":"Iqbal","given":"Zamin","non-dropping-particle":"","parse-names":false,"suffix":""},{"dropping-particle":"","family":"Mathieson","given":"Iain","non-dropping-particle":"","parse-names":false,"suffix":""},{"dropping-particle":"","family":"Rimmer","given":"Andy","non-dropping-particle":"","parse-names":false,"suffix":""},{"dropping-particle":"","family":"Xifara","given":"Dionysia K.","non-dropping-particle":"","parse-names":false,"suffix":""},{"dropping-particle":"","family":"Kerasidou","given":"Angeliki","non-dropping-particle":"","parse-names":false,"suffix":""},{"dropping-particle":"","family":"Churchhouse","given":"Claire","non-dropping-particle":"","parse-names":false,"suffix":""},{"dropping-particle":"","family":"Altshuler","given":"David M.","non-dropping-particle":"","parse-names":false,"suffix":""},{"dropping-particle":"","family":"Gabriel","given":"Stacey B.","non-dropping-particle":"","parse-names":false,"suffix":""},{"dropping-particle":"","family":"Lander","given":"Eric S.","non-dropping-particle":"","parse-names":false,"suffix":""},{"dropping-particle":"","family":"Gupta","given":"Namrata","non-dropping-particle":"","parse-names":false,"suffix":""},{"dropping-particle":"","family":"Daly","given":"Mark J.","non-dropping-particle":"","parse-names":false,"suffix":""},{"dropping-particle":"","family":"DePristo","given":"Mark A.","non-dropping-particle":"","parse-names":false,"suffix":""},{"dropping-particle":"","family":"Banks","given":"Eric","non-dropping-particle":"","parse-names":false,"suffix":""},{"dropping-particle":"","family":"Bhatia","given":"Gaurav","non-dropping-particle":"","parse-names":false,"suffix":""},{"dropping-particle":"","family":"Carneiro","given":"Mauricio O.","non-dropping-particle":"","parse-names":false,"suffix":""},{"dropping-particle":"","family":"Angel","given":"Guillermo","non-dropping-particle":"Del","parse-names":false,"suffix":""},{"dropping-particle":"","family":"Genovese","given":"Giulio","non-dropping-particle":"","parse-names":false,"suffix":""},{"dropping-particle":"","family":"Handsaker","given":"Robert E.","non-dropping-particle":"","parse-names":false,"suffix":""},{"dropping-particle":"","family":"Hartl","given":"Chris","non-dropping-particle":"","parse-names":false,"suffix":""},{"dropping-particle":"","family":"McCarroll","given":"Steven A.","non-dropping-particle":"","parse-names":false,"suffix":""},{"dropping-particle":"","family":"Nemesh","given":"James C.","non-dropping-particle":"","parse-names":false,"suffix":""},{"dropping-particle":"","family":"Poplin","given":"Ryan E.","non-dropping-particle":"","parse-names":false,"suffix":""},{"dropping-particle":"","family":"Schaffner","given":"Stephen F.","non-dropping-particle":"","parse-names":false,"suffix":""},{"dropping-particle":"","family":"Shakir","given":"Khalid","non-dropping-particle":"","parse-names":false,"suffix":""},{"dropping-particle":"","family":"Sabeti","given":"Pardis C.","non-dropping-particle":"","parse-names":false,"suffix":""},{"dropping-particle":"","family":"Grossman","given":"Sharon R.","non-dropping-particle":"","parse-names":false,"suffix":""},{"dropping-particle":"","family":"Tabrizi","given":"Shervin","non-dropping-particle":"","parse-names":false,"suffix":""},{"dropping-particle":"","family":"Tariyal","given":"Ridhi","non-dropping-particle":"","parse-names":false,"suffix":""},{"dropping-particle":"","family":"Li","given":"Heng","non-dropping-particle":"","parse-names":false,"suffix":""},{"dropping-particle":"","family":"Reich","given":"David","non-dropping-particle":"","parse-names":false,"suffix":""},{"dropping-particle":"","family":"Durbin","given":"Richard M.","non-dropping-particle":"","parse-names":false,"suffix":""},{"dropping-particle":"","family":"Hurles","given":"Matthew E.","non-dropping-particle":"","parse-names":false,"suffix":""},{"dropping-particle":"","family":"Balasubramaniam","given":"Senduran","non-dropping-particle":"","parse-names":false,"suffix":""},{"dropping-particle":"","family":"Burton","given":"John","non-dropping-particle":"","parse-names":false,"suffix":""},{"dropping-particle":"","family":"Danecek","given":"Petr","non-dropping-particle":"","parse-names":false,"suffix":""},{"dropping-particle":"","family":"Keane","given":"Thomas M.","non-dropping-particle":"","parse-names":false,"suffix":""},{"dropping-particle":"","family":"Kolb-Kokocinski","given":"Anja","non-dropping-particle":"","parse-names":false,"suffix":""},{"dropping-particle":"","family":"McCarthy","given":"Shane","non-dropping-particle":"","parse-names":false,"suffix":""},{"dropping-particle":"","family":"Stalker","given":"James","non-dropping-particle":"","parse-names":false,"suffix":""},{"dropping-particle":"","family":"Quail","given":"Michael","non-dropping-particle":"","parse-names":false,"suffix":""},{"dropping-particle":"","family":"Ayub","given":"Qasim","non-dropping-particle":"","parse-names":false,"suffix":""},{"dropping-particle":"","family":"Chen","given":"Yuan","non-dropping-particle":"","parse-names":false,"suffix":""},{"dropping-particle":"","family":"Coffey","given":"Alison J.","non-dropping-particle":"","parse-names":false,"suffix":""},{"dropping-particle":"","family":"Colonna","given":"Vincenza","non-dropping-particle":"","parse-names":false,"suffix":""},{"dropping-particle":"","family":"Huang","given":"Ni","non-dropping-particle":"","parse-names":false,"suffix":""},{"dropping-particle":"","family":"Jostins","given":"Luke","non-dropping-particle":"","parse-names":false,"suffix":""},{"dropping-particle":"","family":"Scally","given":"Aylwyn","non-dropping-particle":"","parse-names":false,"suffix":""},{"dropping-particle":"","family":"Walter","given":"Klaudia","non-dropping-particle":"","parse-names":false,"suffix":""},{"dropping-particle":"","family":"Xue","given":"Yali","non-dropping-particle":"","parse-names":false,"suffix":""},{"dropping-particle":"","family":"Zhang","given":"Yujun","non-dropping-particle":"","parse-names":false,"suffix":""},{"dropping-particle":"","family":"Blackburne","given":"Ben","non-dropping-particle":"","parse-names":false,"suffix":""},{"dropping-particle":"","family":"Lindsay","given":"Sarah J.","non-dropping-particle":"","parse-names":false,"suffix":""},{"dropping-particle":"","family":"Ning","given":"Zemin","non-dropping-particle":"","parse-names":false,"suffix":""},{"dropping-particle":"","family":"Frankish","given":"Adam","non-dropping-particle":"","parse-names":false,"suffix":""},{"dropping-particle":"","family":"Harrow","given":"Jennifer","non-dropping-particle":"","parse-names":false,"suffix":""},{"dropping-particle":"","family":"Chris","given":"Tyler S.","non-dropping-particle":"","parse-names":false,"suffix":""},{"dropping-particle":"","family":"Abecasis","given":"Gonalo R.","non-dropping-particle":"","parse-names":false,"suffix":""},{"dropping-particle":"","family":"Kang","given":"Hyun Min","non-dropping-particle":"","parse-names":false,"suffix":""},{"dropping-particle":"","family":"Anderson","given":"Paul","non-dropping-particle":"","parse-names":false,"suffix":""},{"dropping-particle":"","family":"Blackwell","given":"Tom","non-dropping-particle":"","parse-names":false,"suffix":""},{"dropping-particle":"","family":"Busonero","given":"Fabio","non-dropping-particle":"","parse-names":false,"suffix":""},{"dropping-particle":"","family":"Fuchsberger","given":"Christian","non-dropping-particle":"","parse-names":false,"suffix":""},{"dropping-particle":"","family":"Jun","given":"Goo","non-dropping-particle":"","parse-names":false,"suffix":""},{"dropping-particle":"","family":"Maschio","given":"Andrea","non-dropping-particle":"","parse-names":false,"suffix":""},{"dropping-particle":"","family":"Porcu","given":"Eleonora","non-dropping-particle":"","parse-names":false,"suffix":""},{"dropping-particle":"","family":"Sidore","given":"Carlo","non-dropping-particle":"","parse-names":false,"suffix":""},{"dropping-particle":"","family":"Tan","given":"Adrian","non-dropping-particle":"","parse-names":false,"suffix":""},{"dropping-particle":"","family":"Trost","given":"Mary Kate","non-dropping-particle":"","parse-names":false,"suffix":""},{"dropping-particle":"","family":"Bentley","given":"David R.","non-dropping-particle":"","parse-names":false,"suffix":""},{"dropping-particle":"","family":"Grocock","given":"Russell","non-dropping-particle":"","parse-names":false,"suffix":""},{"dropping-particle":"","family":"Humphray","given":"Sean","non-dropping-particle":"","parse-names":false,"suffix":""},{"dropping-particle":"","family":"James","given":"Terena","non-dropping-particle":"","parse-names":false,"suffix":""},{"dropping-particle":"","family":"Kingsbury","given":"Zoya","non-dropping-particle":"","parse-names":false,"suffix":""},{"dropping-particle":"","family":"Bauer","given":"Markus","non-dropping-particle":"","parse-names":false,"suffix":""},{"dropping-particle":"","family":"Cheetham","given":"R. Keira","non-dropping-particle":"","parse-names":false,"suffix":""},{"dropping-particle":"","family":"Cox","given":"Tony","non-dropping-particle":"","parse-names":false,"suffix":""},{"dropping-particle":"","family":"Eberle","given":"Michael","non-dropping-particle":"","parse-names":false,"suffix":""},{"dropping-particle":"","family":"Murray","given":"Lisa","non-dropping-particle":"","parse-names":false,"suffix":""},{"dropping-particle":"","family":"Shaw","given":"Richard","non-dropping-particle":"","parse-names":false,"suffix":""},{"dropping-particle":"","family":"Chakravarti","given":"Aravinda","non-dropping-particle":"","parse-names":false,"suffix":""},{"dropping-particle":"","family":"Clark","given":"Andrew G.","non-dropping-particle":"","parse-names":false,"suffix":""},{"dropping-particle":"","family":"Keinan","given":"Alon","non-dropping-particle":"","parse-names":false,"suffix":""},{"dropping-particle":"","family":"Rodriguez-Flores","given":"Juan L.","non-dropping-particle":"","parse-names":false,"suffix":""},{"dropping-particle":"","family":"LaVega","given":"Francisco M.","non-dropping-particle":"De","parse-names":false,"suffix":""},{"dropping-particle":"","family":"Degenhardt","given":"Jeremiah","non-dropping-particle":"","parse-names":false,"suffix":""},{"dropping-particle":"","family":"Eichler","given":"Evan E.","non-dropping-particle":"","parse-names":false,"suffix":""},{"dropping-particle":"","family":"Flicek","given":"Paul","non-dropping-particle":"","parse-names":false,"suffix":""},{"dropping-particle":"","family":"Clarke","given":"Laura","non-dropping-particle":"","parse-names":false,"suffix":""},{"dropping-particle":"","family":"Leinonen","given":"Rasko","non-dropping-particle":"","parse-names":false,"suffix":""},{"dropping-particle":"","family":"Smith","given":"Richard E.","non-dropping-particle":"","parse-names":false,"suffix":""},{"dropping-particle":"","family":"Zheng-Bradley","given":"Xiangqun","non-dropping-particle":"","parse-names":false,"suffix":""},{"dropping-particle":"","family":"Beal","given":"Kathryn","non-dropping-particle":"","parse-names":false,"suffix":""},{"dropping-particle":"","family":"Cunningham","given":"Fiona","non-dropping-particle":"","parse-names":false,"suffix":""},{"dropping-particle":"","family":"Herrero","given":"Javier","non-dropping-particle":"","parse-names":false,"suffix":""},{"dropping-particle":"","family":"McLaren","given":"William M.","non-dropping-particle":"","parse-names":false,"suffix":""},{"dropping-particle":"","family":"Ritchie","given":"Graham R.S.","non-dropping-particle":"","parse-names":false,"suffix":""},{"dropping-particle":"","family":"Barker","given":"Jonathan","non-dropping-particle":"","parse-names":false,"suffix":""},{"dropping-particle":"","family":"Kelman","given":"Gavin","non-dropping-particle":"","parse-names":false,"suffix":""},{"dropping-particle":"","family":"Kulesha","given":"Eugene","non-dropping-particle":"","parse-names":false,"suffix":""},{"dropping-particle":"","family":"Radhakrishnan","given":"Rajesh","non-dropping-particle":"","parse-names":false,"suffix":""},{"dropping-particle":"","family":"Roa","given":"Asier","non-dropping-particle":"","parse-names":false,"suffix":""},{"dropping-particle":"","family":"Smirnov","given":"Dmitriy","non-dropping-particle":"","parse-names":false,"suffix":""},{"dropping-particle":"","family":"Streeter","given":"Ian","non-dropping-particle":"","parse-names":false,"suffix":""},{"dropping-particle":"","family":"Toneva","given":"Iliana","non-dropping-particle":"","parse-names":false,"suffix":""},{"dropping-particle":"","family":"Gibbs","given":"Richard A.","non-dropping-particle":"","parse-names":false,"suffix":""},{"dropping-particle":"","family":"Dinh","given":"Huyen","non-dropping-particle":"","parse-names":false,"suffix":""},{"dropping-particle":"","family":"Kovar","given":"Christie","non-dropping-particle":"","parse-names":false,"suffix":""},{"dropping-particle":"","family":"Lee","given":"Sandra","non-dropping-particle":"","parse-names":false,"suffix":""},{"dropping-particle":"","family":"Lewis","given":"Lora","non-dropping-particle":"","parse-names":false,"suffix":""},{"dropping-particle":"","family":"Muzny","given":"Donna","non-dropping-particle":"","parse-names":false,"suffix":""},{"dropping-particle":"","family":"Reid","given":"Jeff","non-dropping-particle":"","parse-names":false,"suffix":""},{"dropping-particle":"","family":"Wang","given":"Min","non-dropping-particle":"","parse-names":false,"suffix":""},{"dropping-particle":"","family":"Yu","given":"Fuli","non-dropping-particle":"","parse-names":false,"suffix":""},{"dropping-particle":"","family":"Bainbridge","given":"Matthew","non-dropping-particle":"","parse-names":false,"suffix":""},{"dropping-particle":"","family":"Challis","given":"Danny","non-dropping-particle":"","parse-names":false,"suffix":""},{"dropping-particle":"","family":"Evani","given":"Uday S.","non-dropping-particle":"","parse-names":false,"suffix":""},{"dropping-particle":"","family":"Lu","given":"James","non-dropping-particle":"","parse-names":false,"suffix":""},{"dropping-particle":"","family":"Nagaswamy","given":"Uma","non-dropping-particle":"","parse-names":false,"suffix":""},{"dropping-particle":"","family":"Sabo","given":"Aniko","non-dropping-particle":"","parse-names":false,"suffix":""},{"dropping-particle":"","family":"Wang","given":"Yi","non-dropping-particle":"","parse-names":false,"suffix":""},{"dropping-particle":"","family":"Yu","given":"Jin","non-dropping-particle":"","parse-names":false,"suffix":""},{"dropping-particle":"","family":"Fowler","given":"Gerald","non-dropping-particle":"","parse-names":false,"suffix":""},{"dropping-particle":"","family":"Hale","given":"Walker","non-dropping-particle":"","parse-names":false,"suffix":""},{"dropping-particle":"","family":"Kalra","given":"Divya","non-dropping-particle":"","parse-names":false,"suffix":""},{"dropping-particle":"","family":"Green","given":"Eric D.","non-dropping-particle":"","parse-names":false,"suffix":""},{"dropping-particle":"","family":"Knoppers","given":"Bartha M.","non-dropping-particle":"","parse-names":false,"suffix":""},{"dropping-particle":"","family":"Korbel","given":"Jan O.","non-dropping-particle":"","parse-names":false,"suffix":""},{"dropping-particle":"","family":"Rausch","given":"Tobias","non-dropping-particle":"","parse-names":false,"suffix":""},{"dropping-particle":"","family":"Sttz","given":"Adrian M.","non-dropping-particle":"","parse-names":false,"suffix":""},{"dropping-particle":"","family":"Lee","given":"Charles","non-dropping-particle":"","parse-names":false,"suffix":""},{"dropping-particle":"","family":"Griffin","given":"Lauren","non-dropping-particle":"","parse-names":false,"suffix":""},{"dropping-particle":"","family":"Hsieh","given":"Chih Heng","non-dropping-particle":"","parse-names":false,"suffix":""},{"dropping-particle":"","family":"Mills","given":"Ryan E.","non-dropping-particle":"","parse-names":false,"suffix":""},{"dropping-particle":"","family":"Grotthuss","given":"Marcin","non-dropping-particle":"Von","parse-names":false,"suffix":""},{"dropping-particle":"","family":"Zhang","given":"Chengsheng","non-dropping-particle":"","parse-names":false,"suffix":""},{"dropping-particle":"","family":"Shi","given":"Xinghua","non-dropping-particle":"","parse-names":false,"suffix":""},{"dropping-particle":"","family":"Lehrach","given":"Hans","non-dropping-particle":"","parse-names":false,"suffix":""},{"dropping-particle":"","family":"Sudbrak","given":"Ralf","non-dropping-particle":"","parse-names":false,"suffix":""},{"dropping-particle":"","family":"Amstislavskiy","given":"Vyacheslav S.","non-dropping-particle":"","parse-names":false,"suffix":""},{"dropping-particle":"","family":"Lienhard","given":"Matthias","non-dropping-particle":"","parse-names":false,"suffix":""},{"dropping-particle":"","family":"Mertes","given":"Florian","non-dropping-particle":"","parse-names":false,"suffix":""},{"dropping-particle":"","family":"Sultan","given":"Marc","non-dropping-particle":"","parse-names":false,"suffix":""},{"dropping-particle":"","family":"Timmermann","given":"Bernd","non-dropping-particle":"","parse-names":false,"suffix":""},{"dropping-particle":"","family":"Yaspo","given":"Marie Laure","non-dropping-particle":"","parse-names":false,"suffix":""},{"dropping-particle":"","family":"Herwig","given":"Sudbrak Ralf","non-dropping-particle":"","parse-names":false,"suffix":""},{"dropping-particle":"","family":"Mardis","given":"Elaine R.","non-dropping-particle":"","parse-names":false,"suffix":""},{"dropping-particle":"","family":"Wilson","given":"Richard K.","non-dropping-particle":"","parse-names":false,"suffix":""},{"dropping-particle":"","family":"Fulton","given":"Lucinda","non-dropping-particle":"","parse-names":false,"suffix":""},{"dropping-particle":"","family":"Fulton","given":"Robert","non-dropping-particle":"","parse-names":false,"suffix":""},{"dropping-particle":"","family":"Weinstock","given":"George M.","non-dropping-particle":"","parse-names":false,"suffix":""},{"dropping-particle":"","family":"Chinwalla","given":"Asif","non-dropping-particle":"","parse-names":false,"suffix":""},{"dropping-particle":"","family":"Ding","given":"Li","non-dropping-particle":"","parse-names":false,"suffix":""},{"dropping-particle":"","family":"Dooling","given":"David","non-dropping-particle":"","parse-names":false,"suffix":""},{"dropping-particle":"","family":"Koboldt","given":"Daniel C.","non-dropping-particle":"","parse-names":false,"suffix":""},{"dropping-particle":"","family":"McLellan","given":"Michael D.","non-dropping-particle":"","parse-names":false,"suffix":""},{"dropping-particle":"","family":"Wallis","given":"John W.","non-dropping-particle":"","parse-names":false,"suffix":""},{"dropping-particle":"","family":"Wendl","given":"Michael C.","non-dropping-particle":"","parse-names":false,"suffix":""},{"dropping-particle":"","family":"Zhang","given":"Qunyuan","non-dropping-particle":"","parse-names":false,"suffix":""},{"dropping-particle":"","family":"Marth","given":"Gabor T.","non-dropping-particle":"","parse-names":false,"suffix":""},{"dropping-particle":"","family":"Garrison","given":"Erik P.","non-dropping-particle":"","parse-names":false,"suffix":""},{"dropping-particle":"","family":"Kural","given":"Deniz","non-dropping-particle":"","parse-names":false,"suffix":""},{"dropping-particle":"","family":"Lee","given":"Wan Ping","non-dropping-particle":"","parse-names":false,"suffix":""},{"dropping-particle":"","family":"Leong","given":"Wen Fung","non-dropping-particle":"","parse-names":false,"suffix":""},{"dropping-particle":"","family":"Ward","given":"Alistair N.","non-dropping-particle":"","parse-names":false,"suffix":""},{"dropping-particle":"","family":"Wu","given":"Jiantao","non-dropping-particle":"","parse-names":false,"suffix":""},{"dropping-particle":"","family":"Zhang","given":"Mengyao","non-dropping-particle":"","parse-names":false,"suffix":""},{"dropping-particle":"","family":"Nickerson","given":"Deborah A.","non-dropping-particle":"","parse-names":false,"suffix":""},{"dropping-particle":"","family":"Alkan","given":"Can","non-dropping-particle":"","parse-names":false,"suffix":""},{"dropping-particle":"","family":"Hormozdiari","given":"Fereydoun","non-dropping-particle":"","parse-names":false,"suffix":""},{"dropping-particle":"","family":"Ko","given":"Arthur","non-dropping-particle":"","parse-names":false,"suffix":""},{"dropping-particle":"","family":"Sudmant","given":"Peter H.","non-dropping-particle":"","parse-names":false,"suffix":""},{"dropping-particle":"","family":"Schmidt","given":"Jeanette P.","non-dropping-particle":"","parse-names":false,"suffix":""},{"dropping-particle":"","family":"Davies","given":"Christopher J.","non-dropping-particle":"","parse-names":false,"suffix":""},{"dropping-particle":"","family":"Gollub","given":"Jeremy","non-dropping-particle":"","parse-names":false,"suffix":""},{"dropping-particle":"","family":"Webster","given":"Teresa","non-dropping-particle":"","parse-names":false,"suffix":""},{"dropping-particle":"","family":"Wong","given":"Brant","non-dropping-particle":"","parse-names":false,"suffix":""},{"dropping-particle":"","family":"Zhan","given":"Yiping","non-dropping-particle":"","parse-names":false,"suffix":""},{"dropping-particle":"","family":"Sherry","given":"Stephen T.","non-dropping-particle":"","parse-names":false,"suffix":""},{"dropping-particle":"","family":"Xiao","given":"Chunlin","non-dropping-particle":"","parse-names":false,"suffix":""},{"dropping-particle":"","family":"Church","given":"Deanna","non-dropping-particle":"","parse-names":false,"suffix":""},{"dropping-particle":"","family":"Ananiev","given":"Victor","non-dropping-particle":"","parse-names":false,"suffix":""},{"dropping-particle":"","family":"Belaia","given":"Zinaida","non-dropping-particle":"","parse-names":false,"suffix":""},{"dropping-particle":"","family":"Beloslyudtsev","given":"Dimitriy","non-dropping-particle":"","parse-names":false,"suffix":""},{"dropping-particle":"","family":"Bouk","given":"Nathan","non-dropping-particle":"","parse-names":false,"suffix":""},{"dropping-particle":"","family":"Chen","given":"Chao","non-dropping-particle":"","parse-names":false,"suffix":""},{"dropping-particle":"","family":"Cohen","given":"Robert","non-dropping-particle":"","parse-names":false,"suffix":""},{"dropping-particle":"","family":"Cook","given":"Charles","non-dropping-particle":"","parse-names":false,"suffix":""},{"dropping-particle":"","family":"Garner","given":"John","non-dropping-particle":"","parse-names":false,"suffix":""},{"dropping-particle":"","family":"Hefferon","given":"Timothy","non-dropping-particle":"","parse-names":false,"suffix":""},{"dropping-particle":"","family":"Kimelman","given":"Mikhail","non-dropping-particle":"","parse-names":false,"suffix":""},{"dropping-particle":"","family":"Liu","given":"Chunlei","non-dropping-particle":"","parse-names":false,"suffix":""},{"dropping-particle":"","family":"Lopez","given":"John","non-dropping-particle":"","parse-names":false,"suffix":""},{"dropping-particle":"","family":"Meric","given":"Peter","non-dropping-particle":"","parse-names":false,"suffix":""},{"dropping-particle":"","family":"Ostapchuk","given":"Yuri","non-dropping-particle":"","parse-names":false,"suffix":""},{"dropping-particle":"","family":"Phan","given":"Lon","non-dropping-particle":"","parse-names":false,"suffix":""},{"dropping-particle":"","family":"Ponomarov","given":"Sergiy","non-dropping-particle":"","parse-names":false,"suffix":""},{"dropping-particle":"","family":"Schneider","given":"Valerie","non-dropping-particle":"","parse-names":false,"suffix":""},{"dropping-particle":"","family":"Shekhtman","given":"Eugene","non-dropping-particle":"","parse-names":false,"suffix":""},{"dropping-particle":"","family":"Sirotkin","given":"Karl","non-dropping-particle":"","parse-names":false,"suffix":""},{"dropping-particle":"","family":"Slotta","given":"Douglas","non-dropping-particle":"","parse-names":false,"suffix":""},{"dropping-particle":"","family":"Zhang","given":"Hua","non-dropping-particle":"","parse-names":false,"suffix":""},{"dropping-particle":"","family":"Wang","given":"Jun","non-dropping-particle":"","parse-names":false,"suffix":""},{"dropping-particle":"","family":"Fang","given":"Xiaodong","non-dropping-particle":"","parse-names":false,"suffix":""},{"dropping-particle":"","family":"Guo","given":"Xiaosen","non-dropping-particle":"","parse-names":false,"suffix":""},{"dropping-particle":"","family":"Jian","given":"Min","non-dropping-particle":"","parse-names":false,"suffix":""},{"dropping-particle":"","family":"Jiang","given":"Hui","non-dropping-particle":"","parse-names":false,"suffix":""},{"dropping-particle":"","family":"Jin","given":"Xin","non-dropping-particle":"","parse-names":false,"suffix":""},{"dropping-particle":"","family":"Li","given":"Guoqing","non-dropping-particle":"","parse-names":false,"suffix":""},{"dropping-particle":"","family":"Li","given":"Jingxiang","non-dropping-particle":"","parse-names":false,"suffix":""},{"dropping-particle":"","family":"Li","given":"Yingrui","non-dropping-particle":"","parse-names":false,"suffix":""},{"dropping-particle":"","family":"Liu","given":"Xiao","non-dropping-particle":"","parse-names":false,"suffix":""},{"dropping-particle":"","family":"Lu","given":"Yao","non-dropping-particle":"","parse-names":false,"suffix":""},{"dropping-particle":"","family":"Ma","given":"Xuedi","non-dropping-particle":"","parse-names":false,"suffix":""},{"dropping-particle":"","family":"Tai","given":"Shuaishuai","non-dropping-particle":"","parse-names":false,"suffix":""},{"dropping-particle":"","family":"Tang","given":"Meifang","non-dropping-particle":"","parse-names":false,"suffix":""},{"dropping-particle":"","family":"Wang","given":"Bo","non-dropping-particle":"","parse-names":false,"suffix":""},{"dropping-particle":"","family":"Wang","given":"Guangbiao","non-dropping-particle":"","parse-names":false,"suffix":""},{"dropping-particle":"","family":"Wu","given":"Honglong","non-dropping-particle":"","parse-names":false,"suffix":""},{"dropping-particle":"","family":"Wu","given":"Renhua","non-dropping-particle":"","parse-names":false,"suffix":""},{"dropping-particle":"","family":"Yin","given":"Ye","non-dropping-particle":"","parse-names":false,"suffix":""},{"dropping-particle":"","family":"Zhang","given":"Wenwei","non-dropping-particle":"","parse-names":false,"suffix":""},{"dropping-particle":"","family":"Zhao","given":"Jiao","non-dropping-particle":"","parse-names":false,"suffix":""},{"dropping-particle":"","family":"Zhao","given":"Meiru","non-dropping-particle":"","parse-names":false,"suffix":""},{"dropping-particle":"","family":"Zheng","given":"Xiaole","non-dropping-particle":"","parse-names":false,"suffix":""},{"dropping-particle":"","family":"Lachlan","given":"Hans","non-dropping-particle":"","parse-names":false,"suffix":""},{"dropping-particle":"","family":"Fang","given":"Lin","non-dropping-particle":"","parse-names":false,"suffix":""},{"dropping-particle":"","family":"Li","given":"Qibin","non-dropping-particle":"","parse-names":false,"suffix":""},{"dropping-particle":"","family":"Li","given":"Zhenyu","non-dropping-particle":"","parse-names":false,"suffix":""},{"dropping-particle":"","family":"Lin","given":"Haoxiang","non-dropping-particle":"","parse-names":false,"suffix":""},{"dropping-particle":"","family":"Liu","given":"Binghang","non-dropping-particle":"","parse-names":false,"suffix":""},{"dropping-particle":"","family":"Luo","given":"Ruibang","non-dropping-particle":"","parse-names":false,"suffix":""},{"dropping-particle":"","family":"Shao","given":"Haojing","non-dropping-particle":"","parse-names":false,"suffix":""},{"dropping-particle":"","family":"Wang","given":"Bingqiang","non-dropping-particle":"","parse-names":false,"suffix":""},{"dropping-particle":"","family":"Xie","given":"Yinlong","non-dropping-particle":"","parse-names":false,"suffix":""},{"dropping-particle":"","family":"Ye","given":"Chen","non-dropping-particle":"","parse-names":false,"suffix":""},{"dropping-particle":"","family":"Yu","given":"Chang","non-dropping-particle":"","parse-names":false,"suffix":""},{"dropping-particle":"","family":"Zheng","given":"Hancheng","non-dropping-particle":"","parse-names":false,"suffix":""},{"dropping-particle":"","family":"Zhu","given":"Hongmei","non-dropping-particle":"","parse-names":false,"suffix":""},{"dropping-particle":"","family":"Cai","given":"Hongyu","non-dropping-particle":"","parse-names":false,"suffix":""},{"dropping-particle":"","family":"Cao","given":"Hongzhi","non-dropping-particle":"","parse-names":false,"suffix":""},{"dropping-particle":"","family":"Su","given":"Yeyang","non-dropping-particle":"","parse-names":false,"suffix":""},{"dropping-particle":"","family":"Tian","given":"Zhongming","non-dropping-particle":"","parse-names":false,"suffix":""},{"dropping-particle":"","family":"Yang","given":"Huanming","non-dropping-particle":"","parse-names":false,"suffix":""},{"dropping-particle":"","family":"Yang","given":"Ling","non-dropping-particle":"","parse-names":false,"suffix":""},{"dropping-particle":"","family":"Zhu","given":"Jiayong","non-dropping-particle":"","parse-names":false,"suffix":""},{"dropping-particle":"","family":"Cai","given":"Zhiming","non-dropping-particle":"","parse-names":false,"suffix":""},{"dropping-particle":"","family":"Wang","given":"Jian","non-dropping-particle":"","parse-names":false,"suffix":""},{"dropping-particle":"","family":"Albrecht","given":"Marcus W.","non-dropping-particle":"","parse-names":false,"suffix":""},{"dropping-particle":"","family":"Borodina","given":"Tatiana A.","non-dropping-particle":"","parse-names":false,"suffix":""},{"dropping-particle":"","family":"Auton","given":"Adam","non-dropping-particle":"","parse-names":false,"suffix":""},{"dropping-particle":"","family":"Yoon","given":"Seungtai C.","non-dropping-particle":"","parse-names":false,"suffix":""},{"dropping-particle":"","family":"Lihm","given":"Jayon","non-dropping-particle":"","parse-names":false,"suffix":""},{"dropping-particle":"","family":"Makarov","given":"Vladimir","non-dropping-particle":"","parse-names":false,"suffix":""},{"dropping-particle":"","family":"Jin","given":"Hanjun","non-dropping-particle":"","parse-names":false,"suffix":""},{"dropping-particle":"","family":"Kim","given":"Wook","non-dropping-particle":"","parse-names":false,"suffix":""},{"dropping-particle":"","family":"Kim","given":"Ki Cheol","non-dropping-particle":"","parse-names":false,"suffix":""},{"dropping-particle":"","family":"Gottipati","given":"Srikanth","non-dropping-particle":"","parse-names":false,"suffix":""},{"dropping-particle":"","family":"Jones","given":"Danielle","non-dropping-particle":"","parse-names":false,"suffix":""},{"dropping-particle":"","family":"Cooper","given":"David N.","non-dropping-particle":"","parse-names":false,"suffix":""},{"dropping-particle":"V.","family":"Ball","given":"Edward","non-dropping-particle":"","parse-names":false,"suffix":""},{"dropping-particle":"","family":"Stenson","given":"Peter D.","non-dropping-particle":"","parse-names":false,"suffix":""},{"dropping-particle":"","family":"Barnes","given":"Bret","non-dropping-particle":"","parse-names":false,"suffix":""},{"dropping-particle":"","family":"Kahn","given":"Scott","non-dropping-particle":"","parse-names":false,"suffix":""},{"dropping-particle":"","family":"Ye","given":"Kai","non-dropping-particle":"","parse-names":false,"suffix":""},{"dropping-particle":"","family":"Batzer","given":"Mark A.","non-dropping-particle":"","parse-names":false,"suffix":""},{"dropping-particle":"","family":"Konkel","given":"Miriam K.","non-dropping-particle":"","parse-names":false,"suffix":""},{"dropping-particle":"","family":"Walker","given":"Jerilyn A.","non-dropping-particle":"","parse-names":false,"suffix":""},{"dropping-particle":"","family":"MacArthur","given":"Daniel G.","non-dropping-particle":"","parse-names":false,"suffix":""},{"dropping-particle":"","family":"Lek","given":"Monkol","non-dropping-particle":"","parse-names":false,"suffix":""},{"dropping-particle":"","family":"Shriver","given":"Mark D.","non-dropping-particle":"","parse-names":false,"suffix":""},{"dropping-particle":"","family":"Bustamante","given":"Carlos D.","non-dropping-particle":"","parse-names":false,"suffix":""},{"dropping-particle":"","family":"Gravel","given":"Simon","non-dropping-particle":"","parse-names":false,"suffix":""},{"dropping-particle":"","family":"Kenny","given":"Eimear E.","non-dropping-particle":"","parse-names":false,"suffix":""},{"dropping-particle":"","family":"Kidd","given":"Jeffrey M.","non-dropping-particle":"","parse-names":false,"suffix":""},{"dropping-particle":"","family":"Lacroute","given":"Phil","non-dropping-particle":"","parse-names":false,"suffix":""},{"dropping-particle":"","family":"Maples","given":"Brian K.","non-dropping-particle":"","parse-names":false,"suffix":""},{"dropping-particle":"","family":"Moreno-Estrada","given":"Andres","non-dropping-particle":"","parse-names":false,"suffix":""},{"dropping-particle":"","family":"Zakharia","given":"Fouad","non-dropping-particle":"","parse-names":false,"suffix":""},{"dropping-particle":"","family":"Henn","given":"Brenna","non-dropping-particle":"","parse-names":false,"suffix":""},{"dropping-particle":"","family":"Sandoval","given":"Karla","non-dropping-particle":"","parse-names":false,"suffix":""},{"dropping-particle":"","family":"Byrnes","given":"Jake K.","non-dropping-particle":"","parse-names":false,"suffix":""},{"dropping-particle":"","family":"Halperin","given":"Eran","non-dropping-particle":"","parse-names":false,"suffix":""},{"dropping-particle":"","family":"Baran","given":"Yael","non-dropping-particle":"","parse-names":false,"suffix":""},{"dropping-particle":"","family":"Craig","given":"David W.","non-dropping-particle":"","parse-names":false,"suffix":""},{"dropping-particle":"","family":"Christoforides","given":"Alexis","non-dropping-particle":"","parse-names":false,"suffix":""},{"dropping-particle":"","family":"Izatt","given":"Tyler","non-dropping-particle":"","parse-names":false,"suffix":""},{"dropping-particle":"","family":"Kurdoglu","given":"Ahmet A.","non-dropping-particle":"","parse-names":false,"suffix":""},{"dropping-particle":"","family":"Sinari","given":"Shripad A.","non-dropping-particle":"","parse-names":false,"suffix":""},{"dropping-particle":"","family":"Homer","given":"Nils","non-dropping-particle":"","parse-names":false,"suffix":""},{"dropping-particle":"","family":"Squire","given":"Kevin","non-dropping-particle":"","parse-names":false,"suffix":""},{"dropping-particle":"","family":"Sebat","given":"Jonathan","non-dropping-particle":"","parse-names":false,"suffix":""},{"dropping-particle":"","family":"Bafna","given":"Vineet","non-dropping-particle":"","parse-names":false,"suffix":""},{"dropping-particle":"","family":"Ye","given":"Kenny","non-dropping-particle":"","parse-names":false,"suffix":""},{"dropping-particle":"","family":"Burchard","given":"Esteban G.","non-dropping-particle":"","parse-names":false,"suffix":""},{"dropping-particle":"","family":"Hernandez","given":"Ryan D.","non-dropping-particle":"","parse-names":false,"suffix":""},{"dropping-particle":"","family":"Gignoux","given":"Christopher R.","non-dropping-particle":"","parse-names":false,"suffix":""},{"dropping-particle":"","family":"Haussler","given":"David","non-dropping-particle":"","parse-names":false,"suffix":""},{"dropping-particle":"","family":"Katzman","given":"Sol J.","non-dropping-particle":"","parse-names":false,"suffix":""},{"dropping-particle":"","family":"Kent","given":"W. James","non-dropping-particle":"","parse-names":false,"suffix":""},{"dropping-particle":"","family":"Howie","given":"Bryan","non-dropping-particle":"","parse-names":false,"suffix":""},{"dropping-particle":"","family":"Ruiz-Linares","given":"Andres","non-dropping-particle":"","parse-names":false,"suffix":""},{"dropping-particle":"","family":"Dermitzakis","given":"Emmanouil T.","non-dropping-particle":"","parse-names":false,"suffix":""},{"dropping-particle":"","family":"Lappalainen","given":"Tuuli","non-dropping-particle":"","parse-names":false,"suffix":""},{"dropping-particle":"","family":"Devine","given":"Scott E.","non-dropping-particle":"","parse-names":false,"suffix":""},{"dropping-particle":"","family":"Liu","given":"Xinyue","non-dropping-particle":"","parse-names":false,"suffix":""},{"dropping-particle":"","family":"Maroo","given":"Ankit","non-dropping-particle":"","parse-names":false,"suffix":""},{"dropping-particle":"","family":"Tallon","given":"Luke J.","non-dropping-particle":"","parse-names":false,"suffix":""},{"dropping-particle":"","family":"Rosenfeld","given":"Jeffrey A.","non-dropping-particle":"","parse-names":false,"suffix":""},{"dropping-particle":"","family":"Michelson","given":"Leslie P.","non-dropping-particle":"","parse-names":false,"suffix":""},{"dropping-particle":"","family":"Angius","given":"Andrea","non-dropping-particle":"","parse-names":false,"suffix":""},{"dropping-particle":"","family":"Cucca","given":"Francesco","non-dropping-particle":"","parse-names":false,"suffix":""},{"dropping-particle":"","family":"Sanna","given":"Serena","non-dropping-particle":"","parse-names":false,"suffix":""},{"dropping-particle":"","family":"Bigham","given":"Abigail","non-dropping-particle":"","parse-names":false,"suffix":""},{"dropping-particle":"","family":"Jones","given":"Chris","non-dropping-particle":"","parse-names":false,"suffix":""},{"dropping-particle":"","family":"Reinier","given":"Fred","non-dropping-particle":"","parse-names":false,"suffix":""},{"dropping-particle":"","family":"Li","given":"Yun","non-dropping-particle":"","parse-names":false,"suffix":""},{"dropping-particle":"","family":"Lyons","given":"Robert","non-dropping-particle":"","parse-names":false,"suffix":""},{"dropping-particle":"","family":"Schlessinger","given":"David","non-dropping-particle":"","parse-names":false,"suffix":""},{"dropping-particle":"","family":"Awadalla","given":"Philip","non-dropping-particle":"","parse-names":false,"suffix":""},{"dropping-particle":"","family":"Hodgkinson","given":"Alan","non-dropping-particle":"","parse-names":false,"suffix":""},{"dropping-particle":"","family":"Oleksyk","given":"Taras K.","non-dropping-particle":"","parse-names":false,"suffix":""},{"dropping-particle":"","family":"Martinez-Cruzado","given":"Juan C.","non-dropping-particle":"","parse-names":false,"suffix":""},{"dropping-particle":"","family":"Fu","given":"Yunxin","non-dropping-particle":"","parse-names":false,"suffix":""},{"dropping-particle":"","family":"Liu","given":"Xiaoming","non-dropping-particle":"","parse-names":false,"suffix":""},{"dropping-particle":"","family":"Xiong","given":"Momiao","non-dropping-particle":"","parse-names":false,"suffix":""},{"dropping-particle":"","family":"Jorde","given":"Lynn","non-dropping-particle":"","parse-names":false,"suffix":""},{"dropping-particle":"","family":"Witherspoon","given":"David","non-dropping-particle":"","parse-names":false,"suffix":""},{"dropping-particle":"","family":"Xing","given":"Jinchuan","non-dropping-particle":"","parse-names":false,"suffix":""},{"dropping-particle":"","family":"Browning","given":"Brian L.","non-dropping-particle":"","parse-names":false,"suffix":""},{"dropping-particle":"","family":"Hajirasouliha","given":"Iman","non-dropping-particle":"","parse-names":false,"suffix":""},{"dropping-particle":"","family":"Chen","given":"Ken","non-dropping-particle":"","parse-names":false,"suffix":""},{"dropping-particle":"","family":"Albers","given":"Cornelis A.","non-dropping-particle":"","parse-names":false,"suffix":""},{"dropping-particle":"","family":"Gerstein","given":"Mark B.","non-dropping-particle":"","parse-names":false,"suffix":""},{"dropping-particle":"","family":"Abyzov","given":"Alexej","non-dropping-particle":"","parse-names":false,"suffix":""},{"dropping-particle":"","family":"Chen","given":"Jieming","non-dropping-particle":"","parse-names":false,"suffix":""},{"dropping-particle":"","family":"Fu","given":"Yao","non-dropping-particle":"","parse-names":false,"suffix":""},{"dropping-particle":"","family":"Habegger","given":"Lukas","non-dropping-particle":"","parse-names":false,"suffix":""},{"dropping-particle":"","family":"Harmanci","given":"Arif O.","non-dropping-particle":"","parse-names":false,"suffix":""},{"dropping-particle":"","family":"Mu","given":"Xinmeng Jasmine","non-dropping-particle":"","parse-names":false,"suffix":""},{"dropping-particle":"","family":"Sisu","given":"Cristina","non-dropping-particle":"","parse-names":false,"suffix":""},{"dropping-particle":"","family":"Balasubramanian","given":"Suganthi","non-dropping-particle":"","parse-names":false,"suffix":""},{"dropping-particle":"","family":"Jin","given":"Mike","non-dropping-particle":"","parse-names":false,"suffix":""},{"dropping-particle":"","family":"Khurana","given":"Ekta","non-dropping-particle":"","parse-names":false,"suffix":""},{"dropping-particle":"","family":"Clarke","given":"Declan","non-dropping-particle":"","parse-names":false,"suffix":""},{"dropping-particle":"","family":"Michaelson","given":"Jacob J.","non-dropping-particle":"","parse-names":false,"suffix":""},{"dropping-particle":"","family":"OSullivan","given":"Chris","non-dropping-particle":"","parse-names":false,"suffix":""},{"dropping-particle":"","family":"Barnes","given":"Kathleen C.","non-dropping-particle":"","parse-names":false,"suffix":""},{"dropping-particle":"","family":"Gharani","given":"Neda","non-dropping-particle":"","parse-names":false,"suffix":""},{"dropping-particle":"","family":"Toji","given":"Lorraine H.","non-dropping-particle":"","parse-names":false,"suffix":""},{"dropping-particle":"","family":"Gerry","given":"Norman","non-dropping-particle":"","parse-names":false,"suffix":""},{"dropping-particle":"","family":"Kaye","given":"Jane S.","non-dropping-particle":"","parse-names":false,"suffix":""},{"dropping-particle":"","family":"Kent","given":"Alastair","non-dropping-particle":"","parse-names":false,"suffix":""},{"dropping-particle":"","family":"Mathias","given":"Rasika","non-dropping-particle":"","parse-names":false,"suffix":""},{"dropping-particle":"","family":"Ossorio","given":"Pilar N.","non-dropping-particle":"","parse-names":false,"suffix":""},{"dropping-particle":"","family":"Parker","given":"Michael","non-dropping-particle":"","parse-names":false,"suffix":""},{"dropping-particle":"","family":"Rotimi","given":"Charles N.","non-dropping-particle":"","parse-names":false,"suffix":""},{"dropping-particle":"","family":"Royal","given":"Charmaine D.","non-dropping-particle":"","parse-names":false,"suffix":""},{"dropping-particle":"","family":"Tishkoff","given":"Sarah","non-dropping-particle":"","parse-names":false,"suffix":""},{"dropping-particle":"","family":"Via","given":"Marc","non-dropping-particle":"","parse-names":false,"suffix":""},{"dropping-particle":"","family":"Bodmer","given":"Walter","non-dropping-particle":"","parse-names":false,"suffix":""},{"dropping-particle":"","family":"Bedoya","given":"Gabriel","non-dropping-particle":"","parse-names":false,"suffix":""},{"dropping-particle":"","family":"Yang","given":"Gao","non-dropping-particle":"","parse-names":false,"suffix":""},{"dropping-particle":"","family":"You","given":"Chu Jia","non-dropping-particle":"","parse-names":false,"suffix":""},{"dropping-particle":"","family":"Garcia-Montero","given":"Andres","non-dropping-particle":"","parse-names":false,"suffix":""},{"dropping-particle":"","family":"Orfao","given":"Alberto","non-dropping-particle":"","parse-names":false,"suffix":""},{"dropping-particle":"","family":"Dutil","given":"Julie","non-dropping-particle":"","parse-names":false,"suffix":""},{"dropping-particle":"","family":"Brooks","given":"Lisa D.","non-dropping-particle":"","parse-names":false,"suffix":""},{"dropping-particle":"","family":"Felsenfeld","given":"Adam L.","non-dropping-particle":"","parse-names":false,"suffix":""},{"dropping-particle":"","family":"McEwen","given":"Jean E.","non-dropping-particle":"","parse-names":false,"suffix":""},{"dropping-particle":"","family":"Clemm","given":"Nicholas C.","non-dropping-particle":"","parse-names":false,"suffix":""},{"dropping-particle":"","family":"Guyer","given":"Mark S.","non-dropping-particle":"","parse-names":false,"suffix":""},{"dropping-particle":"","family":"Peterson","given":"Jane L.","non-dropping-particle":"","parse-names":false,"suffix":""},{"dropping-particle":"","family":"Duncanson","given":"Audrey","non-dropping-particle":"","parse-names":false,"suffix":""},{"dropping-particle":"","family":"Dunn","given":"Michael","non-dropping-particle":"","parse-names":false,"suffix":""},{"dropping-particle":"","family":"Peltonen","given":"Leena","non-dropping-particle":"","parse-names":false,"suffix":""}],"container-title":"Nature Communications","id":"ITEM-1","issued":{"date-parts":[["2014"]]},"page":"1-9","publisher":"Nature Publishing Group","title":"Integrating sequence and array data to create an improved 1000 Genomes Project haplotype reference panel","type":"article-journal","volume":"5"},"uris":["http://www.mendeley.com/documents/?uuid=5a12f33e-f5f1-4d43-aae0-ed30088aa349"]}],"mendeley":{"formattedCitation":"&lt;sup&gt;8&lt;/sup&gt;","plainTextFormattedCitation":"8","previouslyFormattedCitation":"&lt;sup&gt;8&lt;/sup&gt;"},"properties":{"noteIndex":0},"schema":"https://github.com/citation-style-language/schema/raw/master/csl-citation.json"}</w:instrText>
      </w:r>
      <w:r w:rsidRPr="008E6E0D">
        <w:rPr>
          <w:sz w:val="20"/>
          <w:szCs w:val="20"/>
        </w:rPr>
        <w:fldChar w:fldCharType="separate"/>
      </w:r>
      <w:r w:rsidR="00371C3F" w:rsidRPr="00371C3F">
        <w:rPr>
          <w:noProof/>
          <w:sz w:val="20"/>
          <w:szCs w:val="20"/>
          <w:vertAlign w:val="superscript"/>
        </w:rPr>
        <w:t>8</w:t>
      </w:r>
      <w:r w:rsidRPr="008E6E0D">
        <w:rPr>
          <w:sz w:val="20"/>
          <w:szCs w:val="20"/>
        </w:rPr>
        <w:fldChar w:fldCharType="end"/>
      </w:r>
      <w:r w:rsidRPr="008E6E0D">
        <w:rPr>
          <w:sz w:val="20"/>
          <w:szCs w:val="20"/>
        </w:rPr>
        <w:t xml:space="preserve"> for phasing haplotypes and Impute2 v2.3</w:t>
      </w:r>
      <w:r w:rsidR="00371C3F">
        <w:rPr>
          <w:sz w:val="20"/>
          <w:szCs w:val="20"/>
        </w:rPr>
        <w:t>.2</w:t>
      </w:r>
      <w:r w:rsidRPr="008E6E0D">
        <w:rPr>
          <w:sz w:val="20"/>
          <w:szCs w:val="20"/>
        </w:rPr>
        <w:fldChar w:fldCharType="begin" w:fldLock="1"/>
      </w:r>
      <w:r w:rsidR="002253CB">
        <w:rPr>
          <w:sz w:val="20"/>
          <w:szCs w:val="20"/>
        </w:rPr>
        <w:instrText>ADDIN CSL_CITATION {"citationItems":[{"id":"ITEM-1","itemData":{"DOI":"10.1371/journal.pgen.1000529","ISSN":"15537390","PMID":"19543373","abstract":"Genotype imputation methods are now being widely used in the analysis of genome-wide association studies. Most imputation analyses to date have used the HapMap as a reference dataset, but new reference panels (such as controls genotyped on multiple SNP chips and densely typed samples from the 1,000 Genomes Project) will soon allow a broader range of SNPs to be imputed with higher accuracy, thereby increasing power. We describe a genotype imputation method (IMPUTE version 2) that is designed to address the challenges presented by these new datasets. The main innovation of our approach is a flexible modelling framework that increases accuracy and combines information across multiple reference panels while remaining computationally feasible. We find that IMPUTE v2 attains higher accuracy than other methods when the HapMap provides the sole reference panel, but that the size of the panel constrains the improvements that can be made. We also find that imputation accuracy can be greatly enhanced by expanding the reference panel to contain thousands of chromosomes and that IMPUTE v2 outperforms other methods in this setting at both rare and common SNPs, with overall error rates that are 15%-20% lower than those of the closest competing method. One particularly challenging aspect of next-generation association studies is to integrate information across multiple reference panels genotyped on different sets of SNPs; we show that our approach to this problem has practical advantages over other suggested solutions. © 2009 Howie et al.","author":[{"dropping-particle":"","family":"Howie","given":"Bryan N.","non-dropping-particle":"","parse-names":false,"suffix":""},{"dropping-particle":"","family":"Donnelly","given":"Peter","non-dropping-particle":"","parse-names":false,"suffix":""},{"dropping-particle":"","family":"Marchini","given":"Jonathan","non-dropping-particle":"","parse-names":false,"suffix":""}],"container-title":"PLoS Genetics","id":"ITEM-1","issue":"6","issued":{"date-parts":[["2009"]]},"title":"A flexible and accurate genotype imputation method for the next generation of genome-wide association studies","type":"article-journal","volume":"5"},"uris":["http://www.mendeley.com/documents/?uuid=46f5c773-a604-4926-8545-18fc91e1df94"]}],"mendeley":{"formattedCitation":"&lt;sup&gt;9&lt;/sup&gt;","plainTextFormattedCitation":"9","previouslyFormattedCitation":"&lt;sup&gt;9&lt;/sup&gt;"},"properties":{"noteIndex":0},"schema":"https://github.com/citation-style-language/schema/raw/master/csl-citation.json"}</w:instrText>
      </w:r>
      <w:r w:rsidRPr="008E6E0D">
        <w:rPr>
          <w:sz w:val="20"/>
          <w:szCs w:val="20"/>
        </w:rPr>
        <w:fldChar w:fldCharType="separate"/>
      </w:r>
      <w:r w:rsidR="00371C3F" w:rsidRPr="00371C3F">
        <w:rPr>
          <w:noProof/>
          <w:sz w:val="20"/>
          <w:szCs w:val="20"/>
          <w:vertAlign w:val="superscript"/>
        </w:rPr>
        <w:t>9</w:t>
      </w:r>
      <w:r w:rsidRPr="008E6E0D">
        <w:rPr>
          <w:sz w:val="20"/>
          <w:szCs w:val="20"/>
        </w:rPr>
        <w:fldChar w:fldCharType="end"/>
      </w:r>
      <w:r w:rsidRPr="008E6E0D">
        <w:rPr>
          <w:sz w:val="20"/>
          <w:szCs w:val="20"/>
        </w:rPr>
        <w:t xml:space="preserve"> using </w:t>
      </w:r>
      <w:r w:rsidR="00A334E1">
        <w:rPr>
          <w:sz w:val="20"/>
          <w:szCs w:val="20"/>
        </w:rPr>
        <w:t xml:space="preserve">the </w:t>
      </w:r>
      <w:r w:rsidRPr="008E6E0D">
        <w:rPr>
          <w:sz w:val="20"/>
          <w:szCs w:val="20"/>
        </w:rPr>
        <w:t>T1DGC HLA Reference Panel with SNP2HLA</w:t>
      </w:r>
      <w:r w:rsidRPr="008E6E0D">
        <w:rPr>
          <w:sz w:val="20"/>
          <w:szCs w:val="20"/>
        </w:rPr>
        <w:fldChar w:fldCharType="begin" w:fldLock="1"/>
      </w:r>
      <w:r w:rsidR="002253CB">
        <w:rPr>
          <w:sz w:val="20"/>
          <w:szCs w:val="20"/>
        </w:rPr>
        <w:instrText>ADDIN CSL_CITATION {"citationItems":[{"id":"ITEM-1","itemData":{"DOI":"10.1371/journal.pone.0064683","ISSN":"19326203","PMID":"23762245","abstract":"DNA sequence variation within human leukocyte antigen (HLA) genes mediate susceptibility to a wide range of human diseases. The complex genetic structure of the major histocompatibility complex (MHC) makes it difficult, however, to collect genotyping data in large cohorts. Long-range linkage disequilibrium between HLA loci and SNP markers across the major histocompatibility complex (MHC) region offers an alternative approach through imputation to interrogate HLA variation in existing GWAS data sets. Here we describe a computational strategy, SNP2HLA, to impute classical alleles and amino acid polymorphisms at class I (HLA-A, -B, -C) and class II (-DPA1, -DPB1, -DQA1, -DQB1, and -DRB1) loci. To characterize performance of SNP2HLA, we constructed two European ancestry reference panels, one based on data collected in HapMap-CEPH pedigrees (90 individuals) and another based on data collected by the Type 1 Diabetes Genetics Consortium (T1DGC, 5,225 individuals). We imputed HLA alleles in an independent data set from the British 1958 Birth Cohort (N = 918) with gold standard four-digit HLA types and SNPs genotyped using the Affymetrix GeneChip 500 K and Illumina Immunochip microarrays. We demonstrate that the sample size of the reference panel, rather than SNP density of the genotyping platform, is critical to achieve high imputation accuracy. Using the larger T1DGC reference panel, the average accuracy at four-digit resolution is 94.7% using the low-density Affymetrix GeneChip 500 K, and 96.7% using the high-density Illumina Immunochip. For amino acid polymorphisms within HLA genes, we achieve 98.6% and 99.3% accuracy using the Affymetrix GeneChip 500 K and Illumina Immunochip, respectively. Finally, we demonstrate how imputation and association testing at amino acid resolution can facilitate fine-mapping of primary MHC association signals, giving a specific example from type 1 diabetes. © 2013 Jia et al.","author":[{"dropping-particle":"","family":"Jia","given":"Xiaoming","non-dropping-particle":"","parse-names":false,"suffix":""},{"dropping-particle":"","family":"Han","given":"Buhm","non-dropping-particle":"","parse-names":false,"suffix":""},{"dropping-particle":"","family":"Onengut-Gumuscu","given":"Suna","non-dropping-particle":"","parse-names":false,"suffix":""},{"dropping-particle":"","family":"Chen","given":"Wei Min","non-dropping-particle":"","parse-names":false,"suffix":""},{"dropping-particle":"","family":"Concannon","given":"Patrick J.","non-dropping-particle":"","parse-names":false,"suffix":""},{"dropping-particle":"","family":"Rich","given":"Stephen S.","non-dropping-particle":"","parse-names":false,"suffix":""},{"dropping-particle":"","family":"Raychaudhuri","given":"Soumya","non-dropping-particle":"","parse-names":false,"suffix":""},{"dropping-particle":"","family":"Bakker","given":"Paul I.W.","non-dropping-particle":"de","parse-names":false,"suffix":""}],"container-title":"PLoS ONE","id":"ITEM-1","issue":"6","issued":{"date-parts":[["2013"]]},"title":"Imputing Amino Acid Polymorphisms in Human Leukocyte Antigens","type":"article-journal","volume":"8"},"uris":["http://www.mendeley.com/documents/?uuid=240eaf52-5f77-4d23-b1ac-cf578ee51c96"]}],"mendeley":{"formattedCitation":"&lt;sup&gt;10&lt;/sup&gt;","plainTextFormattedCitation":"10","previouslyFormattedCitation":"&lt;sup&gt;10&lt;/sup&gt;"},"properties":{"noteIndex":0},"schema":"https://github.com/citation-style-language/schema/raw/master/csl-citation.json"}</w:instrText>
      </w:r>
      <w:r w:rsidRPr="008E6E0D">
        <w:rPr>
          <w:sz w:val="20"/>
          <w:szCs w:val="20"/>
        </w:rPr>
        <w:fldChar w:fldCharType="separate"/>
      </w:r>
      <w:r w:rsidR="00371C3F" w:rsidRPr="00371C3F">
        <w:rPr>
          <w:noProof/>
          <w:sz w:val="20"/>
          <w:szCs w:val="20"/>
          <w:vertAlign w:val="superscript"/>
        </w:rPr>
        <w:t>10</w:t>
      </w:r>
      <w:r w:rsidRPr="008E6E0D">
        <w:rPr>
          <w:sz w:val="20"/>
          <w:szCs w:val="20"/>
        </w:rPr>
        <w:fldChar w:fldCharType="end"/>
      </w:r>
      <w:r w:rsidRPr="008E6E0D">
        <w:rPr>
          <w:sz w:val="20"/>
          <w:szCs w:val="20"/>
        </w:rPr>
        <w:t>. Variants with MAF &lt;0.01 or with a low imputation quality (Rsq &lt;0.3) were excluded from the analysis. The X chromosome was analysed separately for men and women, following all quality controls described above</w:t>
      </w:r>
      <w:r w:rsidR="00A334E1">
        <w:rPr>
          <w:sz w:val="20"/>
          <w:szCs w:val="20"/>
        </w:rPr>
        <w:t>,</w:t>
      </w:r>
      <w:r w:rsidRPr="008E6E0D">
        <w:rPr>
          <w:sz w:val="20"/>
          <w:szCs w:val="20"/>
        </w:rPr>
        <w:t xml:space="preserve"> although with SNP filtering based on HWE deviations calculated from females, and then meta-analysed.</w:t>
      </w:r>
    </w:p>
    <w:p w14:paraId="7B61C5CC" w14:textId="6446AF88" w:rsidR="00525E23" w:rsidRPr="008E6E0D" w:rsidRDefault="00D949E1" w:rsidP="001E4AB0">
      <w:pPr>
        <w:spacing w:before="100" w:beforeAutospacing="1" w:after="100" w:afterAutospacing="1" w:line="360" w:lineRule="auto"/>
        <w:jc w:val="both"/>
        <w:rPr>
          <w:sz w:val="20"/>
          <w:szCs w:val="20"/>
        </w:rPr>
      </w:pPr>
      <w:r w:rsidRPr="008E6E0D">
        <w:rPr>
          <w:color w:val="000000"/>
          <w:sz w:val="20"/>
          <w:szCs w:val="20"/>
        </w:rPr>
        <w:t xml:space="preserve">In MESSI, SNPs were genotyped using the </w:t>
      </w:r>
      <w:r w:rsidR="006A6624" w:rsidRPr="008E6E0D">
        <w:rPr>
          <w:color w:val="000000"/>
          <w:sz w:val="20"/>
          <w:szCs w:val="20"/>
        </w:rPr>
        <w:t>Axiom TxArray v.1 (</w:t>
      </w:r>
      <w:r w:rsidR="00A334E1" w:rsidRPr="008E6E0D">
        <w:rPr>
          <w:sz w:val="20"/>
          <w:szCs w:val="20"/>
        </w:rPr>
        <w:t>Thermo Fisher Scientific</w:t>
      </w:r>
      <w:r w:rsidR="006A6624" w:rsidRPr="008E6E0D">
        <w:rPr>
          <w:color w:val="000000"/>
          <w:sz w:val="20"/>
          <w:szCs w:val="20"/>
        </w:rPr>
        <w:t>)</w:t>
      </w:r>
      <w:r w:rsidRPr="008E6E0D">
        <w:rPr>
          <w:sz w:val="20"/>
          <w:szCs w:val="20"/>
        </w:rPr>
        <w:t>. SNPs were filtered out if they were on sex chromosomes, had a MAF &lt;0.01, deviated from HWE (p&lt;1.0x10</w:t>
      </w:r>
      <w:r w:rsidRPr="008E6E0D">
        <w:rPr>
          <w:sz w:val="20"/>
          <w:szCs w:val="20"/>
          <w:vertAlign w:val="superscript"/>
        </w:rPr>
        <w:t>-6</w:t>
      </w:r>
      <w:r w:rsidRPr="008E6E0D">
        <w:rPr>
          <w:sz w:val="20"/>
          <w:szCs w:val="20"/>
        </w:rPr>
        <w:t>), or had a genotyping call rate &lt;95%</w:t>
      </w:r>
      <w:r w:rsidR="007239E4">
        <w:rPr>
          <w:sz w:val="20"/>
          <w:szCs w:val="20"/>
        </w:rPr>
        <w:t>.</w:t>
      </w:r>
      <w:r w:rsidRPr="008E6E0D">
        <w:rPr>
          <w:sz w:val="20"/>
          <w:szCs w:val="20"/>
        </w:rPr>
        <w:t xml:space="preserve"> Pre-phasing and variant imputation were conducted on Michigan Imputation Serve</w:t>
      </w:r>
      <w:r w:rsidR="007239E4">
        <w:rPr>
          <w:sz w:val="20"/>
          <w:szCs w:val="20"/>
        </w:rPr>
        <w:t>r</w:t>
      </w:r>
      <w:r w:rsidRPr="008E6E0D">
        <w:rPr>
          <w:sz w:val="20"/>
          <w:szCs w:val="20"/>
        </w:rPr>
        <w:t xml:space="preserve"> using Minimac3 v1.0.5 or Minimac4 v1.5.7 and The 1000 Genomes Project Phase 1 v3 CEU or </w:t>
      </w:r>
      <w:r w:rsidRPr="008E6E0D">
        <w:rPr>
          <w:color w:val="212529"/>
          <w:sz w:val="20"/>
          <w:szCs w:val="20"/>
          <w:shd w:val="clear" w:color="auto" w:fill="FFFFFF"/>
        </w:rPr>
        <w:t>CAAPA African American Panel</w:t>
      </w:r>
      <w:r w:rsidRPr="008E6E0D">
        <w:rPr>
          <w:sz w:val="20"/>
          <w:szCs w:val="20"/>
        </w:rPr>
        <w:t xml:space="preserve"> as the reference panel.</w:t>
      </w:r>
    </w:p>
    <w:p w14:paraId="71335374" w14:textId="4ACB7C06" w:rsidR="00D64B81" w:rsidRPr="008E6E0D" w:rsidRDefault="00D64B81" w:rsidP="00D64B81">
      <w:pPr>
        <w:spacing w:before="100" w:beforeAutospacing="1" w:after="100" w:afterAutospacing="1" w:line="360" w:lineRule="auto"/>
        <w:jc w:val="both"/>
        <w:rPr>
          <w:b/>
          <w:szCs w:val="20"/>
          <w:u w:val="single"/>
        </w:rPr>
      </w:pPr>
      <w:r w:rsidRPr="008E6E0D">
        <w:rPr>
          <w:b/>
          <w:szCs w:val="20"/>
          <w:u w:val="single"/>
        </w:rPr>
        <w:t>Genome-wide association study of 28-day sepsis survival</w:t>
      </w:r>
    </w:p>
    <w:p w14:paraId="59158B11" w14:textId="23B4E574" w:rsidR="00D64B81" w:rsidRPr="008E6E0D" w:rsidRDefault="00D64B81" w:rsidP="00D64B81">
      <w:pPr>
        <w:spacing w:before="100" w:beforeAutospacing="1" w:after="100" w:afterAutospacing="1" w:line="360" w:lineRule="auto"/>
        <w:jc w:val="both"/>
        <w:rPr>
          <w:sz w:val="20"/>
          <w:szCs w:val="20"/>
        </w:rPr>
      </w:pPr>
      <w:r w:rsidRPr="008E6E0D">
        <w:rPr>
          <w:sz w:val="20"/>
          <w:szCs w:val="20"/>
        </w:rPr>
        <w:t xml:space="preserve">In the first stage, </w:t>
      </w:r>
      <w:r w:rsidR="00371C3F">
        <w:rPr>
          <w:sz w:val="20"/>
          <w:szCs w:val="20"/>
        </w:rPr>
        <w:t>we used the gwasurvivr v1.5.0</w:t>
      </w:r>
      <w:r w:rsidR="00C2679F" w:rsidRPr="008E6E0D">
        <w:rPr>
          <w:sz w:val="20"/>
          <w:szCs w:val="20"/>
        </w:rPr>
        <w:fldChar w:fldCharType="begin" w:fldLock="1"/>
      </w:r>
      <w:r w:rsidR="002253CB">
        <w:rPr>
          <w:sz w:val="20"/>
          <w:szCs w:val="20"/>
        </w:rPr>
        <w:instrText>ADDIN CSL_CITATION {"citationItems":[{"id":"ITEM-1","itemData":{"DOI":"10.1093/bioinformatics/bty920","ISSN":"14602059","PMID":"30395168","abstract":"Summary: To address the limited software options for performing survival analyses with millions of SNPs, we developed gwasurvivr, an R/Bioconductor package with a simple interface for conducting genome-wide survival analyses using VCF (outputted from Michigan or Sanger imputation servers), IMPUTE2 or PLINK files. To decrease the number of iterations needed for convergence when optimizing the parameter estimates in the Cox model, we modified the R package survival; covariates in the model are first fit without the SNP, and those parameter estimates are used as initial points. We benchmarked gwasurvivr with other software capable of conducting genome-wide survival analysis (genipe, SurvivalGWAS-SV and GWASTools). gwasurvivr is significantly faster and shows better scalability as sample size, number of SNPs and number of covariates increases. Availability and implementation: gwasurvivr, including source code, documentation and vignette are available at: http://bioconductor.org/packages/gwasurvivr. Supplementary information: Supplementary data are available at Bioinformatics online.","author":[{"dropping-particle":"","family":"Rizvi","given":"Abbas A.","non-dropping-particle":"","parse-names":false,"suffix":""},{"dropping-particle":"","family":"Karaesmen","given":"Ezgi","non-dropping-particle":"","parse-names":false,"suffix":""},{"dropping-particle":"","family":"Morgan","given":"Martin","non-dropping-particle":"","parse-names":false,"suffix":""},{"dropping-particle":"","family":"Preus","given":"Leah","non-dropping-particle":"","parse-names":false,"suffix":""},{"dropping-particle":"","family":"Wang","given":"Junke","non-dropping-particle":"","parse-names":false,"suffix":""},{"dropping-particle":"","family":"Sovic","given":"Michael","non-dropping-particle":"","parse-names":false,"suffix":""},{"dropping-particle":"","family":"Hahn","given":"Theresa","non-dropping-particle":"","parse-names":false,"suffix":""},{"dropping-particle":"","family":"Sucheston-Campbell","given":"Lara E.","non-dropping-particle":"","parse-names":false,"suffix":""}],"container-title":"Bioinformatics","id":"ITEM-1","issue":"11","issued":{"date-parts":[["2019"]]},"page":"1968-1970","title":"Gwasurvivr: An R package for genome-wide survival analysis","type":"article-journal","volume":"35"},"uris":["http://www.mendeley.com/documents/?uuid=a7e41a5c-4787-4cfb-bfcd-363922268387"]}],"mendeley":{"formattedCitation":"&lt;sup&gt;11&lt;/sup&gt;","plainTextFormattedCitation":"11","previouslyFormattedCitation":"&lt;sup&gt;11&lt;/sup&gt;"},"properties":{"noteIndex":0},"schema":"https://github.com/citation-style-language/schema/raw/master/csl-citation.json"}</w:instrText>
      </w:r>
      <w:r w:rsidR="00C2679F" w:rsidRPr="008E6E0D">
        <w:rPr>
          <w:sz w:val="20"/>
          <w:szCs w:val="20"/>
        </w:rPr>
        <w:fldChar w:fldCharType="separate"/>
      </w:r>
      <w:r w:rsidR="00371C3F" w:rsidRPr="00371C3F">
        <w:rPr>
          <w:noProof/>
          <w:sz w:val="20"/>
          <w:szCs w:val="20"/>
          <w:vertAlign w:val="superscript"/>
        </w:rPr>
        <w:t>11</w:t>
      </w:r>
      <w:r w:rsidR="00C2679F" w:rsidRPr="008E6E0D">
        <w:rPr>
          <w:sz w:val="20"/>
          <w:szCs w:val="20"/>
        </w:rPr>
        <w:fldChar w:fldCharType="end"/>
      </w:r>
      <w:r w:rsidR="00C2679F" w:rsidRPr="008E6E0D">
        <w:rPr>
          <w:sz w:val="20"/>
          <w:szCs w:val="20"/>
          <w:vertAlign w:val="superscript"/>
        </w:rPr>
        <w:t xml:space="preserve"> </w:t>
      </w:r>
      <w:r w:rsidR="00C2679F" w:rsidRPr="008E6E0D">
        <w:rPr>
          <w:sz w:val="20"/>
          <w:szCs w:val="20"/>
        </w:rPr>
        <w:t xml:space="preserve">package in R </w:t>
      </w:r>
      <w:r w:rsidRPr="008E6E0D">
        <w:rPr>
          <w:sz w:val="20"/>
          <w:szCs w:val="20"/>
        </w:rPr>
        <w:t xml:space="preserve">to test genetic associations. </w:t>
      </w:r>
      <w:r w:rsidR="00C2679F" w:rsidRPr="008E6E0D">
        <w:rPr>
          <w:sz w:val="20"/>
          <w:szCs w:val="20"/>
        </w:rPr>
        <w:t>The meta-analysis of the two GEN-SEP recruitment periods was</w:t>
      </w:r>
      <w:r w:rsidR="00371C3F">
        <w:rPr>
          <w:sz w:val="20"/>
          <w:szCs w:val="20"/>
        </w:rPr>
        <w:t xml:space="preserve"> performed with METASOFT v2.0.1</w:t>
      </w:r>
      <w:r w:rsidR="00C2679F" w:rsidRPr="008E6E0D">
        <w:rPr>
          <w:sz w:val="20"/>
          <w:szCs w:val="20"/>
        </w:rPr>
        <w:fldChar w:fldCharType="begin" w:fldLock="1"/>
      </w:r>
      <w:r w:rsidR="002253CB">
        <w:rPr>
          <w:sz w:val="20"/>
          <w:szCs w:val="20"/>
        </w:rPr>
        <w:instrText>ADDIN CSL_CITATION {"citationItems":[{"id":"ITEM-1","itemData":{"DOI":"10.1016/j.ajhg.2011.04.014","ISSN":"00029297","PMID":"21565292","abstract":"Meta-analysis is an increasingly popular tool for combining multiple different genome-wide association studies (GWASs) in a single aggregate analysis in order to identify associations with very small effect sizes. Because the data of a meta-analysis can be heterogeneous, referring to the differences in effect sizes between the collected studies, what is often done in the literature is to apply both the fixed-effects model (FE) under an assumption of the same effect size between studies and the random-effects model (RE) under an assumption of varying effect size between studies. However, surprisingly, RE gives less significant p values than FE at variants that actually show varying effect sizes between studies. This is ironic because RE is designed specifically for the case in which there is heterogeneity. As a result, usually, RE does not discover any associations that FE did not discover. In this paper, we show that the underlying reason for this phenomenon is that RE implicitly assumes a markedly conservative null-hypothesis model, and we present a new random-effects model that relaxes the conservative assumption. Unlike the traditional RE, the new method is shown to achieve higher statistical power than FE when there is heterogeneity, indicating that the new method has practical utility for discovering associations in the meta-analysis of GWASs. © 2011 The American Society of Human Genetics.","author":[{"dropping-particle":"","family":"Han","given":"Buhm","non-dropping-particle":"","parse-names":false,"suffix":""},{"dropping-particle":"","family":"Eskin","given":"Eleazar","non-dropping-particle":"","parse-names":false,"suffix":""}],"container-title":"American Journal of Human Genetics","id":"ITEM-1","issue":"5","issued":{"date-parts":[["2011"]]},"page":"586-598","publisher":"The American Society of Human Genetics","title":"Random-effects model aimed at discovering associations in meta-analysis of genome-wide association studies","type":"article-journal","volume":"88"},"uris":["http://www.mendeley.com/documents/?uuid=837b7fbe-e19c-4c3a-80b8-63021d73f409"]}],"mendeley":{"formattedCitation":"&lt;sup&gt;12&lt;/sup&gt;","plainTextFormattedCitation":"12","previouslyFormattedCitation":"&lt;sup&gt;12&lt;/sup&gt;"},"properties":{"noteIndex":0},"schema":"https://github.com/citation-style-language/schema/raw/master/csl-citation.json"}</w:instrText>
      </w:r>
      <w:r w:rsidR="00C2679F" w:rsidRPr="008E6E0D">
        <w:rPr>
          <w:sz w:val="20"/>
          <w:szCs w:val="20"/>
        </w:rPr>
        <w:fldChar w:fldCharType="separate"/>
      </w:r>
      <w:r w:rsidR="00371C3F" w:rsidRPr="00371C3F">
        <w:rPr>
          <w:noProof/>
          <w:sz w:val="20"/>
          <w:szCs w:val="20"/>
          <w:vertAlign w:val="superscript"/>
        </w:rPr>
        <w:t>12</w:t>
      </w:r>
      <w:r w:rsidR="00C2679F" w:rsidRPr="008E6E0D">
        <w:rPr>
          <w:sz w:val="20"/>
          <w:szCs w:val="20"/>
        </w:rPr>
        <w:fldChar w:fldCharType="end"/>
      </w:r>
      <w:r w:rsidR="00C2679F" w:rsidRPr="008E6E0D">
        <w:rPr>
          <w:sz w:val="20"/>
          <w:szCs w:val="20"/>
        </w:rPr>
        <w:t xml:space="preserve">. </w:t>
      </w:r>
      <w:r w:rsidRPr="008E6E0D">
        <w:rPr>
          <w:sz w:val="20"/>
          <w:szCs w:val="20"/>
        </w:rPr>
        <w:t>The independence of prioritized variants was assessed by linkage disequilibrium (LD)-b</w:t>
      </w:r>
      <w:r w:rsidR="00371C3F">
        <w:rPr>
          <w:sz w:val="20"/>
          <w:szCs w:val="20"/>
        </w:rPr>
        <w:t>ased clumping using PLINK v1.90</w:t>
      </w:r>
      <w:r w:rsidRPr="008E6E0D">
        <w:rPr>
          <w:sz w:val="20"/>
          <w:szCs w:val="20"/>
          <w:vertAlign w:val="superscript"/>
        </w:rPr>
        <w:fldChar w:fldCharType="begin" w:fldLock="1"/>
      </w:r>
      <w:r w:rsidR="002253CB">
        <w:rPr>
          <w:sz w:val="20"/>
          <w:szCs w:val="20"/>
          <w:vertAlign w:val="superscript"/>
        </w:rPr>
        <w:instrText>ADDIN CSL_CITATION {"citationItems":[{"id":"ITEM-1","itemData":{"DOI":"10.1186/s13742-015-0047-8","ISBN":"1374201500478","ISSN":"2047217X","PMID":"25722852","abstract":"Background: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O(√n)-time/constant-space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J.","non-dropping-particle":"","parse-names":false,"suffix":""}],"container-title":"GigaScience","id":"ITEM-1","issue":"1","issued":{"date-parts":[["2015"]]},"page":"1-16","title":"Second-generation PLINK: Rising to the challenge of larger and richer datasets","type":"article-journal","volume":"4"},"uris":["http://www.mendeley.com/documents/?uuid=f96cfe4c-056f-4187-8023-35935b7e8ab1"]}],"mendeley":{"formattedCitation":"&lt;sup&gt;5&lt;/sup&gt;","plainTextFormattedCitation":"5","previouslyFormattedCitation":"&lt;sup&gt;5&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5</w:t>
      </w:r>
      <w:r w:rsidRPr="008E6E0D">
        <w:rPr>
          <w:sz w:val="20"/>
          <w:szCs w:val="20"/>
          <w:vertAlign w:val="superscript"/>
        </w:rPr>
        <w:fldChar w:fldCharType="end"/>
      </w:r>
      <w:r w:rsidR="00C2679F" w:rsidRPr="008E6E0D">
        <w:rPr>
          <w:sz w:val="20"/>
          <w:szCs w:val="20"/>
        </w:rPr>
        <w:t>.</w:t>
      </w:r>
    </w:p>
    <w:p w14:paraId="1F776ED4" w14:textId="029E8644" w:rsidR="00EE24C1" w:rsidRPr="008E6E0D" w:rsidRDefault="00D64B81" w:rsidP="00C2679F">
      <w:pPr>
        <w:spacing w:before="100" w:beforeAutospacing="1" w:after="100" w:afterAutospacing="1" w:line="360" w:lineRule="auto"/>
        <w:jc w:val="both"/>
        <w:rPr>
          <w:sz w:val="20"/>
          <w:szCs w:val="20"/>
        </w:rPr>
      </w:pPr>
      <w:r w:rsidRPr="008E6E0D">
        <w:rPr>
          <w:sz w:val="20"/>
          <w:szCs w:val="20"/>
        </w:rPr>
        <w:t xml:space="preserve">Finally, </w:t>
      </w:r>
      <w:r w:rsidR="001E4AB0" w:rsidRPr="008E6E0D">
        <w:rPr>
          <w:sz w:val="20"/>
          <w:szCs w:val="20"/>
        </w:rPr>
        <w:t xml:space="preserve">in the second stage, </w:t>
      </w:r>
      <w:r w:rsidR="00C2679F" w:rsidRPr="008E6E0D">
        <w:rPr>
          <w:sz w:val="20"/>
          <w:szCs w:val="20"/>
        </w:rPr>
        <w:t>the</w:t>
      </w:r>
      <w:r w:rsidRPr="008E6E0D">
        <w:rPr>
          <w:sz w:val="20"/>
          <w:szCs w:val="20"/>
        </w:rPr>
        <w:t xml:space="preserve"> meta-analysis from the GEN-SEP and MESSI studies was performed with METASOFT v2.0.1</w:t>
      </w:r>
      <w:r w:rsidRPr="008E6E0D">
        <w:rPr>
          <w:sz w:val="20"/>
          <w:szCs w:val="20"/>
        </w:rPr>
        <w:fldChar w:fldCharType="begin" w:fldLock="1"/>
      </w:r>
      <w:r w:rsidR="002253CB">
        <w:rPr>
          <w:sz w:val="20"/>
          <w:szCs w:val="20"/>
        </w:rPr>
        <w:instrText>ADDIN CSL_CITATION {"citationItems":[{"id":"ITEM-1","itemData":{"DOI":"10.1016/j.ajhg.2011.04.014","ISSN":"00029297","PMID":"21565292","abstract":"Meta-analysis is an increasingly popular tool for combining multiple different genome-wide association studies (GWASs) in a single aggregate analysis in order to identify associations with very small effect sizes. Because the data of a meta-analysis can be heterogeneous, referring to the differences in effect sizes between the collected studies, what is often done in the literature is to apply both the fixed-effects model (FE) under an assumption of the same effect size between studies and the random-effects model (RE) under an assumption of varying effect size between studies. However, surprisingly, RE gives less significant p values than FE at variants that actually show varying effect sizes between studies. This is ironic because RE is designed specifically for the case in which there is heterogeneity. As a result, usually, RE does not discover any associations that FE did not discover. In this paper, we show that the underlying reason for this phenomenon is that RE implicitly assumes a markedly conservative null-hypothesis model, and we present a new random-effects model that relaxes the conservative assumption. Unlike the traditional RE, the new method is shown to achieve higher statistical power than FE when there is heterogeneity, indicating that the new method has practical utility for discovering associations in the meta-analysis of GWASs. © 2011 The American Society of Human Genetics.","author":[{"dropping-particle":"","family":"Han","given":"Buhm","non-dropping-particle":"","parse-names":false,"suffix":""},{"dropping-particle":"","family":"Eskin","given":"Eleazar","non-dropping-particle":"","parse-names":false,"suffix":""}],"container-title":"American Journal of Human Genetics","id":"ITEM-1","issue":"5","issued":{"date-parts":[["2011"]]},"page":"586-598","publisher":"The American Society of Human Genetics","title":"Random-effects model aimed at discovering associations in meta-analysis of genome-wide association studies","type":"article-journal","volume":"88"},"uris":["http://www.mendeley.com/documents/?uuid=837b7fbe-e19c-4c3a-80b8-63021d73f409"]}],"mendeley":{"formattedCitation":"&lt;sup&gt;12&lt;/sup&gt;","plainTextFormattedCitation":"12","previouslyFormattedCitation":"&lt;sup&gt;12&lt;/sup&gt;"},"properties":{"noteIndex":0},"schema":"https://github.com/citation-style-language/schema/raw/master/csl-citation.json"}</w:instrText>
      </w:r>
      <w:r w:rsidRPr="008E6E0D">
        <w:rPr>
          <w:sz w:val="20"/>
          <w:szCs w:val="20"/>
        </w:rPr>
        <w:fldChar w:fldCharType="separate"/>
      </w:r>
      <w:r w:rsidR="00371C3F" w:rsidRPr="00371C3F">
        <w:rPr>
          <w:noProof/>
          <w:sz w:val="20"/>
          <w:szCs w:val="20"/>
          <w:vertAlign w:val="superscript"/>
        </w:rPr>
        <w:t>12</w:t>
      </w:r>
      <w:r w:rsidRPr="008E6E0D">
        <w:rPr>
          <w:sz w:val="20"/>
          <w:szCs w:val="20"/>
        </w:rPr>
        <w:fldChar w:fldCharType="end"/>
      </w:r>
      <w:r w:rsidR="00C2679F" w:rsidRPr="008E6E0D">
        <w:rPr>
          <w:sz w:val="20"/>
          <w:szCs w:val="20"/>
        </w:rPr>
        <w:t>.</w:t>
      </w:r>
    </w:p>
    <w:p w14:paraId="36627894" w14:textId="4536671A" w:rsidR="00371C3F" w:rsidRDefault="00371C3F" w:rsidP="00810F63">
      <w:pPr>
        <w:pStyle w:val="xmsonormal"/>
        <w:shd w:val="clear" w:color="auto" w:fill="FFFFFF"/>
        <w:spacing w:line="360" w:lineRule="auto"/>
        <w:jc w:val="both"/>
        <w:rPr>
          <w:rFonts w:eastAsiaTheme="minorHAnsi"/>
          <w:b/>
          <w:szCs w:val="20"/>
          <w:u w:val="single"/>
          <w:lang w:val="en-US" w:eastAsia="en-US"/>
        </w:rPr>
      </w:pPr>
    </w:p>
    <w:p w14:paraId="315407BC" w14:textId="5DFFB8D4" w:rsidR="007A629C" w:rsidRPr="008E6E0D" w:rsidRDefault="007A629C" w:rsidP="00810F63">
      <w:pPr>
        <w:pStyle w:val="xmsonormal"/>
        <w:shd w:val="clear" w:color="auto" w:fill="FFFFFF"/>
        <w:spacing w:line="360" w:lineRule="auto"/>
        <w:jc w:val="both"/>
        <w:rPr>
          <w:szCs w:val="20"/>
          <w:lang w:val="en-US"/>
        </w:rPr>
      </w:pPr>
      <w:r w:rsidRPr="008E6E0D">
        <w:rPr>
          <w:rFonts w:eastAsiaTheme="minorHAnsi"/>
          <w:b/>
          <w:szCs w:val="20"/>
          <w:u w:val="single"/>
          <w:lang w:val="en-US" w:eastAsia="en-US"/>
        </w:rPr>
        <w:lastRenderedPageBreak/>
        <w:t xml:space="preserve">Index event </w:t>
      </w:r>
      <w:r w:rsidR="00B90472" w:rsidRPr="008E6E0D">
        <w:rPr>
          <w:rFonts w:eastAsiaTheme="minorHAnsi"/>
          <w:b/>
          <w:szCs w:val="20"/>
          <w:u w:val="single"/>
          <w:lang w:val="en-US" w:eastAsia="en-US"/>
        </w:rPr>
        <w:t xml:space="preserve">bias </w:t>
      </w:r>
      <w:r w:rsidRPr="008E6E0D">
        <w:rPr>
          <w:rFonts w:eastAsiaTheme="minorHAnsi"/>
          <w:b/>
          <w:szCs w:val="20"/>
          <w:u w:val="single"/>
          <w:lang w:val="en-US" w:eastAsia="en-US"/>
        </w:rPr>
        <w:t>assessment</w:t>
      </w:r>
    </w:p>
    <w:p w14:paraId="5E5B3EF2" w14:textId="5565450F" w:rsidR="007A629C" w:rsidRPr="008E6E0D" w:rsidRDefault="000D26A3" w:rsidP="00810F63">
      <w:pPr>
        <w:spacing w:before="100" w:beforeAutospacing="1" w:after="100" w:afterAutospacing="1" w:line="360" w:lineRule="auto"/>
        <w:jc w:val="both"/>
        <w:rPr>
          <w:sz w:val="20"/>
          <w:szCs w:val="20"/>
        </w:rPr>
      </w:pPr>
      <w:r w:rsidRPr="008E6E0D">
        <w:rPr>
          <w:bCs/>
          <w:sz w:val="20"/>
          <w:szCs w:val="20"/>
        </w:rPr>
        <w:t>Since</w:t>
      </w:r>
      <w:r w:rsidR="0006280E" w:rsidRPr="008E6E0D">
        <w:rPr>
          <w:bCs/>
          <w:sz w:val="20"/>
          <w:szCs w:val="20"/>
        </w:rPr>
        <w:t xml:space="preserve"> we know that case-</w:t>
      </w:r>
      <w:r w:rsidR="007A629C" w:rsidRPr="008E6E0D">
        <w:rPr>
          <w:bCs/>
          <w:sz w:val="20"/>
          <w:szCs w:val="20"/>
        </w:rPr>
        <w:t xml:space="preserve">only analyses can be biased by variants that are associated with disease risk, we used </w:t>
      </w:r>
      <w:r w:rsidR="00AD65D7">
        <w:rPr>
          <w:bCs/>
          <w:sz w:val="20"/>
          <w:szCs w:val="20"/>
        </w:rPr>
        <w:t>the Index Event Bias correction</w:t>
      </w:r>
      <w:r w:rsidR="007A629C" w:rsidRPr="008E6E0D">
        <w:rPr>
          <w:bCs/>
          <w:sz w:val="20"/>
          <w:szCs w:val="20"/>
        </w:rPr>
        <w:fldChar w:fldCharType="begin" w:fldLock="1"/>
      </w:r>
      <w:r w:rsidR="002253CB">
        <w:rPr>
          <w:bCs/>
          <w:sz w:val="20"/>
          <w:szCs w:val="20"/>
        </w:rPr>
        <w:instrText>ADDIN CSL_CITATION {"citationItems":[{"id":"ITEM-1","itemData":{"DOI":"10.1038/s41467-019-09381-w","ISSN":"20411723","PMID":"30952951","abstract":"Following numerous genome-wide association studies of disease susceptibility, there is increasing interest in genetic associations with prognosis, survival or other subsequent events. Such associations are vulnerable to index event bias, by which selection of subjects according to disease status creates biased associations if common causes of incidence and prognosis are not accounted for. We propose an adjustment for index event bias using the residuals from the regression of genetic effects on prognosis on genetic effects on incidence. Our approach eliminates this bias when direct genetic effects on incidence and prognosis are independent, and otherwise reduces bias in realistic situations. In a study of idiopathic pulmonary fibrosis, we reverse a paradoxical association of the strong susceptibility gene MUC5B with increased survival, suggesting instead a significant association with decreased survival. In re-analysis of a study of Crohn’s disease prognosis, four regions remain associated at genome-wide significance but with increased standard errors.","author":[{"dropping-particle":"","family":"Dudbridge","given":"Frank","non-dropping-particle":"","parse-names":false,"suffix":""},{"dropping-particle":"","family":"Allen","given":"Richard J.","non-dropping-particle":"","parse-names":false,"suffix":""},{"dropping-particle":"","family":"Sheehan","given":"Nuala A.","non-dropping-particle":"","parse-names":false,"suffix":""},{"dropping-particle":"","family":"Schmidt","given":"A. Floriaan","non-dropping-particle":"","parse-names":false,"suffix":""},{"dropping-particle":"","family":"Lee","given":"James C.","non-dropping-particle":"","parse-names":false,"suffix":""},{"dropping-particle":"","family":"Jenkins","given":"R. Gisli","non-dropping-particle":"","parse-names":false,"suffix":""},{"dropping-particle":"V.","family":"Wain","given":"Louise","non-dropping-particle":"","parse-names":false,"suffix":""},{"dropping-particle":"","family":"Hingorani","given":"Aroon D.","non-dropping-particle":"","parse-names":false,"suffix":""},{"dropping-particle":"","family":"Patel","given":"Riyaz S.","non-dropping-particle":"","parse-names":false,"suffix":""}],"container-title":"Nature Communications","id":"ITEM-1","issue":"1","issued":{"date-parts":[["2019"]]},"publisher":"Springer US","title":"Adjustment for index event bias in genome-wide association studies of subsequent events","type":"article-journal","volume":"10"},"uris":["http://www.mendeley.com/documents/?uuid=784b9766-da21-4f45-9479-7d9d80e23393"]}],"mendeley":{"formattedCitation":"&lt;sup&gt;13&lt;/sup&gt;","plainTextFormattedCitation":"13","previouslyFormattedCitation":"&lt;sup&gt;13&lt;/sup&gt;"},"properties":{"noteIndex":0},"schema":"https://github.com/citation-style-language/schema/raw/master/csl-citation.json"}</w:instrText>
      </w:r>
      <w:r w:rsidR="007A629C" w:rsidRPr="008E6E0D">
        <w:rPr>
          <w:bCs/>
          <w:sz w:val="20"/>
          <w:szCs w:val="20"/>
        </w:rPr>
        <w:fldChar w:fldCharType="separate"/>
      </w:r>
      <w:r w:rsidR="00371C3F" w:rsidRPr="00371C3F">
        <w:rPr>
          <w:bCs/>
          <w:noProof/>
          <w:sz w:val="20"/>
          <w:szCs w:val="20"/>
          <w:vertAlign w:val="superscript"/>
        </w:rPr>
        <w:t>13</w:t>
      </w:r>
      <w:r w:rsidR="007A629C" w:rsidRPr="008E6E0D">
        <w:rPr>
          <w:bCs/>
          <w:sz w:val="20"/>
          <w:szCs w:val="20"/>
        </w:rPr>
        <w:fldChar w:fldCharType="end"/>
      </w:r>
      <w:r w:rsidR="007A629C" w:rsidRPr="008E6E0D">
        <w:rPr>
          <w:bCs/>
          <w:sz w:val="20"/>
          <w:szCs w:val="20"/>
        </w:rPr>
        <w:t xml:space="preserve">. This method uses effect sizes and standard errors for predictors of an index trait and a subsequent trait. This function adjusts the statistics for the subsequent trait for selection bias through the index trait. </w:t>
      </w:r>
      <w:r w:rsidRPr="008E6E0D">
        <w:rPr>
          <w:bCs/>
          <w:sz w:val="20"/>
          <w:szCs w:val="20"/>
        </w:rPr>
        <w:t>Thus</w:t>
      </w:r>
      <w:r w:rsidR="007A629C" w:rsidRPr="008E6E0D">
        <w:rPr>
          <w:bCs/>
          <w:sz w:val="20"/>
          <w:szCs w:val="20"/>
        </w:rPr>
        <w:t xml:space="preserve">, we </w:t>
      </w:r>
      <w:r w:rsidR="00061740" w:rsidRPr="008E6E0D">
        <w:rPr>
          <w:bCs/>
          <w:sz w:val="20"/>
          <w:szCs w:val="20"/>
        </w:rPr>
        <w:t>used the results from the</w:t>
      </w:r>
      <w:r w:rsidR="007A629C" w:rsidRPr="008E6E0D">
        <w:rPr>
          <w:bCs/>
          <w:sz w:val="20"/>
          <w:szCs w:val="20"/>
        </w:rPr>
        <w:t xml:space="preserve"> sepsis risk </w:t>
      </w:r>
      <w:r w:rsidR="00061740" w:rsidRPr="008E6E0D">
        <w:rPr>
          <w:bCs/>
          <w:sz w:val="20"/>
          <w:szCs w:val="20"/>
        </w:rPr>
        <w:t>study</w:t>
      </w:r>
      <w:r w:rsidR="007A629C" w:rsidRPr="008E6E0D">
        <w:rPr>
          <w:bCs/>
          <w:sz w:val="20"/>
          <w:szCs w:val="20"/>
        </w:rPr>
        <w:t xml:space="preserve"> to use the beta and standard error values and apply the method described above. Using a total of 112,363 independent SNPs and the SIMEX method (with 1</w:t>
      </w:r>
      <w:r w:rsidR="00BB7DE9" w:rsidRPr="008E6E0D">
        <w:rPr>
          <w:bCs/>
          <w:sz w:val="20"/>
          <w:szCs w:val="20"/>
        </w:rPr>
        <w:t>,</w:t>
      </w:r>
      <w:r w:rsidR="007A629C" w:rsidRPr="008E6E0D">
        <w:rPr>
          <w:bCs/>
          <w:sz w:val="20"/>
          <w:szCs w:val="20"/>
        </w:rPr>
        <w:t>000 simulations performed in each</w:t>
      </w:r>
      <w:r w:rsidR="004C0F0E" w:rsidRPr="008E6E0D">
        <w:rPr>
          <w:bCs/>
          <w:sz w:val="20"/>
          <w:szCs w:val="20"/>
        </w:rPr>
        <w:t xml:space="preserve"> stage of the Simex adjustment)</w:t>
      </w:r>
      <w:r w:rsidR="007A629C" w:rsidRPr="008E6E0D">
        <w:rPr>
          <w:bCs/>
          <w:sz w:val="20"/>
          <w:szCs w:val="20"/>
        </w:rPr>
        <w:t xml:space="preserve">, we obtained a </w:t>
      </w:r>
      <w:r w:rsidR="004C0F0E" w:rsidRPr="008E6E0D">
        <w:rPr>
          <w:bCs/>
          <w:sz w:val="20"/>
          <w:szCs w:val="20"/>
        </w:rPr>
        <w:t>maximal coefficient of 0.0116</w:t>
      </w:r>
      <w:r w:rsidR="007A629C" w:rsidRPr="008E6E0D">
        <w:rPr>
          <w:bCs/>
          <w:sz w:val="20"/>
          <w:szCs w:val="20"/>
        </w:rPr>
        <w:t xml:space="preserve"> that was used to correct the effect size and the </w:t>
      </w:r>
      <w:r w:rsidR="007A629C" w:rsidRPr="008E6E0D">
        <w:rPr>
          <w:bCs/>
          <w:i/>
          <w:sz w:val="20"/>
          <w:szCs w:val="20"/>
        </w:rPr>
        <w:t>p-</w:t>
      </w:r>
      <w:r w:rsidR="007A629C" w:rsidRPr="008E6E0D">
        <w:rPr>
          <w:bCs/>
          <w:sz w:val="20"/>
          <w:szCs w:val="20"/>
        </w:rPr>
        <w:t>value of the top hits from our survival GWAS.</w:t>
      </w:r>
    </w:p>
    <w:p w14:paraId="3FCECBE4" w14:textId="77777777" w:rsidR="00AD5B72" w:rsidRPr="008E6E0D" w:rsidRDefault="00193C4E" w:rsidP="00A6709E">
      <w:pPr>
        <w:spacing w:before="100" w:beforeAutospacing="1" w:after="100" w:afterAutospacing="1" w:line="360" w:lineRule="auto"/>
        <w:jc w:val="both"/>
        <w:rPr>
          <w:rFonts w:eastAsiaTheme="minorHAnsi"/>
          <w:b/>
          <w:szCs w:val="20"/>
          <w:u w:val="single"/>
        </w:rPr>
      </w:pPr>
      <w:r w:rsidRPr="008E6E0D">
        <w:rPr>
          <w:rFonts w:eastAsiaTheme="minorHAnsi"/>
          <w:b/>
          <w:szCs w:val="20"/>
          <w:u w:val="single"/>
        </w:rPr>
        <w:t>Annotation of the functional effects</w:t>
      </w:r>
      <w:r w:rsidR="00EF2301" w:rsidRPr="008E6E0D">
        <w:rPr>
          <w:rFonts w:eastAsiaTheme="minorHAnsi"/>
          <w:b/>
          <w:szCs w:val="20"/>
          <w:u w:val="single"/>
        </w:rPr>
        <w:t xml:space="preserve"> of associated variants and related genes</w:t>
      </w:r>
    </w:p>
    <w:p w14:paraId="0344E97E" w14:textId="0E512CB4" w:rsidR="000D078B" w:rsidRPr="008E6E0D" w:rsidRDefault="00C6743D" w:rsidP="00A6709E">
      <w:pPr>
        <w:spacing w:before="100" w:beforeAutospacing="1" w:after="100" w:afterAutospacing="1" w:line="360" w:lineRule="auto"/>
        <w:jc w:val="both"/>
        <w:rPr>
          <w:rFonts w:eastAsiaTheme="minorHAnsi"/>
          <w:b/>
          <w:sz w:val="20"/>
          <w:szCs w:val="20"/>
          <w:u w:val="single"/>
        </w:rPr>
      </w:pPr>
      <w:r w:rsidRPr="008E6E0D">
        <w:rPr>
          <w:sz w:val="20"/>
          <w:szCs w:val="20"/>
        </w:rPr>
        <w:t xml:space="preserve">LDproxy module from LDLink </w:t>
      </w:r>
      <w:r w:rsidR="009168CB">
        <w:rPr>
          <w:sz w:val="20"/>
          <w:szCs w:val="20"/>
        </w:rPr>
        <w:t>v</w:t>
      </w:r>
      <w:r w:rsidRPr="008E6E0D">
        <w:rPr>
          <w:sz w:val="20"/>
          <w:szCs w:val="20"/>
        </w:rPr>
        <w:t xml:space="preserve">4.1.0 was used to obtain proxies of the sentinel variants in European reference </w:t>
      </w:r>
      <w:r w:rsidR="00AD65D7">
        <w:rPr>
          <w:sz w:val="20"/>
          <w:szCs w:val="20"/>
        </w:rPr>
        <w:t>data</w:t>
      </w:r>
      <w:r w:rsidR="000D26A3" w:rsidRPr="008E6E0D">
        <w:rPr>
          <w:sz w:val="20"/>
          <w:szCs w:val="20"/>
        </w:rPr>
        <w:fldChar w:fldCharType="begin" w:fldLock="1"/>
      </w:r>
      <w:r w:rsidR="002253CB">
        <w:rPr>
          <w:sz w:val="20"/>
          <w:szCs w:val="20"/>
        </w:rPr>
        <w:instrText>ADDIN CSL_CITATION {"citationItems":[{"id":"ITEM-1","itemData":{"DOI":"10.1093/bioinformatics/btv402","ISSN":"14602059","PMID":"26139635","abstract":"Summary: Assessing linkage disequilibrium (LD) across ancestral populations is a powerful approach for investigating population-specific genetic structure as well as functionally mapping regions of disease susceptibility. Here, we present LDlink, a web-based collection of bioinformatic modules that query single nucleotide polymorphisms (SNPs) in population groups of interest to generate haplotype tables and interactive plots. Modules are designed with an emphasis on ease of use, query flexibility, and interactive visualization of results. Phase 3 haplotype data from the 1000 Genomes Project are referenced for calculating pairwise metrics of LD, searching for proxies in high LD, and enumerating all observed haplotypes. LDlink is tailored for investigators interested in mapping common and uncommon disease susceptibility loci by focusing on output linking correlated alleles and highlighting putative functional variants. Availability and implementation: LDlink is a free and publically available web tool which can be accessed at http://analysistools.nci.nih.gov/LDlink/.","author":[{"dropping-particle":"","family":"Machiela","given":"Mitchell J.","non-dropping-particle":"","parse-names":false,"suffix":""},{"dropping-particle":"","family":"Chanock","given":"Stephen J.","non-dropping-particle":"","parse-names":false,"suffix":""}],"container-title":"Bioinformatics","id":"ITEM-1","issue":"21","issued":{"date-parts":[["2015"]]},"page":"3555-3557","title":"LDlink: A web-based application for exploring population-specific haplotype structure and linking correlated alleles of possible functional variants","type":"article-journal","volume":"31"},"uris":["http://www.mendeley.com/documents/?uuid=f9e6bd2c-a6dd-4418-94c9-4fbcf506862c"]}],"mendeley":{"formattedCitation":"&lt;sup&gt;14&lt;/sup&gt;","plainTextFormattedCitation":"14","previouslyFormattedCitation":"&lt;sup&gt;14&lt;/sup&gt;"},"properties":{"noteIndex":0},"schema":"https://github.com/citation-style-language/schema/raw/master/csl-citation.json"}</w:instrText>
      </w:r>
      <w:r w:rsidR="000D26A3" w:rsidRPr="008E6E0D">
        <w:rPr>
          <w:sz w:val="20"/>
          <w:szCs w:val="20"/>
        </w:rPr>
        <w:fldChar w:fldCharType="separate"/>
      </w:r>
      <w:r w:rsidR="00371C3F" w:rsidRPr="00371C3F">
        <w:rPr>
          <w:noProof/>
          <w:sz w:val="20"/>
          <w:szCs w:val="20"/>
          <w:vertAlign w:val="superscript"/>
        </w:rPr>
        <w:t>14</w:t>
      </w:r>
      <w:r w:rsidR="000D26A3" w:rsidRPr="008E6E0D">
        <w:rPr>
          <w:sz w:val="20"/>
          <w:szCs w:val="20"/>
        </w:rPr>
        <w:fldChar w:fldCharType="end"/>
      </w:r>
      <w:r w:rsidR="000D26A3" w:rsidRPr="008E6E0D">
        <w:rPr>
          <w:sz w:val="20"/>
          <w:szCs w:val="20"/>
        </w:rPr>
        <w:t xml:space="preserve">. </w:t>
      </w:r>
      <w:r w:rsidRPr="008E6E0D">
        <w:rPr>
          <w:sz w:val="20"/>
          <w:szCs w:val="20"/>
        </w:rPr>
        <w:t xml:space="preserve">Then, we used Genotype-Tissue Expression Project (GTEx) </w:t>
      </w:r>
      <w:r w:rsidR="009168CB">
        <w:rPr>
          <w:sz w:val="20"/>
          <w:szCs w:val="20"/>
        </w:rPr>
        <w:t xml:space="preserve">v7 </w:t>
      </w:r>
      <w:r w:rsidRPr="008E6E0D">
        <w:rPr>
          <w:sz w:val="20"/>
          <w:szCs w:val="20"/>
        </w:rPr>
        <w:t>datasets to obtain the local expression quantitative trait loci (eQTLs)</w:t>
      </w:r>
      <w:r w:rsidRPr="008E6E0D">
        <w:rPr>
          <w:rStyle w:val="s1"/>
          <w:sz w:val="20"/>
          <w:szCs w:val="20"/>
        </w:rPr>
        <w:fldChar w:fldCharType="begin" w:fldLock="1"/>
      </w:r>
      <w:r w:rsidR="002253CB">
        <w:rPr>
          <w:rStyle w:val="s1"/>
          <w:sz w:val="20"/>
          <w:szCs w:val="20"/>
        </w:rPr>
        <w:instrText>ADDIN CSL_CITATION {"citationItems":[{"id":"ITEM-1","itemData":{"DOI":"10.1038/ng.2653","ISSN":"10614036","PMID":"23715323","author":[{"dropping-particle":"","family":"Lonsdale","given":"John","non-dropping-particle":"","parse-names":false,"suffix":""},{"dropping-particle":"","family":"Thomas","given":"Jeffrey","non-dropping-particle":"","parse-names":false,"suffix":""},{"dropping-particle":"","family":"Salvatore","given":"Mike","non-dropping-particle":"","parse-names":false,"suffix":""},{"dropping-particle":"","family":"Phillips","given":"Rebecca","non-dropping-particle":"","parse-names":false,"suffix":""},{"dropping-particle":"","family":"Lo","given":"Edmund","non-dropping-particle":"","parse-names":false,"suffix":""},{"dropping-particle":"","family":"Shad","given":"Saboor","non-dropping-particle":"","parse-names":false,"suffix":""},{"dropping-particle":"","family":"Hasz","given":"Richard","non-dropping-particle":"","parse-names":false,"suffix":""},{"dropping-particle":"","family":"Walters","given":"Gary","non-dropping-particle":"","parse-names":false,"suffix":""},{"dropping-particle":"","family":"Garcia","given":"Fernando","non-dropping-particle":"","parse-names":false,"suffix":""},{"dropping-particle":"","family":"Young","given":"Nancy","non-dropping-particle":"","parse-names":false,"suffix":""},{"dropping-particle":"","family":"Foster","given":"Barbara","non-dropping-particle":"","parse-names":false,"suffix":""},{"dropping-particle":"","family":"Moser","given":"Mike","non-dropping-particle":"","parse-names":false,"suffix":""},{"dropping-particle":"","family":"Karasik","given":"Ellen","non-dropping-particle":"","parse-names":false,"suffix":""},{"dropping-particle":"","family":"Gillard","given":"Bryan","non-dropping-particle":"","parse-names":false,"suffix":""},{"dropping-particle":"","family":"Ramsey","given":"Kimberley","non-dropping-particle":"","parse-names":false,"suffix":""},{"dropping-particle":"","family":"Sullivan","given":"Susan","non-dropping-particle":"","parse-names":false,"suffix":""},{"dropping-particle":"","family":"Bridge","given":"Jason","non-dropping-particle":"","parse-names":false,"suffix":""},{"dropping-particle":"","family":"Magazine","given":"Harold","non-dropping-particle":"","parse-names":false,"suffix":""},{"dropping-particle":"","family":"Syron","given":"John","non-dropping-particle":"","parse-names":false,"suffix":""},{"dropping-particle":"","family":"Fleming","given":"Johnelle","non-dropping-particle":"","parse-names":false,"suffix":""},{"dropping-particle":"","family":"Siminoff","given":"Laura","non-dropping-particle":"","parse-names":false,"suffix":""},{"dropping-particle":"","family":"Traino","given":"Heather","non-dropping-particle":"","parse-names":false,"suffix":""},{"dropping-particle":"","family":"Mosavel","given":"Maghboeba","non-dropping-particle":"","parse-names":false,"suffix":""},{"dropping-particle":"","family":"Barker","given":"Laura","non-dropping-particle":"","parse-names":false,"suffix":""},{"dropping-particle":"","family":"Jewell","given":"Scott","non-dropping-particle":"","parse-names":false,"suffix":""},{"dropping-particle":"","family":"Rohrer","given":"Dan","non-dropping-particle":"","parse-names":false,"suffix":""},{"dropping-particle":"","family":"Maxim","given":"Dan","non-dropping-particle":"","parse-names":false,"suffix":""},{"dropping-particle":"","family":"Filkins","given":"Dana","non-dropping-particle":"","parse-names":false,"suffix":""},{"dropping-particle":"","family":"Harbach","given":"Philip","non-dropping-particle":"","parse-names":false,"suffix":""},{"dropping-particle":"","family":"Cortadillo","given":"Eddie","non-dropping-particle":"","parse-names":false,"suffix":""},{"dropping-particle":"","family":"Berghuis","given":"Bree","non-dropping-particle":"","parse-names":false,"suffix":""},{"dropping-particle":"","family":"Turner","given":"Lisa","non-dropping-particle":"","parse-names":false,"suffix":""},{"dropping-particle":"","family":"Hudson","given":"Eric","non-dropping-particle":"","parse-names":false,"suffix":""},{"dropping-particle":"","family":"Feenstra","given":"Kristin","non-dropping-particle":"","parse-names":false,"suffix":""},{"dropping-particle":"","family":"Sobin","given":"Leslie","non-dropping-particle":"","parse-names":false,"suffix":""},{"dropping-particle":"","family":"Robb","given":"James","non-dropping-particle":"","parse-names":false,"suffix":""},{"dropping-particle":"","family":"Branton","given":"Phillip","non-dropping-particle":"","parse-names":false,"suffix":""},{"dropping-particle":"","family":"Korzeniewski","given":"Greg","non-dropping-particle":"","parse-names":false,"suffix":""},{"dropping-particle":"","family":"Shive","given":"Charles","non-dropping-particle":"","parse-names":false,"suffix":""},{"dropping-particle":"","family":"Tabor","given":"David","non-dropping-particle":"","parse-names":false,"suffix":""},{"dropping-particle":"","family":"Qi","given":"Liqun","non-dropping-particle":"","parse-names":false,"suffix":""},{"dropping-particle":"","family":"Groch","given":"Kevin","non-dropping-particle":"","parse-names":false,"suffix":""},{"dropping-particle":"","family":"Nampally","given":"Sreenath","non-dropping-particle":"","parse-names":false,"suffix":""},{"dropping-particle":"","family":"Buia","given":"Steve","non-dropping-particle":"","parse-names":false,"suffix":""},{"dropping-particle":"","family":"Zimmerman","given":"Angela","non-dropping-particle":"","parse-names":false,"suffix":""},{"dropping-particle":"","family":"Smith","given":"Anna","non-dropping-particle":"","parse-names":false,"suffix":""},{"dropping-particle":"","family":"Burges","given":"Robin","non-dropping-particle":"","parse-names":false,"suffix":""},{"dropping-particle":"","family":"Robinson","given":"Karna","non-dropping-particle":"","parse-names":false,"suffix":""},{"dropping-particle":"","family":"Valentino","given":"Kim","non-dropping-particle":"","parse-names":false,"suffix":""},{"dropping-particle":"","family":"Bradbury","given":"Deborah","non-dropping-particle":"","parse-names":false,"suffix":""},{"dropping-particle":"","family":"Cosentino","given":"Mark","non-dropping-particle":"","parse-names":false,"suffix":""},{"dropping-particle":"","family":"Diaz-Mayoral","given":"Norma","non-dropping-particle":"","parse-names":false,"suffix":""},{"dropping-particle":"","family":"Kennedy","given":"Mary","non-dropping-particle":"","parse-names":false,"suffix":""},{"dropping-particle":"","family":"Engel","given":"Theresa","non-dropping-particle":"","parse-names":false,"suffix":""},{"dropping-particle":"","family":"Williams","given":"Penelope","non-dropping-particle":"","parse-names":false,"suffix":""},{"dropping-particle":"","family":"Erickson","given":"Kenyon","non-dropping-particle":"","parse-names":false,"suffix":""},{"dropping-particle":"","family":"Ardlie","given":"Kristin","non-dropping-particle":"","parse-names":false,"suffix":""},{"dropping-particle":"","family":"Winckler","given":"Wendy","non-dropping-particle":"","parse-names":false,"suffix":""},{"dropping-particle":"","family":"Getz","given":"Gad","non-dropping-particle":"","parse-names":false,"suffix":""},{"dropping-particle":"","family":"DeLuca","given":"David","non-dropping-particle":"","parse-names":false,"suffix":""},{"dropping-particle":"","family":"Daniel MacArthur","given":"","non-dropping-particle":"","parse-names":false,"suffix":""},{"dropping-particle":"","family":"Kellis","given":"Manolis","non-dropping-particle":"","parse-names":false,"suffix":""},{"dropping-particle":"","family":"Thomson","given":"Alexander","non-dropping-particle":"","parse-names":false,"suffix":""},{"dropping-particle":"","family":"Young","given":"Taylor","non-dropping-particle":"","parse-names":false,"suffix":""},{"dropping-particle":"","family":"Gelfand","given":"Ellen","non-dropping-particle":"","parse-names":false,"suffix":""},{"dropping-particle":"","family":"Donovan","given":"Molly","non-dropping-particle":"","parse-names":false,"suffix":""},{"dropping-particle":"","family":"Meng","given":"Yan","non-dropping-particle":"","parse-names":false,"suffix":""},{"dropping-particle":"","family":"Grant","given":"George","non-dropping-particle":"","parse-names":false,"suffix":""},{"dropping-particle":"","family":"Mash","given":"Deborah","non-dropping-particle":"","parse-names":false,"suffix":""},{"dropping-particle":"","family":"Marcus","given":"Yvonne","non-dropping-particle":"","parse-names":false,"suffix":""},{"dropping-particle":"","family":"Basile","given":"Margaret","non-dropping-particle":"","parse-names":false,"suffix":""},{"dropping-particle":"","family":"Liu","given":"Jun","non-dropping-particle":"","parse-names":false,"suffix":""},{"dropping-particle":"","family":"Zhu","given":"Jun","non-dropping-particle":"","parse-names":false,"suffix":""},{"dropping-particle":"","family":"Tu","given":"Zhidong","non-dropping-particle":"","parse-names":false,"suffix":""},{"dropping-particle":"","family":"Cox","given":"Nancy J.","non-dropping-particle":"","parse-names":false,"suffix":""},{"dropping-particle":"","family":"Nicolae","given":"Dan L.","non-dropping-particle":"","parse-names":false,"suffix":""},{"dropping-particle":"","family":"Gamazon","given":"Eric R.","non-dropping-particle":"","parse-names":false,"suffix":""},{"dropping-particle":"","family":"Im","given":"Hae Kyung","non-dropping-particle":"","parse-names":false,"suffix":""},{"dropping-particle":"","family":"Konkashbaev","given":"Anuar","non-dropping-particle":"","parse-names":false,"suffix":""},{"dropping-particle":"","family":"Pritchard","given":"Jonathan","non-dropping-particle":"","parse-names":false,"suffix":""},{"dropping-particle":"","family":"Stevens","given":"Matthew","non-dropping-particle":"","parse-names":false,"suffix":""},{"dropping-particle":"","family":"Flutre","given":"Timothèe","non-dropping-particle":"","parse-names":false,"suffix":""},{"dropping-particle":"","family":"Wen","given":"Xiaoquan","non-dropping-particle":"","parse-names":false,"suffix":""},{"dropping-particle":"","family":"Dermitzakis","given":"Emmanouil T.","non-dropping-particle":"","parse-names":false,"suffix":""},{"dropping-particle":"","family":"Lappalainen","given":"Tuuli","non-dropping-particle":"","parse-names":false,"suffix":""},{"dropping-particle":"","family":"Guigo","given":"Roderic","non-dropping-particle":"","parse-names":false,"suffix":""},{"dropping-particle":"","family":"Monlong","given":"Jean","non-dropping-particle":"","parse-names":false,"suffix":""},{"dropping-particle":"","family":"Sammeth","given":"Michael","non-dropping-particle":"","parse-names":false,"suffix":""},{"dropping-particle":"","family":"Koller","given":"Daphne","non-dropping-particle":"","parse-names":false,"suffix":""},{"dropping-particle":"","family":"Battle","given":"Alexis","non-dropping-particle":"","parse-names":false,"suffix":""},{"dropping-particle":"","family":"Mostafavi","given":"Sara","non-dropping-particle":"","parse-names":false,"suffix":""},{"dropping-particle":"","family":"McCarthy","given":"Mark","non-dropping-particle":"","parse-names":false,"suffix":""},{"dropping-particle":"","family":"Rivas","given":"Manual","non-dropping-particle":"","parse-names":false,"suffix":""},{"dropping-particle":"","family":"Maller","given":"Julian","non-dropping-particle":"","parse-names":false,"suffix":""},{"dropping-particle":"","family":"Rusyn","given":"Ivan","non-dropping-particle":"","parse-names":false,"suffix":""},{"dropping-particle":"","family":"Nobel","given":"Andrew","non-dropping-particle":"","parse-names":false,"suffix":""},{"dropping-particle":"","family":"Wright","given":"Fred","non-dropping-particle":"","parse-names":false,"suffix":""},{"dropping-particle":"","family":"Shabalin","given":"Andrey","non-dropping-particle":"","parse-names":false,"suffix":""},{"dropping-particle":"","family":"Feolo","given":"Mike","non-dropping-particle":"","parse-names":false,"suffix":""},{"dropping-particle":"","family":"Sharopova","given":"Nataliya","non-dropping-particle":"","parse-names":false,"suffix":""},{"dropping-particle":"","family":"Sturcke","given":"Anne","non-dropping-particle":"","parse-names":false,"suffix":""},{"dropping-particle":"","family":"Paschal","given":"Justin","non-dropping-particle":"","parse-names":false,"suffix":""},{"dropping-particle":"","family":"Anderson","given":"James M.","non-dropping-particle":"","parse-names":false,"suffix":""},{"dropping-particle":"","family":"Wilder","given":"Elizabeth L.","non-dropping-particle":"","parse-names":false,"suffix":""},{"dropping-particle":"","family":"Derr","given":"Leslie K.","non-dropping-particle":"","parse-names":false,"suffix":""},{"dropping-particle":"","family":"Green","given":"Eric D.","non-dropping-particle":"","parse-names":false,"suffix":""},{"dropping-particle":"","family":"Struewing","given":"Jeffery P.","non-dropping-particle":"","parse-names":false,"suffix":""},{"dropping-particle":"","family":"Temple","given":"Gary","non-dropping-particle":"","parse-names":false,"suffix":""},{"dropping-particle":"","family":"Volpi","given":"Simona","non-dropping-particle":"","parse-names":false,"suffix":""},{"dropping-particle":"","family":"Boyer","given":"Joy T.","non-dropping-particle":"","parse-names":false,"suffix":""},{"dropping-particle":"","family":"Thomson","given":"Elizabeth J.","non-dropping-particle":"","parse-names":false,"suffix":""},{"dropping-particle":"","family":"Guyer","given":"Mark S.","non-dropping-particle":"","parse-names":false,"suffix":""},{"dropping-particle":"","family":"Ng","given":"Cathy","non-dropping-particle":"","parse-names":false,"suffix":""},{"dropping-particle":"","family":"Abdallah","given":"Assya","non-dropping-particle":"","parse-names":false,"suffix":""},{"dropping-particle":"","family":"Colantuoni","given":"Deborah","non-dropping-particle":"","parse-names":false,"suffix":""},{"dropping-particle":"","family":"Insel","given":"Thomas R.","non-dropping-particle":"","parse-names":false,"suffix":""},{"dropping-particle":"","family":"Koester","given":"Susan E.","non-dropping-particle":"","parse-names":false,"suffix":""},{"dropping-particle":"","family":"A Roger Little","given":"","non-dropping-particle":"","parse-names":false,"suffix":""},{"dropping-particle":"","family":"Bender","given":"Patrick K.","non-dropping-particle":"","parse-names":false,"suffix":""},{"dropping-particle":"","family":"Lehner","given":"Thomas","non-dropping-particle":"","parse-names":false,"suffix":""},{"dropping-particle":"","family":"Yao","given":"Yin","non-dropping-particle":"","parse-names":false,"suffix":""},{"dropping-particle":"","family":"Compton","given":"Carolyn C.","non-dropping-particle":"","parse-names":false,"suffix":""},{"dropping-particle":"","family":"Vaught","given":"Jimmie B.","non-dropping-particle":"","parse-names":false,"suffix":""},{"dropping-particle":"","family":"Sawyer","given":"Sherilyn","non-dropping-particle":"","parse-names":false,"suffix":""},{"dropping-particle":"","family":"Lockhart","given":"Nicole C.","non-dropping-particle":"","parse-names":false,"suffix":""},{"dropping-particle":"","family":"Demchok","given":"Joanne","non-dropping-particle":"","parse-names":false,"suffix":""},{"dropping-particle":"","family":"Moore","given":"Helen F.","non-dropping-particle":"","parse-names":false,"suffix":""}],"container-title":"Nature Genetics","id":"ITEM-1","issue":"6","issued":{"date-parts":[["2013"]]},"page":"580-585","title":"The Genotype-Tissue Expression (GTEx) project","type":"article-journal","volume":"45"},"uris":["http://www.mendeley.com/documents/?uuid=2391bae0-c046-414f-acbd-811ad816d393"]}],"mendeley":{"formattedCitation":"&lt;sup&gt;15&lt;/sup&gt;","plainTextFormattedCitation":"15","previouslyFormattedCitation":"&lt;sup&gt;15&lt;/sup&gt;"},"properties":{"noteIndex":0},"schema":"https://github.com/citation-style-language/schema/raw/master/csl-citation.json"}</w:instrText>
      </w:r>
      <w:r w:rsidRPr="008E6E0D">
        <w:rPr>
          <w:rStyle w:val="s1"/>
          <w:sz w:val="20"/>
          <w:szCs w:val="20"/>
        </w:rPr>
        <w:fldChar w:fldCharType="separate"/>
      </w:r>
      <w:r w:rsidR="00371C3F" w:rsidRPr="00371C3F">
        <w:rPr>
          <w:rStyle w:val="s1"/>
          <w:noProof/>
          <w:sz w:val="20"/>
          <w:szCs w:val="20"/>
          <w:vertAlign w:val="superscript"/>
        </w:rPr>
        <w:t>15</w:t>
      </w:r>
      <w:r w:rsidRPr="008E6E0D">
        <w:rPr>
          <w:rStyle w:val="s1"/>
          <w:sz w:val="20"/>
          <w:szCs w:val="20"/>
        </w:rPr>
        <w:fldChar w:fldCharType="end"/>
      </w:r>
      <w:r w:rsidRPr="008E6E0D">
        <w:rPr>
          <w:rStyle w:val="s1"/>
          <w:sz w:val="20"/>
          <w:szCs w:val="20"/>
        </w:rPr>
        <w:t xml:space="preserve">. </w:t>
      </w:r>
      <w:r w:rsidRPr="008E6E0D">
        <w:rPr>
          <w:rStyle w:val="highlight"/>
          <w:sz w:val="20"/>
          <w:szCs w:val="20"/>
        </w:rPr>
        <w:t>HaploRe</w:t>
      </w:r>
      <w:r w:rsidRPr="008E6E0D">
        <w:rPr>
          <w:sz w:val="20"/>
          <w:szCs w:val="20"/>
        </w:rPr>
        <w:t>g v4</w:t>
      </w:r>
      <w:r w:rsidR="00AD65D7">
        <w:rPr>
          <w:sz w:val="20"/>
          <w:szCs w:val="20"/>
          <w:shd w:val="clear" w:color="auto" w:fill="FFFFFF"/>
        </w:rPr>
        <w:t>.1</w:t>
      </w:r>
      <w:r w:rsidRPr="008E6E0D">
        <w:rPr>
          <w:sz w:val="20"/>
          <w:szCs w:val="20"/>
          <w:shd w:val="clear" w:color="auto" w:fill="FFFFFF"/>
        </w:rPr>
        <w:fldChar w:fldCharType="begin" w:fldLock="1"/>
      </w:r>
      <w:r w:rsidR="002253CB">
        <w:rPr>
          <w:sz w:val="20"/>
          <w:szCs w:val="20"/>
          <w:shd w:val="clear" w:color="auto" w:fill="FFFFFF"/>
        </w:rPr>
        <w:instrText>ADDIN CSL_CITATION {"citationItems":[{"id":"ITEM-1","itemData":{"DOI":"10.1093/nar/gkr917","ISSN":"03051048","abstract":"The resolution of genome-wide association studies (GWAS) is limited by the linkage disequilibrium (LD) structure of the population being studied. Selecting the most likely causal variants within an LD block is relatively straightforward within coding sequence, but is more difficult when all variants are intergenic. Predicting functional non-coding sequence has been recently facilitated by the availability of conservation and epigenomic information. We present HaploReg, a tool for exploring annotations of the non-coding genome among the results of published GWAS or novel sets of variants. Using LD information from the 1000 Genomes Project, linked SNPs and small indels can be visualized along with their predicted chromatin state in nine cell types, conservation across mammals and their effect on regulatory motifs. Sets of SNPs, such as those resulting from GWAS, are analyzed for an enrichment of cell type-specific enhancers. HaploReg will be useful to researchers developing mechanistic hypotheses of the impact of non-coding variants on clinical phenotypes and normal variation. The HaploReg database is available at http://compbio.mit.edu/HaploReg. © The Author(s) 2011. Published by Oxford University Press.","author":[{"dropping-particle":"","family":"Ward","given":"Lucas D.","non-dropping-particle":"","parse-names":false,"suffix":""},{"dropping-particle":"","family":"Kellis","given":"Manolis","non-dropping-particle":"","parse-names":false,"suffix":""}],"container-title":"Nucleic Acids Research","id":"ITEM-1","issue":"D1","issued":{"date-parts":[["2012"]]},"page":"930-934","title":"HaploReg: A resource for exploring chromatin states, conservation, and regulatory motif alterations within sets of genetically linked variants","type":"article-journal","volume":"40"},"uris":["http://www.mendeley.com/documents/?uuid=4c8bd289-a259-4c66-9149-f49d8b8b289b"]}],"mendeley":{"formattedCitation":"&lt;sup&gt;16&lt;/sup&gt;","plainTextFormattedCitation":"16","previouslyFormattedCitation":"&lt;sup&gt;16&lt;/sup&gt;"},"properties":{"noteIndex":0},"schema":"https://github.com/citation-style-language/schema/raw/master/csl-citation.json"}</w:instrText>
      </w:r>
      <w:r w:rsidRPr="008E6E0D">
        <w:rPr>
          <w:sz w:val="20"/>
          <w:szCs w:val="20"/>
          <w:shd w:val="clear" w:color="auto" w:fill="FFFFFF"/>
        </w:rPr>
        <w:fldChar w:fldCharType="separate"/>
      </w:r>
      <w:r w:rsidR="00371C3F" w:rsidRPr="00371C3F">
        <w:rPr>
          <w:noProof/>
          <w:sz w:val="20"/>
          <w:szCs w:val="20"/>
          <w:shd w:val="clear" w:color="auto" w:fill="FFFFFF"/>
          <w:vertAlign w:val="superscript"/>
        </w:rPr>
        <w:t>16</w:t>
      </w:r>
      <w:r w:rsidRPr="008E6E0D">
        <w:rPr>
          <w:sz w:val="20"/>
          <w:szCs w:val="20"/>
          <w:shd w:val="clear" w:color="auto" w:fill="FFFFFF"/>
        </w:rPr>
        <w:fldChar w:fldCharType="end"/>
      </w:r>
      <w:r w:rsidRPr="008E6E0D">
        <w:rPr>
          <w:sz w:val="20"/>
          <w:szCs w:val="20"/>
          <w:shd w:val="clear" w:color="auto" w:fill="FFFFFF"/>
        </w:rPr>
        <w:t>, RegulomeDB</w:t>
      </w:r>
      <w:r w:rsidR="009168CB">
        <w:rPr>
          <w:sz w:val="20"/>
          <w:szCs w:val="20"/>
          <w:shd w:val="clear" w:color="auto" w:fill="FFFFFF"/>
        </w:rPr>
        <w:t xml:space="preserve"> v2.0.3</w:t>
      </w:r>
      <w:r w:rsidRPr="008E6E0D">
        <w:rPr>
          <w:sz w:val="20"/>
          <w:szCs w:val="20"/>
          <w:shd w:val="clear" w:color="auto" w:fill="FFFFFF"/>
        </w:rPr>
        <w:fldChar w:fldCharType="begin" w:fldLock="1"/>
      </w:r>
      <w:r w:rsidR="002253CB">
        <w:rPr>
          <w:sz w:val="20"/>
          <w:szCs w:val="20"/>
          <w:shd w:val="clear" w:color="auto" w:fill="FFFFFF"/>
        </w:rPr>
        <w:instrText>ADDIN CSL_CITATION {"citationItems":[{"id":"ITEM-1","itemData":{"DOI":"10.1101/gr.137323.112","ISSN":"10889051","PMID":"22955989","abstract":"As the sequencing of healthy and disease genomes becomes more commonplace, detailed annotation provides interpretation for individual variation responsible for normal and disease phenotypes. Current approaches focus on direct changes in protein coding genes, particularly nonsynonymous mutations that directly affect the gene product. However, most individual variation occurs outside of genes and, indeed, most markers generated from genome-wide association studies (GWAS) identify variants outside of coding segments. Identification of potential regulatory changes that perturb these sites will lead to a better localization of truly functional variants and interpretation of their effects. We have developed a novel approach and database, RegulomeDB, which guides interpretation of regulatory variants in the human genome. RegulomeDB includes high-throughput, experimental data sets from ENCODE and other sources, as well as computational predictions and manual annotations to identify putative regulatory potential and identify functional variants. These data sources are combined into a powerful tool that scores variants to help separate functional variants from a large pool and provides a small set of putative sites with testable hypotheses as to their function. We demonstrate the applicability of this tool to the annotation of noncoding variants from 69 full sequenced genomes as well as that of a personal genome, where thousands of functionally associated variants were identified. Moreover, we demonstrate aGWAS where the database is able to quickly identify the known associated functional variant and provide a hypothesis as to its function. Overall, we expect this approach and resource to be valuable for the annotation of human genome sequences. © 2012, Published by Cold Spring Harbor Laboratory Press.","author":[{"dropping-particle":"","family":"Boyle","given":"Alan P.","non-dropping-particle":"","parse-names":false,"suffix":""},{"dropping-particle":"","family":"Hong","given":"Eurie L.","non-dropping-particle":"","parse-names":false,"suffix":""},{"dropping-particle":"","family":"Hariharan","given":"Manoj","non-dropping-particle":"","parse-names":false,"suffix":""},{"dropping-particle":"","family":"Cheng","given":"Yong","non-dropping-particle":"","parse-names":false,"suffix":""},{"dropping-particle":"","family":"Schaub","given":"Marc A.","non-dropping-particle":"","parse-names":false,"suffix":""},{"dropping-particle":"","family":"Kasowski","given":"Maya","non-dropping-particle":"","parse-names":false,"suffix":""},{"dropping-particle":"","family":"Karczewski","given":"Konrad J.","non-dropping-particle":"","parse-names":false,"suffix":""},{"dropping-particle":"","family":"Park","given":"Julie","non-dropping-particle":"","parse-names":false,"suffix":""},{"dropping-particle":"","family":"Hitz","given":"Benjamin C.","non-dropping-particle":"","parse-names":false,"suffix":""},{"dropping-particle":"","family":"Weng","given":"Shuai","non-dropping-particle":"","parse-names":false,"suffix":""},{"dropping-particle":"","family":"Cherry","given":"J. Michael","non-dropping-particle":"","parse-names":false,"suffix":""},{"dropping-particle":"","family":"Snyder","given":"Michael","non-dropping-particle":"","parse-names":false,"suffix":""}],"container-title":"Genome Research","id":"ITEM-1","issue":"9","issued":{"date-parts":[["2012"]]},"page":"1790-1797","title":"Annotation of functional variation in personal genomes using RegulomeDB","type":"article-journal","volume":"22"},"uris":["http://www.mendeley.com/documents/?uuid=b4a3a0a6-1c3f-49ff-9df1-36143957e308"]}],"mendeley":{"formattedCitation":"&lt;sup&gt;17&lt;/sup&gt;","plainTextFormattedCitation":"17","previouslyFormattedCitation":"&lt;sup&gt;17&lt;/sup&gt;"},"properties":{"noteIndex":0},"schema":"https://github.com/citation-style-language/schema/raw/master/csl-citation.json"}</w:instrText>
      </w:r>
      <w:r w:rsidRPr="008E6E0D">
        <w:rPr>
          <w:sz w:val="20"/>
          <w:szCs w:val="20"/>
          <w:shd w:val="clear" w:color="auto" w:fill="FFFFFF"/>
        </w:rPr>
        <w:fldChar w:fldCharType="separate"/>
      </w:r>
      <w:r w:rsidR="00371C3F" w:rsidRPr="00371C3F">
        <w:rPr>
          <w:noProof/>
          <w:sz w:val="20"/>
          <w:szCs w:val="20"/>
          <w:shd w:val="clear" w:color="auto" w:fill="FFFFFF"/>
          <w:vertAlign w:val="superscript"/>
        </w:rPr>
        <w:t>17</w:t>
      </w:r>
      <w:r w:rsidRPr="008E6E0D">
        <w:rPr>
          <w:sz w:val="20"/>
          <w:szCs w:val="20"/>
          <w:shd w:val="clear" w:color="auto" w:fill="FFFFFF"/>
        </w:rPr>
        <w:fldChar w:fldCharType="end"/>
      </w:r>
      <w:r w:rsidRPr="008E6E0D">
        <w:rPr>
          <w:sz w:val="20"/>
          <w:szCs w:val="20"/>
          <w:shd w:val="clear" w:color="auto" w:fill="FFFFFF"/>
        </w:rPr>
        <w:t xml:space="preserve">, and The </w:t>
      </w:r>
      <w:r w:rsidRPr="008E6E0D">
        <w:rPr>
          <w:sz w:val="20"/>
          <w:szCs w:val="20"/>
        </w:rPr>
        <w:t>Open Targets</w:t>
      </w:r>
      <w:r w:rsidRPr="008E6E0D">
        <w:rPr>
          <w:bCs/>
          <w:sz w:val="20"/>
          <w:szCs w:val="20"/>
        </w:rPr>
        <w:t xml:space="preserve"> </w:t>
      </w:r>
      <w:r w:rsidRPr="008E6E0D">
        <w:rPr>
          <w:sz w:val="20"/>
          <w:szCs w:val="20"/>
        </w:rPr>
        <w:t>Post-GWAS portal</w:t>
      </w:r>
      <w:r w:rsidRPr="008E6E0D">
        <w:rPr>
          <w:bCs/>
          <w:sz w:val="20"/>
          <w:szCs w:val="20"/>
        </w:rPr>
        <w:fldChar w:fldCharType="begin" w:fldLock="1"/>
      </w:r>
      <w:r w:rsidR="002253CB">
        <w:rPr>
          <w:bCs/>
          <w:sz w:val="20"/>
          <w:szCs w:val="20"/>
        </w:rPr>
        <w:instrText>ADDIN CSL_CITATION {"citationItems":[{"id":"ITEM-1","itemData":{"DOI":"10.1093/bioinformatics/btaa020","ISSN":"14602059","PMID":"31930349","abstract":"Motivation: Genome-wide association studies (GWAS) are a powerful method to detect even weak associations between variants and phenotypes; however, many of the identified associated variants are in non-coding regions, and presumably influence gene expression regulation. Identifying potential drug targets, i.e. causal protein-coding genes, therefore, requires crossing the genetics results with functional data. Results: We present a novel data integration pipeline that analyses GWAS results in the light of experimental epigenetic and cis-regulatory datasets, such as ChIP-Seq, Promoter-Capture Hi-C or eQTL, and presents them in a single report, which can be used for inferring likely causal genes. This pipeline was then fed into an interactive data resource.","author":[{"dropping-particle":"","family":"Peat","given":"Gareth","non-dropping-particle":"","parse-names":false,"suffix":""},{"dropping-particle":"","family":"Jones","given":"William","non-dropping-particle":"","parse-names":false,"suffix":""},{"dropping-particle":"","family":"Nuhn","given":"Michael","non-dropping-particle":"","parse-names":false,"suffix":""},{"dropping-particle":"","family":"Marugán","given":"José Carlos","non-dropping-particle":"","parse-names":false,"suffix":""},{"dropping-particle":"","family":"Newell","given":"William","non-dropping-particle":"","parse-names":false,"suffix":""},{"dropping-particle":"","family":"Dunham","given":"Ian","non-dropping-particle":"","parse-names":false,"suffix":""},{"dropping-particle":"","family":"Zerbino","given":"Daniel","non-dropping-particle":"","parse-names":false,"suffix":""}],"container-title":"Bioinformatics","id":"ITEM-1","issue":"9","issued":{"date-parts":[["2020"]]},"page":"2936-2937","title":"The open targets post-GWAS analysis pipeline","type":"article-journal","volume":"36"},"uris":["http://www.mendeley.com/documents/?uuid=7f37c8c4-41b5-4ac7-9638-244f8a3aa048"]}],"mendeley":{"formattedCitation":"&lt;sup&gt;18&lt;/sup&gt;","plainTextFormattedCitation":"18","previouslyFormattedCitation":"&lt;sup&gt;18&lt;/sup&gt;"},"properties":{"noteIndex":0},"schema":"https://github.com/citation-style-language/schema/raw/master/csl-citation.json"}</w:instrText>
      </w:r>
      <w:r w:rsidRPr="008E6E0D">
        <w:rPr>
          <w:bCs/>
          <w:sz w:val="20"/>
          <w:szCs w:val="20"/>
        </w:rPr>
        <w:fldChar w:fldCharType="separate"/>
      </w:r>
      <w:r w:rsidR="00371C3F" w:rsidRPr="00371C3F">
        <w:rPr>
          <w:bCs/>
          <w:noProof/>
          <w:sz w:val="20"/>
          <w:szCs w:val="20"/>
          <w:vertAlign w:val="superscript"/>
        </w:rPr>
        <w:t>18</w:t>
      </w:r>
      <w:r w:rsidRPr="008E6E0D">
        <w:rPr>
          <w:bCs/>
          <w:sz w:val="20"/>
          <w:szCs w:val="20"/>
        </w:rPr>
        <w:fldChar w:fldCharType="end"/>
      </w:r>
      <w:r w:rsidRPr="008E6E0D">
        <w:rPr>
          <w:bCs/>
          <w:sz w:val="20"/>
          <w:szCs w:val="20"/>
        </w:rPr>
        <w:t xml:space="preserve"> were used to </w:t>
      </w:r>
      <w:r w:rsidRPr="008E6E0D">
        <w:rPr>
          <w:sz w:val="20"/>
          <w:szCs w:val="20"/>
          <w:shd w:val="clear" w:color="auto" w:fill="FFFFFF"/>
        </w:rPr>
        <w:t xml:space="preserve">annotate their regulatory potential and to </w:t>
      </w:r>
      <w:r w:rsidRPr="008E6E0D">
        <w:rPr>
          <w:bCs/>
          <w:sz w:val="20"/>
          <w:szCs w:val="20"/>
        </w:rPr>
        <w:t xml:space="preserve">rank their </w:t>
      </w:r>
      <w:r w:rsidRPr="008E6E0D">
        <w:rPr>
          <w:sz w:val="20"/>
          <w:szCs w:val="20"/>
        </w:rPr>
        <w:t xml:space="preserve">functional roles. </w:t>
      </w:r>
      <w:r w:rsidRPr="008E6E0D">
        <w:rPr>
          <w:rStyle w:val="s1"/>
          <w:sz w:val="20"/>
          <w:szCs w:val="20"/>
        </w:rPr>
        <w:t>To quantify the deleterious effects of noncoding</w:t>
      </w:r>
      <w:r w:rsidR="00AD65D7">
        <w:rPr>
          <w:rStyle w:val="s1"/>
          <w:sz w:val="20"/>
          <w:szCs w:val="20"/>
        </w:rPr>
        <w:t xml:space="preserve"> variation, we used SNPDelScore</w:t>
      </w:r>
      <w:r w:rsidRPr="008E6E0D">
        <w:rPr>
          <w:rStyle w:val="s1"/>
          <w:sz w:val="20"/>
          <w:szCs w:val="20"/>
        </w:rPr>
        <w:fldChar w:fldCharType="begin" w:fldLock="1"/>
      </w:r>
      <w:r w:rsidR="002253CB">
        <w:rPr>
          <w:rStyle w:val="s1"/>
          <w:sz w:val="20"/>
          <w:szCs w:val="20"/>
        </w:rPr>
        <w:instrText>ADDIN CSL_CITATION {"citationItems":[{"id":"ITEM-1","itemData":{"DOI":"10.1093/bioinformatics/btx583","ISSN":"14602059","abstract":"Summary Addressing deleterious effects of noncoding mutations is an essential step towards the identification of disease-causal mutations of gene regulatory elements. Several methods for quantifying the deleteriousness of noncoding mutations using artificial intelligence, deep learning and other approaches have been recently proposed. Although the majority of the proposed methods have demonstrated excellent accuracy on different test sets, there is rarely a consensus. In addition, advanced statistical and artificial learning approaches used by these methods make it difficult porting these methods outside of the labs that have developed them. To address these challenges and to transform the methodological advances in predicting deleterious noncoding mutations into a practical resource available for the broader functional genomics and population genetics communities, we developed SNPDelScore, which uses a panel of proposed methods for quantifying deleterious effects of noncoding mutations to precompute and compare the deleteriousness scores of all common SNPs in the human genome in 44 cell lines. The panel of deleteriousness scores of a SNP computed using different methods is supplemented by functional information from the GWAS Catalog, libraries of transcription factor-binding sites, and genic characteristics of mutations. SNPDelScore comes with a genome browser capable of displaying and comparing large sets of SNPs in a genomic locus and rapidly identifying consensus SNPs with the highest deleteriousness scores making those prime candidates for phenotype-causal polymorphisms.","author":[{"dropping-particle":"","family":"Alvarez","given":"Roberto Vera","non-dropping-particle":"","parse-names":false,"suffix":""},{"dropping-particle":"","family":"Li","given":"Shan","non-dropping-particle":"","parse-names":false,"suffix":""},{"dropping-particle":"","family":"Landsman","given":"David","non-dropping-particle":"","parse-names":false,"suffix":""},{"dropping-particle":"","family":"Ovcharenko","given":"Ivan","non-dropping-particle":"","parse-names":false,"suffix":""}],"container-title":"Bioinformatics","id":"ITEM-1","issue":"2","issued":{"date-parts":[["2018"]]},"page":"289-291","title":"SNPDelScore: Combining multiple methods to score deleterious effects of noncoding mutations in the human genome","type":"article-journal","volume":"34"},"uris":["http://www.mendeley.com/documents/?uuid=b89da94f-6337-4f85-8db6-0fffe70a7eaa"]}],"mendeley":{"formattedCitation":"&lt;sup&gt;19&lt;/sup&gt;","plainTextFormattedCitation":"19","previouslyFormattedCitation":"&lt;sup&gt;19&lt;/sup&gt;"},"properties":{"noteIndex":0},"schema":"https://github.com/citation-style-language/schema/raw/master/csl-citation.json"}</w:instrText>
      </w:r>
      <w:r w:rsidRPr="008E6E0D">
        <w:rPr>
          <w:rStyle w:val="s1"/>
          <w:sz w:val="20"/>
          <w:szCs w:val="20"/>
        </w:rPr>
        <w:fldChar w:fldCharType="separate"/>
      </w:r>
      <w:r w:rsidR="00371C3F" w:rsidRPr="00371C3F">
        <w:rPr>
          <w:rStyle w:val="s1"/>
          <w:noProof/>
          <w:sz w:val="20"/>
          <w:szCs w:val="20"/>
          <w:vertAlign w:val="superscript"/>
        </w:rPr>
        <w:t>19</w:t>
      </w:r>
      <w:r w:rsidRPr="008E6E0D">
        <w:rPr>
          <w:rStyle w:val="s1"/>
          <w:sz w:val="20"/>
          <w:szCs w:val="20"/>
        </w:rPr>
        <w:fldChar w:fldCharType="end"/>
      </w:r>
      <w:r w:rsidRPr="008E6E0D">
        <w:rPr>
          <w:rStyle w:val="s1"/>
          <w:sz w:val="20"/>
          <w:szCs w:val="20"/>
        </w:rPr>
        <w:t xml:space="preserve">. </w:t>
      </w:r>
      <w:r w:rsidR="00314EBB" w:rsidRPr="008E6E0D">
        <w:rPr>
          <w:rStyle w:val="s1"/>
          <w:sz w:val="20"/>
          <w:szCs w:val="20"/>
        </w:rPr>
        <w:t xml:space="preserve">We also </w:t>
      </w:r>
      <w:r w:rsidR="00314EBB" w:rsidRPr="008E6E0D">
        <w:rPr>
          <w:sz w:val="20"/>
          <w:szCs w:val="20"/>
          <w:shd w:val="clear" w:color="auto" w:fill="FFFFFF"/>
        </w:rPr>
        <w:t xml:space="preserve">analyzed </w:t>
      </w:r>
      <w:r w:rsidR="00314EBB" w:rsidRPr="008E6E0D">
        <w:rPr>
          <w:rStyle w:val="s1"/>
          <w:sz w:val="20"/>
          <w:szCs w:val="20"/>
        </w:rPr>
        <w:t>long-distance genomic interactions with Capture Hi-C Plotter (CHiCP)</w:t>
      </w:r>
      <w:r w:rsidR="00314EBB" w:rsidRPr="008E6E0D">
        <w:rPr>
          <w:sz w:val="20"/>
          <w:szCs w:val="20"/>
        </w:rPr>
        <w:fldChar w:fldCharType="begin" w:fldLock="1"/>
      </w:r>
      <w:r w:rsidR="002253CB">
        <w:rPr>
          <w:sz w:val="20"/>
          <w:szCs w:val="20"/>
        </w:rPr>
        <w:instrText>ADDIN CSL_CITATION {"citationItems":[{"id":"ITEM-1","itemData":{"DOI":"10.1093/bioinformatics/btw173","ISSN":"14602059","abstract":"Summary: Promoter capture Hi-C (PCHi-C) allows the genome-wide interrogation of physical interactions between distal DNA regulatory elements and gene promoters in multiple tissue contexts. Visual integration of the resultant chromosome interaction maps with other sources of genomic annotations can provide insight into underlying regulatory mechanisms. We have developed Capture HiC Plotter (CHiCP), a web-based tool that allows interactive exploration of PCHi-C interaction maps and integration with both public and user-defined genomic datasets. Availability and Implementation: CHiCP is freely accessible from www.chicp.org and supports most major HTML5 compliant web browsers.","author":[{"dropping-particle":"","family":"Schofield","given":"E. C.","non-dropping-particle":"","parse-names":false,"suffix":""},{"dropping-particle":"","family":"Carver","given":"T.","non-dropping-particle":"","parse-names":false,"suffix":""},{"dropping-particle":"","family":"Achuthan","given":"P.","non-dropping-particle":"","parse-names":false,"suffix":""},{"dropping-particle":"","family":"Freire-Pritchett","given":"P.","non-dropping-particle":"","parse-names":false,"suffix":""},{"dropping-particle":"","family":"Spivakov","given":"M.","non-dropping-particle":"","parse-names":false,"suffix":""},{"dropping-particle":"","family":"Todd","given":"J. A.","non-dropping-particle":"","parse-names":false,"suffix":""},{"dropping-particle":"","family":"Burren","given":"O. S.","non-dropping-particle":"","parse-names":false,"suffix":""}],"container-title":"Bioinformatics","id":"ITEM-1","issue":"16","issued":{"date-parts":[["2016"]]},"page":"2511-2513","title":"CHiCP: A web-based tool for the integrative and interactive visualization of promoter capture Hi-C datasets","type":"article-journal","volume":"32"},"uris":["http://www.mendeley.com/documents/?uuid=8d642337-aaaa-4808-8acc-e423f23cd47e"]}],"mendeley":{"formattedCitation":"&lt;sup&gt;20&lt;/sup&gt;","plainTextFormattedCitation":"20","previouslyFormattedCitation":"&lt;sup&gt;20&lt;/sup&gt;"},"properties":{"noteIndex":0},"schema":"https://github.com/citation-style-language/schema/raw/master/csl-citation.json"}</w:instrText>
      </w:r>
      <w:r w:rsidR="00314EBB" w:rsidRPr="008E6E0D">
        <w:rPr>
          <w:sz w:val="20"/>
          <w:szCs w:val="20"/>
        </w:rPr>
        <w:fldChar w:fldCharType="separate"/>
      </w:r>
      <w:r w:rsidR="00371C3F" w:rsidRPr="00371C3F">
        <w:rPr>
          <w:noProof/>
          <w:sz w:val="20"/>
          <w:szCs w:val="20"/>
          <w:vertAlign w:val="superscript"/>
        </w:rPr>
        <w:t>20</w:t>
      </w:r>
      <w:r w:rsidR="00314EBB" w:rsidRPr="008E6E0D">
        <w:rPr>
          <w:sz w:val="20"/>
          <w:szCs w:val="20"/>
        </w:rPr>
        <w:fldChar w:fldCharType="end"/>
      </w:r>
      <w:r w:rsidR="0006280E" w:rsidRPr="008E6E0D">
        <w:rPr>
          <w:sz w:val="20"/>
          <w:szCs w:val="20"/>
        </w:rPr>
        <w:t xml:space="preserve">. </w:t>
      </w:r>
      <w:r w:rsidR="000D078B" w:rsidRPr="008E6E0D">
        <w:rPr>
          <w:rStyle w:val="s1"/>
          <w:sz w:val="20"/>
          <w:szCs w:val="20"/>
        </w:rPr>
        <w:t>Moreover, to assess the clinical interpretation of genetic variants we used InterVar</w:t>
      </w:r>
      <w:r w:rsidR="00E32C76" w:rsidRPr="008E6E0D">
        <w:rPr>
          <w:rStyle w:val="s1"/>
          <w:sz w:val="20"/>
          <w:szCs w:val="20"/>
        </w:rPr>
        <w:t xml:space="preserve">, </w:t>
      </w:r>
      <w:r w:rsidR="00BB7DE9" w:rsidRPr="008E6E0D">
        <w:rPr>
          <w:rStyle w:val="s1"/>
          <w:sz w:val="20"/>
          <w:szCs w:val="20"/>
        </w:rPr>
        <w:t>VarS</w:t>
      </w:r>
      <w:r w:rsidR="000D26A3" w:rsidRPr="008E6E0D">
        <w:rPr>
          <w:rStyle w:val="s1"/>
          <w:sz w:val="20"/>
          <w:szCs w:val="20"/>
        </w:rPr>
        <w:t xml:space="preserve">ome and ClinVar, as well, </w:t>
      </w:r>
      <w:r w:rsidR="00BB7DE9" w:rsidRPr="008E6E0D">
        <w:rPr>
          <w:sz w:val="20"/>
          <w:szCs w:val="20"/>
        </w:rPr>
        <w:t>LoFt</w:t>
      </w:r>
      <w:r w:rsidR="000D078B" w:rsidRPr="008E6E0D">
        <w:rPr>
          <w:sz w:val="20"/>
          <w:szCs w:val="20"/>
        </w:rPr>
        <w:t>ool score to evaluate the gene intolerance based on the ratio of LoF (stop-gain, splice site disrupting, frameshift) mutations to synonymous variants from the Exome Aggregation Consortium (ExAC) dataset. The Variant Effect Predictor (VEP) toolset from Ensembl was used to annotate and predict coding and non-coding regions and we used DeepSEA for a functional significance score prediction</w:t>
      </w:r>
      <w:r w:rsidR="000D078B" w:rsidRPr="008E6E0D">
        <w:rPr>
          <w:rFonts w:eastAsiaTheme="minorHAnsi"/>
          <w:sz w:val="20"/>
          <w:szCs w:val="20"/>
        </w:rPr>
        <w:t xml:space="preserve">. In addition, </w:t>
      </w:r>
      <w:r w:rsidR="000D078B" w:rsidRPr="008E6E0D">
        <w:rPr>
          <w:sz w:val="20"/>
          <w:szCs w:val="20"/>
        </w:rPr>
        <w:t xml:space="preserve">PhenoScanner </w:t>
      </w:r>
      <w:r w:rsidR="009168CB">
        <w:rPr>
          <w:sz w:val="20"/>
          <w:szCs w:val="20"/>
        </w:rPr>
        <w:t xml:space="preserve">v2 </w:t>
      </w:r>
      <w:r w:rsidR="000D078B" w:rsidRPr="008E6E0D">
        <w:rPr>
          <w:sz w:val="20"/>
          <w:szCs w:val="20"/>
        </w:rPr>
        <w:t>was used to facilitate the cross-referencing of genetic variants with a broad range of phenotypes.</w:t>
      </w:r>
    </w:p>
    <w:p w14:paraId="17720CE0" w14:textId="721FECD5" w:rsidR="000D078B" w:rsidRPr="008E6E0D" w:rsidRDefault="00AF4B82" w:rsidP="00A6709E">
      <w:pPr>
        <w:spacing w:before="100" w:beforeAutospacing="1" w:after="100" w:afterAutospacing="1" w:line="360" w:lineRule="auto"/>
        <w:jc w:val="both"/>
        <w:rPr>
          <w:rFonts w:eastAsiaTheme="minorHAnsi"/>
          <w:sz w:val="20"/>
          <w:szCs w:val="20"/>
        </w:rPr>
      </w:pPr>
      <w:r w:rsidRPr="008E6E0D">
        <w:rPr>
          <w:bCs/>
          <w:sz w:val="20"/>
          <w:szCs w:val="20"/>
        </w:rPr>
        <w:t xml:space="preserve">Finally, </w:t>
      </w:r>
      <w:r w:rsidR="00A6709E" w:rsidRPr="008E6E0D">
        <w:rPr>
          <w:rFonts w:eastAsiaTheme="minorHAnsi"/>
          <w:sz w:val="20"/>
          <w:szCs w:val="20"/>
        </w:rPr>
        <w:t xml:space="preserve">to evaluate the functional and gene targets for the </w:t>
      </w:r>
      <w:r w:rsidR="00A6709E" w:rsidRPr="008E6E0D">
        <w:rPr>
          <w:bCs/>
          <w:sz w:val="20"/>
          <w:szCs w:val="20"/>
        </w:rPr>
        <w:t>non-coding RNA genes, we assessed the</w:t>
      </w:r>
      <w:r w:rsidR="00AD65D7">
        <w:rPr>
          <w:rFonts w:eastAsiaTheme="minorHAnsi"/>
          <w:sz w:val="20"/>
          <w:szCs w:val="20"/>
        </w:rPr>
        <w:t xml:space="preserve"> LncRNA2Target database</w:t>
      </w:r>
      <w:r w:rsidR="00A6709E" w:rsidRPr="008E6E0D">
        <w:rPr>
          <w:rFonts w:eastAsiaTheme="minorHAnsi"/>
          <w:sz w:val="20"/>
          <w:szCs w:val="20"/>
        </w:rPr>
        <w:fldChar w:fldCharType="begin" w:fldLock="1"/>
      </w:r>
      <w:r w:rsidR="002253CB">
        <w:rPr>
          <w:rFonts w:eastAsiaTheme="minorHAnsi"/>
          <w:sz w:val="20"/>
          <w:szCs w:val="20"/>
        </w:rPr>
        <w:instrText>ADDIN CSL_CITATION {"citationItems":[{"id":"ITEM-1","itemData":{"DOI":"10.1093/nar/gku1173","ISSN":"13624962","PMID":"25399422","abstract":"Long non-coding RNAs (lncRNAs) have emerged as critical regulators of genes at epigenetic, transcriptional and post-transcriptional levels, yet what genes are regulated by a specific lncRNA remains to be characterized. To assess the effects of the lncRNA on gene expression, an increasing number of researchers profiled the genome-wide or individual gene expression level change after knocking down or overexpressing the lncRNA. Herein, we describe a curated database named LncRNA2Target, which stores lncRNA-to-target genes and is publicly accessible at http://www.lncrna2target.org. A gene was considered as a target of a lncRNA if it is differentially expressed after the lncRNA knockdown or overexpression. LncRNA2Targetprovides a web interface through which its users can search for the targets of a particular lncRNA or for the lncRNAs that target a particular gene. Both search types are performed either by browsing a provided catalog of lncRNA names or by inserting lncRNA/target gene IDs/names in a search box.","author":[{"dropping-particle":"","family":"Jiang","given":"Qinghua","non-dropping-particle":"","parse-names":false,"suffix":""},{"dropping-particle":"","family":"Wang","given":"Jixuan","non-dropping-particle":"","parse-names":false,"suffix":""},{"dropping-particle":"","family":"Wu","given":"Xiaoliang","non-dropping-particle":"","parse-names":false,"suffix":""},{"dropping-particle":"","family":"Ma","given":"Rui","non-dropping-particle":"","parse-names":false,"suffix":""},{"dropping-particle":"","family":"Zhang","given":"Tianjiao","non-dropping-particle":"","parse-names":false,"suffix":""},{"dropping-particle":"","family":"Jin","given":"Shuilin","non-dropping-particle":"","parse-names":false,"suffix":""},{"dropping-particle":"","family":"Han","given":"Zhijie","non-dropping-particle":"","parse-names":false,"suffix":""},{"dropping-particle":"","family":"Tan","given":"Renjie","non-dropping-particle":"","parse-names":false,"suffix":""},{"dropping-particle":"","family":"Peng","given":"Jiajie","non-dropping-particle":"","parse-names":false,"suffix":""},{"dropping-particle":"","family":"Liu","given":"Guiyou","non-dropping-particle":"","parse-names":false,"suffix":""},{"dropping-particle":"","family":"Li","given":"Yu","non-dropping-particle":"","parse-names":false,"suffix":""},{"dropping-particle":"","family":"Wang","given":"Yadong","non-dropping-particle":"","parse-names":false,"suffix":""}],"container-title":"Nucleic Acids Research","id":"ITEM-1","issue":"D1","issued":{"date-parts":[["2015"]]},"page":"D193-D196","title":"LncRNA2Target: A database for differentially expressed genes after IncRNA knockdown or overexpression","type":"article-journal","volume":"43"},"uris":["http://www.mendeley.com/documents/?uuid=9f79d481-06fb-4ac2-a9ec-3d93bf4f739b"]}],"mendeley":{"formattedCitation":"&lt;sup&gt;21&lt;/sup&gt;","plainTextFormattedCitation":"21","previouslyFormattedCitation":"&lt;sup&gt;21&lt;/sup&gt;"},"properties":{"noteIndex":0},"schema":"https://github.com/citation-style-language/schema/raw/master/csl-citation.json"}</w:instrText>
      </w:r>
      <w:r w:rsidR="00A6709E" w:rsidRPr="008E6E0D">
        <w:rPr>
          <w:rFonts w:eastAsiaTheme="minorHAnsi"/>
          <w:sz w:val="20"/>
          <w:szCs w:val="20"/>
        </w:rPr>
        <w:fldChar w:fldCharType="separate"/>
      </w:r>
      <w:r w:rsidR="00371C3F" w:rsidRPr="00371C3F">
        <w:rPr>
          <w:rFonts w:eastAsiaTheme="minorHAnsi"/>
          <w:noProof/>
          <w:sz w:val="20"/>
          <w:szCs w:val="20"/>
          <w:vertAlign w:val="superscript"/>
        </w:rPr>
        <w:t>21</w:t>
      </w:r>
      <w:r w:rsidR="00A6709E" w:rsidRPr="008E6E0D">
        <w:rPr>
          <w:rFonts w:eastAsiaTheme="minorHAnsi"/>
          <w:sz w:val="20"/>
          <w:szCs w:val="20"/>
        </w:rPr>
        <w:fldChar w:fldCharType="end"/>
      </w:r>
      <w:r w:rsidR="00A6709E" w:rsidRPr="008E6E0D">
        <w:rPr>
          <w:bCs/>
          <w:sz w:val="20"/>
          <w:szCs w:val="20"/>
        </w:rPr>
        <w:t xml:space="preserve">, the </w:t>
      </w:r>
      <w:r w:rsidR="00A6709E" w:rsidRPr="008E6E0D">
        <w:rPr>
          <w:rFonts w:eastAsiaTheme="minorHAnsi"/>
          <w:sz w:val="20"/>
          <w:szCs w:val="20"/>
        </w:rPr>
        <w:t>LncRNA and</w:t>
      </w:r>
      <w:r w:rsidR="00AD65D7">
        <w:rPr>
          <w:rFonts w:eastAsiaTheme="minorHAnsi"/>
          <w:sz w:val="20"/>
          <w:szCs w:val="20"/>
        </w:rPr>
        <w:t xml:space="preserve"> Disease Database (version 2.0)</w:t>
      </w:r>
      <w:r w:rsidR="00A6709E" w:rsidRPr="008E6E0D">
        <w:rPr>
          <w:rFonts w:eastAsiaTheme="minorHAnsi"/>
          <w:sz w:val="20"/>
          <w:szCs w:val="20"/>
        </w:rPr>
        <w:fldChar w:fldCharType="begin" w:fldLock="1"/>
      </w:r>
      <w:r w:rsidR="002253CB">
        <w:rPr>
          <w:rFonts w:eastAsiaTheme="minorHAnsi"/>
          <w:sz w:val="20"/>
          <w:szCs w:val="20"/>
        </w:rPr>
        <w:instrText>ADDIN CSL_CITATION {"citationItems":[{"id":"ITEM-1","itemData":{"DOI":"10.1093/nar/gky905","ISSN":"13624962","PMID":"30285109","abstract":"Mounting evidence suggested that dysfunction of long non-coding RNAs (lncRNAs) is involved in a wide variety of diseases. A knowledgebase with systematic collection and curation of lncRNA-disease associations is critically important for further examining their underlying molecular mechanisms. In 2013, we presented the first release of LncRNADisease, representing a database for collection of experimental supported lncRNA-disease associations. Here, we describe an update of the database. The new developments in LncRNADisease 2.0 include (i) an over 40-fold lncRNA-disease association enhancement compared with the previous version; (ii) providing the transcriptional regulatory relationships among lncRNA, mRNA and miRNA; (iii) providing a confidence score for each lncRNA-disease association; (iv) integrating experimentally supported circular RNA disease associations. LncRNADisease 2.0 documents more than 200 000 lncRNA-disease associations. We expect that this database will continue to serve as a valuable source for potential clinical application related to lncRNAs. LncRNADisease 2.0 is freely available at http://www.rnanut.net/lncrnadisease/.","author":[{"dropping-particle":"","family":"Bao","given":"Zhenyu","non-dropping-particle":"","parse-names":false,"suffix":""},{"dropping-particle":"","family":"Yang","given":"Zhen","non-dropping-particle":"","parse-names":false,"suffix":""},{"dropping-particle":"","family":"Huang","given":"Zhou","non-dropping-particle":"","parse-names":false,"suffix":""},{"dropping-particle":"","family":"Zhou","given":"Yiran","non-dropping-particle":"","parse-names":false,"suffix":""},{"dropping-particle":"","family":"Cui","given":"Qinghua","non-dropping-particle":"","parse-names":false,"suffix":""},{"dropping-particle":"","family":"Dong","given":"Dong","non-dropping-particle":"","parse-names":false,"suffix":""}],"container-title":"Nucleic Acids Research","id":"ITEM-1","issue":"D1","issued":{"date-parts":[["2019"]]},"page":"D1034-D1037","publisher":"Oxford University Press","title":"LncRNADisease 2.0: An updated database of long non-coding RNA-associated diseases","type":"article-journal","volume":"47"},"uris":["http://www.mendeley.com/documents/?uuid=0a500526-c65f-4816-b2fd-f73dd2ecae3e"]}],"mendeley":{"formattedCitation":"&lt;sup&gt;22&lt;/sup&gt;","plainTextFormattedCitation":"22","previouslyFormattedCitation":"&lt;sup&gt;22&lt;/sup&gt;"},"properties":{"noteIndex":0},"schema":"https://github.com/citation-style-language/schema/raw/master/csl-citation.json"}</w:instrText>
      </w:r>
      <w:r w:rsidR="00A6709E" w:rsidRPr="008E6E0D">
        <w:rPr>
          <w:rFonts w:eastAsiaTheme="minorHAnsi"/>
          <w:sz w:val="20"/>
          <w:szCs w:val="20"/>
        </w:rPr>
        <w:fldChar w:fldCharType="separate"/>
      </w:r>
      <w:r w:rsidR="00371C3F" w:rsidRPr="00371C3F">
        <w:rPr>
          <w:rFonts w:eastAsiaTheme="minorHAnsi"/>
          <w:noProof/>
          <w:sz w:val="20"/>
          <w:szCs w:val="20"/>
          <w:vertAlign w:val="superscript"/>
        </w:rPr>
        <w:t>22</w:t>
      </w:r>
      <w:r w:rsidR="00A6709E" w:rsidRPr="008E6E0D">
        <w:rPr>
          <w:rFonts w:eastAsiaTheme="minorHAnsi"/>
          <w:sz w:val="20"/>
          <w:szCs w:val="20"/>
        </w:rPr>
        <w:fldChar w:fldCharType="end"/>
      </w:r>
      <w:r w:rsidR="00AD65D7">
        <w:rPr>
          <w:rFonts w:eastAsiaTheme="minorHAnsi"/>
          <w:sz w:val="20"/>
          <w:szCs w:val="20"/>
        </w:rPr>
        <w:t>, the miRTarBase Release 8.0</w:t>
      </w:r>
      <w:r w:rsidR="00A6709E" w:rsidRPr="008E6E0D">
        <w:rPr>
          <w:rFonts w:eastAsiaTheme="minorHAnsi"/>
          <w:sz w:val="20"/>
          <w:szCs w:val="20"/>
        </w:rPr>
        <w:fldChar w:fldCharType="begin" w:fldLock="1"/>
      </w:r>
      <w:r w:rsidR="002253CB">
        <w:rPr>
          <w:rFonts w:eastAsiaTheme="minorHAnsi"/>
          <w:sz w:val="20"/>
          <w:szCs w:val="20"/>
        </w:rPr>
        <w:instrText>ADDIN CSL_CITATION {"citationItems":[{"id":"ITEM-1","itemData":{"DOI":"10.1093/nar/gkz896","ISSN":"13624962","PMID":"31647101","abstract":"MicroRNAs (miRNAs) are small non-coding RNAs (typically consisting of 18-25 nucleotides) that negatively control expression of target genes at the post-transcriptional level. Owing to the biological significance of miRNAs, miRTarBase was developed to provide comprehensive information on experimentally validated miRNA-target interactions (MTIs). To date, the database has accumulated &gt;13,404 validated MTIs from 11,021 articles from manual curations. In this update, a text-mining system was incorporated to enhance the recognition of MTI-related articles by adopting a scoring system. In addition, a variety of biological databases were integrated to provide information on the regulatory network of miRNAs and its expression in blood. Not only targets of miRNAs but also regulators of miRNAs are provided to users for investigating the up-and downstream regulations of miRNAs. Moreover, the number of MTIs with high-throughput experimental evidence increased remarkably (validated by CLIP-seq technology). In conclusion, these improvements promote the miRTarBase as one of the most comprehensively annotated and experimentally validated miRNA-target interaction databases. The updated version of miRTarBase is now available at http://miRTarBase.cuhk.edu.cn/.","author":[{"dropping-particle":"","family":"Huang","given":"Hsi Yuan","non-dropping-particle":"","parse-names":false,"suffix":""},{"dropping-particle":"","family":"Lin","given":"Yang Chi Dung","non-dropping-particle":"","parse-names":false,"suffix":""},{"dropping-particle":"","family":"Li","given":"Jing","non-dropping-particle":"","parse-names":false,"suffix":""},{"dropping-particle":"","family":"Huang","given":"Kai Yao","non-dropping-particle":"","parse-names":false,"suffix":""},{"dropping-particle":"","family":"Shrestha","given":"Sirjana","non-dropping-particle":"","parse-names":false,"suffix":""},{"dropping-particle":"","family":"Hong","given":"Hsiao Chin","non-dropping-particle":"","parse-names":false,"suffix":""},{"dropping-particle":"","family":"Tang","given":"Yun","non-dropping-particle":"","parse-names":false,"suffix":""},{"dropping-particle":"","family":"Chen","given":"Yi Gang","non-dropping-particle":"","parse-names":false,"suffix":""},{"dropping-particle":"","family":"Jin","given":"Chen Nan","non-dropping-particle":"","parse-names":false,"suffix":""},{"dropping-particle":"","family":"Yu","given":"Yuan","non-dropping-particle":"","parse-names":false,"suffix":""},{"dropping-particle":"","family":"Xu","given":"Jia Tong","non-dropping-particle":"","parse-names":false,"suffix":""},{"dropping-particle":"","family":"Li","given":"Yue Ming","non-dropping-particle":"","parse-names":false,"suffix":""},{"dropping-particle":"","family":"Cai","given":"Xiao Xuan","non-dropping-particle":"","parse-names":false,"suffix":""},{"dropping-particle":"","family":"Zhou","given":"Zhen Yu","non-dropping-particle":"","parse-names":false,"suffix":""},{"dropping-particle":"","family":"Chen","given":"Xiao Hang","non-dropping-particle":"","parse-names":false,"suffix":""},{"dropping-particle":"","family":"Pei","given":"Yuan Yuan","non-dropping-particle":"","parse-names":false,"suffix":""},{"dropping-particle":"","family":"Hu","given":"Liang","non-dropping-particle":"","parse-names":false,"suffix":""},{"dropping-particle":"","family":"Su","given":"Jin Jiang","non-dropping-particle":"","parse-names":false,"suffix":""},{"dropping-particle":"","family":"Cui","given":"Shi Dong","non-dropping-particle":"","parse-names":false,"suffix":""},{"dropping-particle":"","family":"Wang","given":"Fei","non-dropping-particle":"","parse-names":false,"suffix":""},{"dropping-particle":"","family":"Xie","given":"Yue Yang","non-dropping-particle":"","parse-names":false,"suffix":""},{"dropping-particle":"","family":"Ding","given":"Si Yuan","non-dropping-particle":"","parse-names":false,"suffix":""},{"dropping-particle":"","family":"Luo","given":"Meng Fan","non-dropping-particle":"","parse-names":false,"suffix":""},{"dropping-particle":"","family":"Chou","given":"Chih Hung","non-dropping-particle":"","parse-names":false,"suffix":""},{"dropping-particle":"","family":"Chang","given":"Nai Wen","non-dropping-particle":"","parse-names":false,"suffix":""},{"dropping-particle":"","family":"Chen","given":"Kai Wen","non-dropping-particle":"","parse-names":false,"suffix":""},{"dropping-particle":"","family":"Cheng","given":"Yu Hsiang","non-dropping-particle":"","parse-names":false,"suffix":""},{"dropping-particle":"","family":"Wan","given":"Xin Hong","non-dropping-particle":"","parse-names":false,"suffix":""},{"dropping-particle":"","family":"Hsu","given":"Wen Lian","non-dropping-particle":"","parse-names":false,"suffix":""},{"dropping-particle":"","family":"Lee","given":"Tzong Yi","non-dropping-particle":"","parse-names":false,"suffix":""},{"dropping-particle":"","family":"Wei","given":"Feng Xiang","non-dropping-particle":"","parse-names":false,"suffix":""},{"dropping-particle":"Da","family":"Huang","given":"Hsien","non-dropping-particle":"","parse-names":false,"suffix":""}],"container-title":"Nucleic Acids Research","id":"ITEM-1","issue":"D1","issued":{"date-parts":[["2020"]]},"page":"D148-D154","publisher":"Oxford University Press","title":"MiRTarBase 2020: Updates to the experimentally validated microRNA-target interaction database","type":"article-journal","volume":"48"},"uris":["http://www.mendeley.com/documents/?uuid=c83b37fd-2834-410e-9782-c7f47250b3bb"]}],"mendeley":{"formattedCitation":"&lt;sup&gt;23&lt;/sup&gt;","plainTextFormattedCitation":"23","previouslyFormattedCitation":"&lt;sup&gt;23&lt;/sup&gt;"},"properties":{"noteIndex":0},"schema":"https://github.com/citation-style-language/schema/raw/master/csl-citation.json"}</w:instrText>
      </w:r>
      <w:r w:rsidR="00A6709E" w:rsidRPr="008E6E0D">
        <w:rPr>
          <w:rFonts w:eastAsiaTheme="minorHAnsi"/>
          <w:sz w:val="20"/>
          <w:szCs w:val="20"/>
        </w:rPr>
        <w:fldChar w:fldCharType="separate"/>
      </w:r>
      <w:r w:rsidR="00371C3F" w:rsidRPr="00371C3F">
        <w:rPr>
          <w:rFonts w:eastAsiaTheme="minorHAnsi"/>
          <w:noProof/>
          <w:sz w:val="20"/>
          <w:szCs w:val="20"/>
          <w:vertAlign w:val="superscript"/>
        </w:rPr>
        <w:t>23</w:t>
      </w:r>
      <w:r w:rsidR="00A6709E" w:rsidRPr="008E6E0D">
        <w:rPr>
          <w:rFonts w:eastAsiaTheme="minorHAnsi"/>
          <w:sz w:val="20"/>
          <w:szCs w:val="20"/>
        </w:rPr>
        <w:fldChar w:fldCharType="end"/>
      </w:r>
      <w:r w:rsidR="00A6709E" w:rsidRPr="008E6E0D">
        <w:rPr>
          <w:rFonts w:eastAsiaTheme="minorHAnsi"/>
          <w:sz w:val="20"/>
          <w:szCs w:val="20"/>
        </w:rPr>
        <w:t xml:space="preserve"> and the Kyoto Encyclopedia of Genes and Genomes (KEGG).</w:t>
      </w:r>
    </w:p>
    <w:p w14:paraId="2A3DBDE7" w14:textId="3B7DC545" w:rsidR="008A0AE4" w:rsidRPr="008E6E0D" w:rsidRDefault="008A0AE4" w:rsidP="00A6709E">
      <w:pPr>
        <w:spacing w:before="100" w:beforeAutospacing="1" w:after="100" w:afterAutospacing="1" w:line="360" w:lineRule="auto"/>
        <w:jc w:val="both"/>
        <w:rPr>
          <w:rFonts w:eastAsiaTheme="minorHAnsi"/>
          <w:b/>
          <w:szCs w:val="20"/>
          <w:u w:val="single"/>
        </w:rPr>
      </w:pPr>
      <w:r w:rsidRPr="008E6E0D">
        <w:rPr>
          <w:rFonts w:eastAsiaTheme="minorHAnsi"/>
          <w:b/>
          <w:szCs w:val="20"/>
          <w:u w:val="single"/>
        </w:rPr>
        <w:t xml:space="preserve">Gene expression </w:t>
      </w:r>
      <w:r w:rsidR="00534689">
        <w:rPr>
          <w:rFonts w:eastAsiaTheme="minorHAnsi"/>
          <w:b/>
          <w:szCs w:val="20"/>
          <w:u w:val="single"/>
        </w:rPr>
        <w:t xml:space="preserve">of </w:t>
      </w:r>
      <w:r w:rsidRPr="008E6E0D">
        <w:rPr>
          <w:rFonts w:eastAsiaTheme="minorHAnsi"/>
          <w:b/>
          <w:szCs w:val="20"/>
          <w:u w:val="single"/>
        </w:rPr>
        <w:t>related genes</w:t>
      </w:r>
    </w:p>
    <w:p w14:paraId="4EA67595" w14:textId="6F272078" w:rsidR="00525E23" w:rsidRPr="008E6E0D" w:rsidRDefault="00525E23" w:rsidP="00A6709E">
      <w:pPr>
        <w:spacing w:before="100" w:beforeAutospacing="1" w:after="100" w:afterAutospacing="1" w:line="360" w:lineRule="auto"/>
        <w:jc w:val="both"/>
        <w:rPr>
          <w:sz w:val="20"/>
          <w:szCs w:val="20"/>
        </w:rPr>
      </w:pPr>
      <w:r w:rsidRPr="008E6E0D">
        <w:rPr>
          <w:sz w:val="20"/>
          <w:szCs w:val="20"/>
        </w:rPr>
        <w:t>To assess differential gene expression of the genes near the sentinel variants, we accessed the public gene expression data GSE54514</w:t>
      </w:r>
      <w:r w:rsidRPr="008E6E0D">
        <w:rPr>
          <w:sz w:val="20"/>
          <w:szCs w:val="20"/>
          <w:vertAlign w:val="superscript"/>
        </w:rPr>
        <w:fldChar w:fldCharType="begin" w:fldLock="1"/>
      </w:r>
      <w:r w:rsidR="002253CB">
        <w:rPr>
          <w:sz w:val="20"/>
          <w:szCs w:val="20"/>
          <w:vertAlign w:val="superscript"/>
        </w:rPr>
        <w:instrText>ADDIN CSL_CITATION {"citationItems":[{"id":"ITEM-1","itemData":{"DOI":"10.1097/SHK.0b013e31829ee604","ISSN":"10732322","PMID":"23807251","abstract":"There is currently no reliable tool available to measure immune dysfunction in septic patients in the clinical setting. This proof-of-concept study assesses the potential of gene expression profiling of whole blood as a tool to monitor immune dysfunction in critically ill septic patients. Whole-blood samples were collected daily for up to 5 days from patients admitted to the intensive care unit with sepsis. RNA isolated from whole-blood samples was assayed on Illumina HT-12 gene expression microarrays consisting of 48,804 probes. Microarray analysis identified 3,677 genes as differentially expressed across 5 days between septic patients and healthy controls. Of the 3,677 genes, biological pathway analysis identified 86 genes significantly downregulated in the sepsis patients were present in pathways relating to immune response. These 86 genes correspond to known immune pathways implicated in sepsis, including lymphocyte depletion, reduced T-lymphocyte activation, and deficient antigen presentation. Furthermore, expression levels of these genes correlated with clinical severity, with a significantly greater degree of downregulation found in nonsurvivors compared with survivors. The results show that whole-blood gene expression analysis can capture systemic immune dysfunctions in septic patients. Our study provides an experimental basis to support further study on the use of a gene expression-based assay, to assess immunosuppression, and to guide immunotherapy in future clinical trials. © 2013 by the Shock Society.","author":[{"dropping-particle":"","family":"Parnell","given":"Grant P.","non-dropping-particle":"","parse-names":false,"suffix":""},{"dropping-particle":"","family":"Tang","given":"Benjamin M.","non-dropping-particle":"","parse-names":false,"suffix":""},{"dropping-particle":"","family":"Nalos","given":"Marek","non-dropping-particle":"","parse-names":false,"suffix":""},{"dropping-particle":"","family":"Armstrong","given":"Nicola J.","non-dropping-particle":"","parse-names":false,"suffix":""},{"dropping-particle":"","family":"Huang","given":"Stephen J.","non-dropping-particle":"","parse-names":false,"suffix":""},{"dropping-particle":"","family":"Booth","given":"David R.","non-dropping-particle":"","parse-names":false,"suffix":""},{"dropping-particle":"","family":"McLean","given":"Anthony S.","non-dropping-particle":"","parse-names":false,"suffix":""}],"container-title":"Shock","id":"ITEM-1","issue":"3","issued":{"date-parts":[["2013"]]},"page":"166-174","title":"Identifying key regulatory genes in the whole blood of septic patients to monitor underlying immune dysfunctions","type":"article-journal","volume":"40"},"uris":["http://www.mendeley.com/documents/?uuid=05ab40ff-9787-4a12-9084-b6e927db50ec"]}],"mendeley":{"formattedCitation":"&lt;sup&gt;24&lt;/sup&gt;","plainTextFormattedCitation":"24","previouslyFormattedCitation":"&lt;sup&gt;24&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24</w:t>
      </w:r>
      <w:r w:rsidRPr="008E6E0D">
        <w:rPr>
          <w:sz w:val="20"/>
          <w:szCs w:val="20"/>
          <w:vertAlign w:val="superscript"/>
        </w:rPr>
        <w:fldChar w:fldCharType="end"/>
      </w:r>
      <w:r w:rsidRPr="008E6E0D">
        <w:rPr>
          <w:sz w:val="20"/>
          <w:szCs w:val="20"/>
        </w:rPr>
        <w:t>, available in the Gene Expression Omnibus (GEO) repository. This accession contains transcriptomic information for healthy donors (n=18), and from sepsis survivors (n=26) and non-survivors (n=9). Moreover, we accessed another expressio</w:t>
      </w:r>
      <w:r w:rsidR="002253CB">
        <w:rPr>
          <w:sz w:val="20"/>
          <w:szCs w:val="20"/>
        </w:rPr>
        <w:t>n microarray data set (GSE32707)</w:t>
      </w:r>
      <w:r w:rsidRPr="008E6E0D">
        <w:rPr>
          <w:sz w:val="20"/>
          <w:szCs w:val="20"/>
          <w:vertAlign w:val="superscript"/>
        </w:rPr>
        <w:fldChar w:fldCharType="begin" w:fldLock="1"/>
      </w:r>
      <w:r w:rsidR="002253CB">
        <w:rPr>
          <w:sz w:val="20"/>
          <w:szCs w:val="20"/>
          <w:vertAlign w:val="superscript"/>
        </w:rPr>
        <w:instrText>ADDIN CSL_CITATION {"citationItems":[{"id":"ITEM-1","itemData":{"DOI":"10.1164/rccm.201201-0003OC","ISSN":"1073449X","abstract":"Rationale: Despite advances in clinical management, there are currently no reliable diagnostic and therapeutic targets for acute respiratory distresssyndrome(ARDS).Theinflammasome/caspase-1pathway regulates the maturation and secretion of proinflammatory cytokines (e.g., IL-18). IL-18 is associated with injury in animal models of systemic inflammation. Objectives:We sought to determine the contribution of the inflammasome pathway in experimental acute lung injury and human ARDS. Methods: We performed comprehensive gene expression profiling on peripheral blood from patients with critical illness. Gene expression changes were assessed using real-time polymerase chain reaction, and IL-18 levels were measured in the plasma of the critically ill patients. Wild-type mice or mice genetically deficient in IL-18 or caspase-1 were mechanically ventilated using moderate tidal volume (12 ml/kg). Lung injury parameters were assessed in lung tissue, serum, and bronchoalveolar lavage fluid. Measurements and Main Results: In mice, mechanical ventilation enhanced IL-18 levels in the lung, serum, and bronchoalveolar lavage fluid. IL-18-neutralizing antibody treatment, or genetic deletion of IL-18 or caspase-1, reduced lung injury in response tomechanical ventilation. In human patients with ARDS, inflammasome-related mRNA transcripts (CASP1, IL1B,andIL18)wereincreasedinperipheralblood. In samples fromfour clinical centers, IL-18was elevated in the plasma of patients with ARDS (sepsis or trauma-induced ARDS) and served as a novel biomarker of intensive care unit morbidity and mortality. Conclusions: The inflammasome pathway and its downstream cytokines play critical roles in ARDS development. Copyright © 2012 by the American Thoracic Society.","author":[{"dropping-particle":"","family":"Dolinay","given":"Tamás","non-dropping-particle":"","parse-names":false,"suffix":""},{"dropping-particle":"","family":"Kim","given":"Young Sam","non-dropping-particle":"","parse-names":false,"suffix":""},{"dropping-particle":"","family":"Howrylak","given":"Judie","non-dropping-particle":"","parse-names":false,"suffix":""},{"dropping-particle":"","family":"Hunninghake","given":"Gary M.","non-dropping-particle":"","parse-names":false,"suffix":""},{"dropping-particle":"","family":"An","given":"Chang Hyeok","non-dropping-particle":"","parse-names":false,"suffix":""},{"dropping-particle":"","family":"Fredenburgh","given":"Laura","non-dropping-particle":"","parse-names":false,"suffix":""},{"dropping-particle":"","family":"Massaro","given":"Anthony F.","non-dropping-particle":"","parse-names":false,"suffix":""},{"dropping-particle":"","family":"Rogers","given":"Angela","non-dropping-particle":"","parse-names":false,"suffix":""},{"dropping-particle":"","family":"Gazourian","given":"Lee","non-dropping-particle":"","parse-names":false,"suffix":""},{"dropping-particle":"","family":"Nakahira","given":"Kiichi","non-dropping-particle":"","parse-names":false,"suffix":""},{"dropping-particle":"","family":"Haspel","given":"Jeffrey A.","non-dropping-particle":"","parse-names":false,"suffix":""},{"dropping-particle":"","family":"Landazury","given":"Roberto","non-dropping-particle":"","parse-names":false,"suffix":""},{"dropping-particle":"","family":"Eppanapally","given":"Sabitha","non-dropping-particle":"","parse-names":false,"suffix":""},{"dropping-particle":"","family":"Christie","given":"Jason D.","non-dropping-particle":"","parse-names":false,"suffix":""},{"dropping-particle":"","family":"Meyer","given":"Nuala J.","non-dropping-particle":"","parse-names":false,"suffix":""},{"dropping-particle":"","family":"Ware","given":"Lorraine B.","non-dropping-particle":"","parse-names":false,"suffix":""},{"dropping-particle":"","family":"Christiani","given":"David C.","non-dropping-particle":"","parse-names":false,"suffix":""},{"dropping-particle":"","family":"Ryter","given":"Stefan W.","non-dropping-particle":"","parse-names":false,"suffix":""},{"dropping-particle":"","family":"Baron","given":"Rebecca M.","non-dropping-particle":"","parse-names":false,"suffix":""},{"dropping-particle":"","family":"Choi","given":"Augustine M.K.","non-dropping-particle":"","parse-names":false,"suffix":""}],"container-title":"American Journal of Respiratory and Critical Care Medicine","id":"ITEM-1","issue":"11","issued":{"date-parts":[["2012"]]},"page":"1225-1234","title":"Inflammasome-regulated cytokines are critical mediators of acute lung injury","type":"article-journal","volume":"185"},"uris":["http://www.mendeley.com/documents/?uuid=2b16a7dd-036e-4394-8c5c-a8c1ee7425e7"]}],"mendeley":{"formattedCitation":"&lt;sup&gt;25&lt;/sup&gt;","plainTextFormattedCitation":"25","previouslyFormattedCitation":"&lt;sup&gt;25&lt;/sup&gt;"},"properties":{"noteIndex":0},"schema":"https://github.com/citation-style-language/schema/raw/master/csl-citation.json"}</w:instrText>
      </w:r>
      <w:r w:rsidRPr="008E6E0D">
        <w:rPr>
          <w:sz w:val="20"/>
          <w:szCs w:val="20"/>
          <w:vertAlign w:val="superscript"/>
        </w:rPr>
        <w:fldChar w:fldCharType="separate"/>
      </w:r>
      <w:r w:rsidR="00371C3F" w:rsidRPr="00371C3F">
        <w:rPr>
          <w:noProof/>
          <w:sz w:val="20"/>
          <w:szCs w:val="20"/>
          <w:vertAlign w:val="superscript"/>
        </w:rPr>
        <w:t>25</w:t>
      </w:r>
      <w:r w:rsidRPr="008E6E0D">
        <w:rPr>
          <w:sz w:val="20"/>
          <w:szCs w:val="20"/>
          <w:vertAlign w:val="superscript"/>
        </w:rPr>
        <w:fldChar w:fldCharType="end"/>
      </w:r>
      <w:r w:rsidRPr="008E6E0D">
        <w:rPr>
          <w:sz w:val="20"/>
          <w:szCs w:val="20"/>
        </w:rPr>
        <w:t xml:space="preserve"> from sepsis patients (n=30) and patients with ARDS characterization (n=18) to assessed whether ARDS could be an alternative explanation of the gene expression observed differences. A two-sample t-test was used for comparisons, considering a False Discovery Rate (FDR) (q-value) to declare significance while adjusting for comparisons</w:t>
      </w:r>
      <w:r w:rsidRPr="008E6E0D">
        <w:rPr>
          <w:sz w:val="20"/>
          <w:szCs w:val="20"/>
          <w:vertAlign w:val="superscript"/>
        </w:rPr>
        <w:fldChar w:fldCharType="begin" w:fldLock="1"/>
      </w:r>
      <w:r w:rsidR="002253CB">
        <w:rPr>
          <w:sz w:val="20"/>
          <w:szCs w:val="20"/>
          <w:vertAlign w:val="superscript"/>
        </w:rPr>
        <w:instrText>ADDIN CSL_CITATION {"citationItems":[{"id":"ITEM-1","itemData":{"author":[{"dropping-particle":"","family":"Benjamini, Yoav; Hochberg","given":"Yosef","non-dropping-particle":"","parse-names":false,"suffix":""}],"container-title":"Journal of the Royal Statistical Society: Series B (Methodological)","id":"ITEM-1","issue":"1","issued":{"date-parts":[["1995"]]},"page":"289-300","title":"Controlling the false discovery rate: a practical and powerful approach to multiple testing","type":"article","volume":"57"},"uris":["http://www.mendeley.com/documents/?uuid=e1960018-bf9a-4ff0-8f5e-6183e0548833"]}],"mendeley":{"formattedCitation":"&lt;sup&gt;26&lt;/sup&gt;","plainTextFormattedCitation":"26","previouslyFormattedCitation":"&lt;sup&gt;26&lt;/sup&gt;"},"properties":{"noteIndex":0},"schema":"https://github.com/citation-style-language/schema/raw/master/csl-citation.json"}</w:instrText>
      </w:r>
      <w:r w:rsidRPr="008E6E0D">
        <w:rPr>
          <w:sz w:val="20"/>
          <w:szCs w:val="20"/>
          <w:vertAlign w:val="superscript"/>
        </w:rPr>
        <w:fldChar w:fldCharType="separate"/>
      </w:r>
      <w:r w:rsidR="002253CB" w:rsidRPr="002253CB">
        <w:rPr>
          <w:noProof/>
          <w:sz w:val="20"/>
          <w:szCs w:val="20"/>
          <w:vertAlign w:val="superscript"/>
        </w:rPr>
        <w:t>26</w:t>
      </w:r>
      <w:r w:rsidRPr="008E6E0D">
        <w:rPr>
          <w:sz w:val="20"/>
          <w:szCs w:val="20"/>
          <w:vertAlign w:val="superscript"/>
        </w:rPr>
        <w:fldChar w:fldCharType="end"/>
      </w:r>
      <w:r w:rsidRPr="008E6E0D">
        <w:rPr>
          <w:sz w:val="20"/>
          <w:szCs w:val="20"/>
        </w:rPr>
        <w:t>.</w:t>
      </w:r>
    </w:p>
    <w:p w14:paraId="6F4FC6EA" w14:textId="566E90DA" w:rsidR="003768C7" w:rsidRPr="008E6E0D" w:rsidRDefault="005745B7" w:rsidP="003768C7">
      <w:pPr>
        <w:spacing w:before="100" w:beforeAutospacing="1" w:after="100" w:afterAutospacing="1" w:line="360" w:lineRule="auto"/>
        <w:jc w:val="both"/>
        <w:rPr>
          <w:rFonts w:eastAsiaTheme="minorHAnsi"/>
          <w:b/>
          <w:szCs w:val="20"/>
          <w:u w:val="single"/>
        </w:rPr>
      </w:pPr>
      <w:r w:rsidRPr="008E6E0D">
        <w:rPr>
          <w:rFonts w:eastAsiaTheme="minorHAnsi"/>
          <w:b/>
          <w:szCs w:val="20"/>
          <w:u w:val="single"/>
        </w:rPr>
        <w:lastRenderedPageBreak/>
        <w:t>Association of p</w:t>
      </w:r>
      <w:r w:rsidR="003768C7" w:rsidRPr="008E6E0D">
        <w:rPr>
          <w:rFonts w:eastAsiaTheme="minorHAnsi"/>
          <w:b/>
          <w:szCs w:val="20"/>
          <w:u w:val="single"/>
        </w:rPr>
        <w:t xml:space="preserve">olygenic risks of sepsis </w:t>
      </w:r>
      <w:r w:rsidRPr="008E6E0D">
        <w:rPr>
          <w:rFonts w:eastAsiaTheme="minorHAnsi"/>
          <w:b/>
          <w:szCs w:val="20"/>
          <w:u w:val="single"/>
        </w:rPr>
        <w:t>with</w:t>
      </w:r>
      <w:r w:rsidR="003768C7" w:rsidRPr="008E6E0D">
        <w:rPr>
          <w:rFonts w:eastAsiaTheme="minorHAnsi"/>
          <w:b/>
          <w:szCs w:val="20"/>
          <w:u w:val="single"/>
        </w:rPr>
        <w:t xml:space="preserve"> </w:t>
      </w:r>
      <w:r w:rsidR="006910E3" w:rsidRPr="008E6E0D">
        <w:rPr>
          <w:rFonts w:eastAsiaTheme="minorHAnsi"/>
          <w:b/>
          <w:szCs w:val="20"/>
          <w:u w:val="single"/>
        </w:rPr>
        <w:t xml:space="preserve">the </w:t>
      </w:r>
      <w:r w:rsidR="003768C7" w:rsidRPr="008E6E0D">
        <w:rPr>
          <w:rFonts w:eastAsiaTheme="minorHAnsi"/>
          <w:b/>
          <w:szCs w:val="20"/>
          <w:u w:val="single"/>
        </w:rPr>
        <w:t>28-day sepsis survival</w:t>
      </w:r>
    </w:p>
    <w:p w14:paraId="5A646C4C" w14:textId="2242DE70" w:rsidR="00F00A26" w:rsidRPr="008E6E0D" w:rsidRDefault="00F00A26" w:rsidP="00F00A26">
      <w:pPr>
        <w:pStyle w:val="xmsonormal"/>
        <w:shd w:val="clear" w:color="auto" w:fill="FFFFFF"/>
        <w:spacing w:line="360" w:lineRule="auto"/>
        <w:jc w:val="both"/>
        <w:rPr>
          <w:sz w:val="20"/>
          <w:szCs w:val="20"/>
          <w:lang w:val="en-US"/>
        </w:rPr>
      </w:pPr>
      <w:r w:rsidRPr="008E6E0D">
        <w:rPr>
          <w:sz w:val="20"/>
          <w:szCs w:val="20"/>
          <w:lang w:val="en-US"/>
        </w:rPr>
        <w:t>Polygenic risk scores (PRS) allow for</w:t>
      </w:r>
      <w:r w:rsidR="00110288" w:rsidRPr="008E6E0D">
        <w:rPr>
          <w:sz w:val="20"/>
          <w:szCs w:val="20"/>
          <w:lang w:val="en-US"/>
        </w:rPr>
        <w:t xml:space="preserve"> examining</w:t>
      </w:r>
      <w:r w:rsidRPr="008E6E0D">
        <w:rPr>
          <w:sz w:val="20"/>
          <w:szCs w:val="20"/>
          <w:lang w:val="en-US"/>
        </w:rPr>
        <w:t xml:space="preserve"> the cumulative effect of many genetic variants to be studied. For each individual, the PRS </w:t>
      </w:r>
      <w:r w:rsidR="00A81313" w:rsidRPr="008E6E0D">
        <w:rPr>
          <w:sz w:val="20"/>
          <w:szCs w:val="20"/>
          <w:lang w:val="en-US"/>
        </w:rPr>
        <w:t>was</w:t>
      </w:r>
      <w:r w:rsidRPr="008E6E0D">
        <w:rPr>
          <w:sz w:val="20"/>
          <w:szCs w:val="20"/>
          <w:lang w:val="en-US"/>
        </w:rPr>
        <w:t xml:space="preserve"> calculated as the number of risk alleles carried, multiplied by the effect size of the variant, summed across all variants included in the score, i.e.:</w:t>
      </w:r>
    </w:p>
    <w:p w14:paraId="599B7AF2" w14:textId="232BCF3A" w:rsidR="00F00A26" w:rsidRPr="008E6E0D" w:rsidRDefault="003E66A1" w:rsidP="00F00A26">
      <w:pPr>
        <w:pStyle w:val="xmsonormal"/>
        <w:shd w:val="clear" w:color="auto" w:fill="FFFFFF"/>
        <w:spacing w:line="360" w:lineRule="auto"/>
        <w:jc w:val="both"/>
        <w:rPr>
          <w:sz w:val="20"/>
          <w:szCs w:val="20"/>
          <w:lang w:val="en-US"/>
        </w:rPr>
      </w:pPr>
      <m:oMathPara>
        <m:oMath>
          <m:sSub>
            <m:sSubPr>
              <m:ctrlPr>
                <w:rPr>
                  <w:rFonts w:ascii="Cambria Math" w:hAnsi="Cambria Math"/>
                  <w:sz w:val="20"/>
                  <w:szCs w:val="20"/>
                  <w:lang w:val="en-US"/>
                </w:rPr>
              </m:ctrlPr>
            </m:sSubPr>
            <m:e>
              <m:r>
                <m:rPr>
                  <m:sty m:val="p"/>
                </m:rPr>
                <w:rPr>
                  <w:rFonts w:ascii="Cambria Math" w:hAnsi="Cambria Math"/>
                  <w:sz w:val="20"/>
                  <w:szCs w:val="20"/>
                  <w:lang w:val="en-US"/>
                </w:rPr>
                <m:t>PRS</m:t>
              </m:r>
            </m:e>
            <m:sub>
              <m:r>
                <w:rPr>
                  <w:rFonts w:ascii="Cambria Math" w:hAnsi="Cambria Math"/>
                  <w:sz w:val="20"/>
                  <w:szCs w:val="20"/>
                  <w:lang w:val="en-US"/>
                </w:rPr>
                <m:t>j</m:t>
              </m:r>
            </m:sub>
          </m:sSub>
          <m:r>
            <w:rPr>
              <w:rFonts w:ascii="Cambria Math" w:hAnsi="Cambria Math"/>
              <w:sz w:val="20"/>
              <w:szCs w:val="20"/>
              <w:lang w:val="en-US"/>
            </w:rPr>
            <m:t>=</m:t>
          </m:r>
          <m:nary>
            <m:naryPr>
              <m:chr m:val="∑"/>
              <m:limLoc m:val="undOvr"/>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i</m:t>
                  </m:r>
                </m:sub>
              </m:sSub>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ij</m:t>
                  </m:r>
                </m:sub>
              </m:sSub>
            </m:e>
          </m:nary>
        </m:oMath>
      </m:oMathPara>
    </w:p>
    <w:p w14:paraId="59C3CEDD" w14:textId="0D7D14D5" w:rsidR="00A81313" w:rsidRPr="008E6E0D" w:rsidRDefault="00F00A26" w:rsidP="003768C7">
      <w:pPr>
        <w:pStyle w:val="xmsonormal"/>
        <w:shd w:val="clear" w:color="auto" w:fill="FFFFFF"/>
        <w:spacing w:line="360" w:lineRule="auto"/>
        <w:jc w:val="both"/>
        <w:rPr>
          <w:sz w:val="20"/>
          <w:szCs w:val="20"/>
          <w:lang w:val="en-US"/>
        </w:rPr>
      </w:pPr>
      <w:r w:rsidRPr="008E6E0D">
        <w:rPr>
          <w:sz w:val="20"/>
          <w:szCs w:val="20"/>
          <w:lang w:val="en-US"/>
        </w:rPr>
        <w:t xml:space="preserve">where βi is the log(OR) of variant </w:t>
      </w:r>
      <w:r w:rsidRPr="008E6E0D">
        <w:rPr>
          <w:i/>
          <w:iCs/>
          <w:sz w:val="20"/>
          <w:szCs w:val="20"/>
          <w:lang w:val="en-US"/>
        </w:rPr>
        <w:t>i</w:t>
      </w:r>
      <w:r w:rsidRPr="008E6E0D">
        <w:rPr>
          <w:sz w:val="20"/>
          <w:szCs w:val="20"/>
          <w:lang w:val="en-US"/>
        </w:rPr>
        <w:t xml:space="preserve">, </w:t>
      </w:r>
      <w:r w:rsidRPr="008E6E0D">
        <w:rPr>
          <w:i/>
          <w:iCs/>
          <w:sz w:val="20"/>
          <w:szCs w:val="20"/>
          <w:lang w:val="en-US"/>
        </w:rPr>
        <w:t>Xij</w:t>
      </w:r>
      <w:r w:rsidRPr="008E6E0D">
        <w:rPr>
          <w:sz w:val="20"/>
          <w:szCs w:val="20"/>
          <w:lang w:val="en-US"/>
        </w:rPr>
        <w:t xml:space="preserve"> is the genotype of variant </w:t>
      </w:r>
      <w:r w:rsidRPr="008E6E0D">
        <w:rPr>
          <w:i/>
          <w:iCs/>
          <w:sz w:val="20"/>
          <w:szCs w:val="20"/>
          <w:lang w:val="en-US"/>
        </w:rPr>
        <w:t>i</w:t>
      </w:r>
      <w:r w:rsidRPr="008E6E0D">
        <w:rPr>
          <w:sz w:val="20"/>
          <w:szCs w:val="20"/>
          <w:lang w:val="en-US"/>
        </w:rPr>
        <w:t xml:space="preserve"> for person </w:t>
      </w:r>
      <w:r w:rsidRPr="008E6E0D">
        <w:rPr>
          <w:i/>
          <w:iCs/>
          <w:sz w:val="20"/>
          <w:szCs w:val="20"/>
          <w:lang w:val="en-US"/>
        </w:rPr>
        <w:t>j</w:t>
      </w:r>
      <w:r w:rsidRPr="008E6E0D">
        <w:rPr>
          <w:sz w:val="20"/>
          <w:szCs w:val="20"/>
          <w:lang w:val="en-US"/>
        </w:rPr>
        <w:t xml:space="preserve"> and n is the number of variants</w:t>
      </w:r>
      <w:r w:rsidR="004578E6" w:rsidRPr="008E6E0D">
        <w:rPr>
          <w:sz w:val="20"/>
          <w:szCs w:val="20"/>
          <w:lang w:val="en-US"/>
        </w:rPr>
        <w:t xml:space="preserve"> included in the PRS</w:t>
      </w:r>
      <w:r w:rsidRPr="008E6E0D">
        <w:rPr>
          <w:sz w:val="20"/>
          <w:szCs w:val="20"/>
          <w:lang w:val="en-US"/>
        </w:rPr>
        <w:t>.</w:t>
      </w:r>
      <w:r w:rsidR="005B40DD" w:rsidRPr="008E6E0D">
        <w:rPr>
          <w:sz w:val="20"/>
          <w:szCs w:val="20"/>
          <w:lang w:val="en-US"/>
        </w:rPr>
        <w:t xml:space="preserve"> W</w:t>
      </w:r>
      <w:r w:rsidR="003768C7" w:rsidRPr="008E6E0D">
        <w:rPr>
          <w:sz w:val="20"/>
          <w:szCs w:val="20"/>
          <w:lang w:val="en-US"/>
        </w:rPr>
        <w:t xml:space="preserve">e investigated </w:t>
      </w:r>
      <w:r w:rsidR="00A81313" w:rsidRPr="008E6E0D">
        <w:rPr>
          <w:sz w:val="20"/>
          <w:szCs w:val="20"/>
          <w:lang w:val="en-US"/>
        </w:rPr>
        <w:t xml:space="preserve">if </w:t>
      </w:r>
      <w:r w:rsidR="003768C7" w:rsidRPr="008E6E0D">
        <w:rPr>
          <w:sz w:val="20"/>
          <w:szCs w:val="20"/>
          <w:lang w:val="en-US"/>
        </w:rPr>
        <w:t xml:space="preserve">the </w:t>
      </w:r>
      <w:r w:rsidR="001D3ADC" w:rsidRPr="008E6E0D">
        <w:rPr>
          <w:sz w:val="20"/>
          <w:szCs w:val="20"/>
          <w:lang w:val="en-US"/>
        </w:rPr>
        <w:t xml:space="preserve">polygenic </w:t>
      </w:r>
      <w:r w:rsidR="00A81313" w:rsidRPr="008E6E0D">
        <w:rPr>
          <w:sz w:val="20"/>
          <w:szCs w:val="20"/>
          <w:lang w:val="en-US"/>
        </w:rPr>
        <w:t>component of</w:t>
      </w:r>
      <w:r w:rsidR="003768C7" w:rsidRPr="008E6E0D">
        <w:rPr>
          <w:sz w:val="20"/>
          <w:szCs w:val="20"/>
          <w:lang w:val="en-US"/>
        </w:rPr>
        <w:t xml:space="preserve"> </w:t>
      </w:r>
      <w:r w:rsidR="001D3ADC" w:rsidRPr="008E6E0D">
        <w:rPr>
          <w:sz w:val="20"/>
          <w:szCs w:val="20"/>
          <w:lang w:val="en-US"/>
        </w:rPr>
        <w:t xml:space="preserve">sepsis </w:t>
      </w:r>
      <w:r w:rsidR="007D6B03" w:rsidRPr="008E6E0D">
        <w:rPr>
          <w:sz w:val="20"/>
          <w:szCs w:val="20"/>
          <w:lang w:val="en-US"/>
        </w:rPr>
        <w:t>susceptibility</w:t>
      </w:r>
      <w:r w:rsidR="003768C7" w:rsidRPr="008E6E0D">
        <w:rPr>
          <w:sz w:val="20"/>
          <w:szCs w:val="20"/>
          <w:lang w:val="en-US"/>
        </w:rPr>
        <w:t xml:space="preserve"> </w:t>
      </w:r>
      <w:r w:rsidR="00A81313" w:rsidRPr="008E6E0D">
        <w:rPr>
          <w:sz w:val="20"/>
          <w:szCs w:val="20"/>
          <w:lang w:val="en-US"/>
        </w:rPr>
        <w:t>was associated with</w:t>
      </w:r>
      <w:r w:rsidR="003768C7" w:rsidRPr="008E6E0D">
        <w:rPr>
          <w:sz w:val="20"/>
          <w:szCs w:val="20"/>
          <w:lang w:val="en-US"/>
        </w:rPr>
        <w:t xml:space="preserve"> 28-day sepsis survival </w:t>
      </w:r>
      <w:r w:rsidR="00BB7DE9" w:rsidRPr="008E6E0D">
        <w:rPr>
          <w:sz w:val="20"/>
          <w:szCs w:val="20"/>
          <w:lang w:val="en-US"/>
        </w:rPr>
        <w:t>using</w:t>
      </w:r>
      <w:r w:rsidR="002253CB">
        <w:rPr>
          <w:sz w:val="20"/>
          <w:szCs w:val="20"/>
          <w:lang w:val="en-US"/>
        </w:rPr>
        <w:t xml:space="preserve"> PRSice v1.25 software</w:t>
      </w:r>
      <w:r w:rsidR="003768C7" w:rsidRPr="008E6E0D">
        <w:rPr>
          <w:sz w:val="20"/>
          <w:szCs w:val="20"/>
          <w:lang w:val="en-US"/>
        </w:rPr>
        <w:fldChar w:fldCharType="begin" w:fldLock="1"/>
      </w:r>
      <w:r w:rsidR="002253CB">
        <w:rPr>
          <w:sz w:val="20"/>
          <w:szCs w:val="20"/>
          <w:lang w:val="en-US"/>
        </w:rPr>
        <w:instrText>ADDIN CSL_CITATION {"citationItems":[{"id":"ITEM-1","itemData":{"DOI":"10.1093/bioinformatics/btu848","ISSN":"14602059","PMID":"25550326","abstract":"A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F.","non-dropping-particle":"","parse-names":false,"suffix":""}],"container-title":"Bioinformatics","id":"ITEM-1","issue":"9","issued":{"date-parts":[["2015"]]},"page":"1466-1468","title":"PRSice: Polygenic Risk Score software","type":"article-journal","volume":"31"},"uris":["http://www.mendeley.com/documents/?uuid=4c0a0b5f-0807-4aa4-a29b-7870c68b40dd"]}],"mendeley":{"formattedCitation":"&lt;sup&gt;27&lt;/sup&gt;","plainTextFormattedCitation":"27","previouslyFormattedCitation":"&lt;sup&gt;27&lt;/sup&gt;"},"properties":{"noteIndex":0},"schema":"https://github.com/citation-style-language/schema/raw/master/csl-citation.json"}</w:instrText>
      </w:r>
      <w:r w:rsidR="003768C7" w:rsidRPr="008E6E0D">
        <w:rPr>
          <w:sz w:val="20"/>
          <w:szCs w:val="20"/>
          <w:lang w:val="en-US"/>
        </w:rPr>
        <w:fldChar w:fldCharType="separate"/>
      </w:r>
      <w:r w:rsidR="002253CB" w:rsidRPr="002253CB">
        <w:rPr>
          <w:noProof/>
          <w:sz w:val="20"/>
          <w:szCs w:val="20"/>
          <w:vertAlign w:val="superscript"/>
          <w:lang w:val="en-US"/>
        </w:rPr>
        <w:t>27</w:t>
      </w:r>
      <w:r w:rsidR="003768C7" w:rsidRPr="008E6E0D">
        <w:rPr>
          <w:sz w:val="20"/>
          <w:szCs w:val="20"/>
          <w:lang w:val="en-US"/>
        </w:rPr>
        <w:fldChar w:fldCharType="end"/>
      </w:r>
      <w:r w:rsidR="003768C7" w:rsidRPr="008E6E0D">
        <w:rPr>
          <w:sz w:val="20"/>
          <w:szCs w:val="20"/>
          <w:lang w:val="en-US"/>
        </w:rPr>
        <w:t xml:space="preserve">. </w:t>
      </w:r>
    </w:p>
    <w:p w14:paraId="182A093C" w14:textId="1384556F" w:rsidR="00EB2256" w:rsidRPr="008E6E0D" w:rsidRDefault="00056727" w:rsidP="003768C7">
      <w:pPr>
        <w:pStyle w:val="xmsonormal"/>
        <w:shd w:val="clear" w:color="auto" w:fill="FFFFFF"/>
        <w:spacing w:line="360" w:lineRule="auto"/>
        <w:jc w:val="both"/>
        <w:rPr>
          <w:sz w:val="20"/>
          <w:szCs w:val="20"/>
          <w:lang w:val="en-US"/>
        </w:rPr>
      </w:pPr>
      <w:r w:rsidRPr="008E6E0D">
        <w:rPr>
          <w:sz w:val="20"/>
          <w:szCs w:val="20"/>
          <w:lang w:val="en-US"/>
        </w:rPr>
        <w:t>Given the lack</w:t>
      </w:r>
      <w:r w:rsidR="003B24E4" w:rsidRPr="008E6E0D">
        <w:rPr>
          <w:sz w:val="20"/>
          <w:szCs w:val="20"/>
          <w:lang w:val="en-US"/>
        </w:rPr>
        <w:t xml:space="preserve"> of GWAS of sepsis r</w:t>
      </w:r>
      <w:r w:rsidRPr="008E6E0D">
        <w:rPr>
          <w:sz w:val="20"/>
          <w:szCs w:val="20"/>
          <w:lang w:val="en-US"/>
        </w:rPr>
        <w:t>isk in the literature</w:t>
      </w:r>
      <w:r w:rsidR="00630365" w:rsidRPr="008E6E0D">
        <w:rPr>
          <w:sz w:val="20"/>
          <w:szCs w:val="20"/>
          <w:lang w:val="en-US"/>
        </w:rPr>
        <w:t>, we first</w:t>
      </w:r>
      <w:r w:rsidR="00AC4AB8" w:rsidRPr="008E6E0D">
        <w:rPr>
          <w:sz w:val="20"/>
          <w:szCs w:val="20"/>
          <w:lang w:val="en-US"/>
        </w:rPr>
        <w:t>ly</w:t>
      </w:r>
      <w:r w:rsidR="00630365" w:rsidRPr="008E6E0D">
        <w:rPr>
          <w:sz w:val="20"/>
          <w:szCs w:val="20"/>
          <w:lang w:val="en-US"/>
        </w:rPr>
        <w:t xml:space="preserve"> obtained genome-wide information </w:t>
      </w:r>
      <w:r w:rsidR="003768C7" w:rsidRPr="008E6E0D">
        <w:rPr>
          <w:sz w:val="20"/>
          <w:szCs w:val="20"/>
          <w:lang w:val="en-US"/>
        </w:rPr>
        <w:t>of sepsis susceptibility comparing the</w:t>
      </w:r>
      <w:r w:rsidR="00630365" w:rsidRPr="008E6E0D">
        <w:rPr>
          <w:sz w:val="20"/>
          <w:szCs w:val="20"/>
          <w:lang w:val="en-US"/>
        </w:rPr>
        <w:t xml:space="preserve"> genetic data from the</w:t>
      </w:r>
      <w:r w:rsidR="003768C7" w:rsidRPr="008E6E0D">
        <w:rPr>
          <w:sz w:val="20"/>
          <w:szCs w:val="20"/>
          <w:lang w:val="en-US"/>
        </w:rPr>
        <w:t xml:space="preserve"> 839 sepsis cases</w:t>
      </w:r>
      <w:r w:rsidR="00630365" w:rsidRPr="008E6E0D">
        <w:rPr>
          <w:sz w:val="20"/>
          <w:szCs w:val="20"/>
          <w:lang w:val="en-US"/>
        </w:rPr>
        <w:t xml:space="preserve"> </w:t>
      </w:r>
      <w:r w:rsidR="00CD2549" w:rsidRPr="008E6E0D">
        <w:rPr>
          <w:sz w:val="20"/>
          <w:szCs w:val="20"/>
          <w:lang w:val="en-US"/>
        </w:rPr>
        <w:t>with available information</w:t>
      </w:r>
      <w:r w:rsidR="003768C7" w:rsidRPr="008E6E0D">
        <w:rPr>
          <w:sz w:val="20"/>
          <w:szCs w:val="20"/>
          <w:lang w:val="en-US"/>
        </w:rPr>
        <w:t xml:space="preserve"> </w:t>
      </w:r>
      <w:r w:rsidR="00CD2549" w:rsidRPr="008E6E0D">
        <w:rPr>
          <w:sz w:val="20"/>
          <w:szCs w:val="20"/>
          <w:lang w:val="en-US"/>
        </w:rPr>
        <w:t>from</w:t>
      </w:r>
      <w:r w:rsidR="003768C7" w:rsidRPr="008E6E0D">
        <w:rPr>
          <w:sz w:val="20"/>
          <w:szCs w:val="20"/>
          <w:lang w:val="en-US"/>
        </w:rPr>
        <w:t xml:space="preserve"> the GEN-SEP to 1</w:t>
      </w:r>
      <w:r w:rsidR="009D37C8" w:rsidRPr="008E6E0D">
        <w:rPr>
          <w:sz w:val="20"/>
          <w:szCs w:val="20"/>
          <w:lang w:val="en-US"/>
        </w:rPr>
        <w:t>,</w:t>
      </w:r>
      <w:r w:rsidR="003768C7" w:rsidRPr="008E6E0D">
        <w:rPr>
          <w:sz w:val="20"/>
          <w:szCs w:val="20"/>
          <w:lang w:val="en-US"/>
        </w:rPr>
        <w:t>453 population controls</w:t>
      </w:r>
      <w:r w:rsidR="006F02D8" w:rsidRPr="008E6E0D">
        <w:rPr>
          <w:sz w:val="20"/>
          <w:szCs w:val="20"/>
          <w:lang w:val="en-US"/>
        </w:rPr>
        <w:t>. The controls declared having two generations of ancestors born in Spain and no personal or family history of infectious, cancerous, mental, cardiovascular or immunological</w:t>
      </w:r>
      <w:r w:rsidR="00B44B56" w:rsidRPr="008E6E0D">
        <w:rPr>
          <w:sz w:val="20"/>
          <w:szCs w:val="20"/>
          <w:lang w:val="en-US"/>
        </w:rPr>
        <w:t xml:space="preserve"> diseases. </w:t>
      </w:r>
      <w:r w:rsidR="006F02D8" w:rsidRPr="008E6E0D">
        <w:rPr>
          <w:sz w:val="20"/>
          <w:szCs w:val="20"/>
          <w:lang w:val="en-US"/>
        </w:rPr>
        <w:t xml:space="preserve">The data </w:t>
      </w:r>
      <w:r w:rsidR="009B627F" w:rsidRPr="008E6E0D">
        <w:rPr>
          <w:sz w:val="20"/>
          <w:szCs w:val="20"/>
          <w:lang w:val="en-US"/>
        </w:rPr>
        <w:t xml:space="preserve">from all these controls </w:t>
      </w:r>
      <w:r w:rsidR="006F02D8" w:rsidRPr="008E6E0D">
        <w:rPr>
          <w:sz w:val="20"/>
          <w:szCs w:val="20"/>
          <w:lang w:val="en-US"/>
        </w:rPr>
        <w:t xml:space="preserve">were used and described in </w:t>
      </w:r>
      <w:r w:rsidR="007C5C0D" w:rsidRPr="008E6E0D">
        <w:rPr>
          <w:sz w:val="20"/>
          <w:szCs w:val="20"/>
          <w:lang w:val="en-US"/>
        </w:rPr>
        <w:t>previous</w:t>
      </w:r>
      <w:r w:rsidR="006F02D8" w:rsidRPr="008E6E0D">
        <w:rPr>
          <w:sz w:val="20"/>
          <w:szCs w:val="20"/>
          <w:lang w:val="en-US"/>
        </w:rPr>
        <w:t xml:space="preserve"> studies</w:t>
      </w:r>
      <w:r w:rsidR="006F02D8" w:rsidRPr="008E6E0D">
        <w:rPr>
          <w:sz w:val="20"/>
          <w:szCs w:val="20"/>
          <w:lang w:val="en-US"/>
        </w:rPr>
        <w:fldChar w:fldCharType="begin" w:fldLock="1"/>
      </w:r>
      <w:r w:rsidR="002253CB">
        <w:rPr>
          <w:sz w:val="20"/>
          <w:szCs w:val="20"/>
          <w:lang w:val="en-US"/>
        </w:rPr>
        <w:instrText>ADDIN CSL_CITATION {"citationItems":[{"id":"ITEM-1","itemData":{"DOI":"10.1016/j.jaci.2015.09.051","ISSN":"10976825","PMID":"26620591","author":[{"dropping-particle":"","family":"Barreto-Luis","given":"Amalia","non-dropping-particle":"","parse-names":false,"suffix":""},{"dropping-particle":"","family":"Pino-Yanes","given":"Maria","non-dropping-particle":"","parse-names":false,"suffix":""},{"dropping-particle":"","family":"Corrales","given":"Almudena","non-dropping-particle":"","parse-names":false,"suffix":""},{"dropping-particle":"","family":"Campo","given":"Paloma","non-dropping-particle":"","parse-names":false,"suffix":""},{"dropping-particle":"","family":"Callero","given":"Ariel","non-dropping-particle":"","parse-names":false,"suffix":""},{"dropping-particle":"","family":"Acosta-Herrera","given":"Marialbert","non-dropping-particle":"","parse-names":false,"suffix":""},{"dropping-particle":"","family":"Cumplido","given":"José","non-dropping-particle":"","parse-names":false,"suffix":""},{"dropping-particle":"","family":"Ma","given":"Shwu Fan","non-dropping-particle":"","parse-names":false,"suffix":""},{"dropping-particle":"","family":"Martinez-Tadeo","given":"Juan","non-dropping-particle":"","parse-names":false,"suffix":""},{"dropping-particle":"","family":"Villar","given":"Jesús","non-dropping-particle":"","parse-names":false,"suffix":""},{"dropping-particle":"","family":"Garcia","given":"Joe G.N.","non-dropping-particle":"","parse-names":false,"suffix":""},{"dropping-particle":"","family":"Carrillo","given":"Teresa","non-dropping-particle":"","parse-names":false,"suffix":""},{"dropping-particle":"","family":"Carracedo","given":"Ángel","non-dropping-particle":"","parse-names":false,"suffix":""},{"dropping-particle":"","family":"Blanca","given":"Miguel","non-dropping-particle":"","parse-names":false,"suffix":""},{"dropping-particle":"","family":"Flores","given":"Carlos","non-dropping-particle":"","parse-names":false,"suffix":""}],"container-title":"Journal of Allergy and Clinical Immunology","id":"ITEM-1","issue":"3","issued":{"date-parts":[["2016"]]},"page":"964-966","title":"Genome-wide association study in Spanish identifies ADAM metallopeptidase with thrombospondin type 1 motif, 9 (ADAMTS9), as a novel asthma susceptibility gene","type":"article-journal","volume":"137"},"uris":["http://www.mendeley.com/documents/?uuid=c116df47-28bc-4ea9-8bfa-3bb8ed1a9c23"]}],"mendeley":{"formattedCitation":"&lt;sup&gt;28&lt;/sup&gt;","plainTextFormattedCitation":"28","previouslyFormattedCitation":"&lt;sup&gt;28&lt;/sup&gt;"},"properties":{"noteIndex":0},"schema":"https://github.com/citation-style-language/schema/raw/master/csl-citation.json"}</w:instrText>
      </w:r>
      <w:r w:rsidR="006F02D8" w:rsidRPr="008E6E0D">
        <w:rPr>
          <w:sz w:val="20"/>
          <w:szCs w:val="20"/>
          <w:lang w:val="en-US"/>
        </w:rPr>
        <w:fldChar w:fldCharType="separate"/>
      </w:r>
      <w:r w:rsidR="002253CB" w:rsidRPr="002253CB">
        <w:rPr>
          <w:noProof/>
          <w:sz w:val="20"/>
          <w:szCs w:val="20"/>
          <w:vertAlign w:val="superscript"/>
          <w:lang w:val="en-US"/>
        </w:rPr>
        <w:t>28</w:t>
      </w:r>
      <w:r w:rsidR="006F02D8" w:rsidRPr="008E6E0D">
        <w:rPr>
          <w:sz w:val="20"/>
          <w:szCs w:val="20"/>
          <w:lang w:val="en-US"/>
        </w:rPr>
        <w:fldChar w:fldCharType="end"/>
      </w:r>
      <w:r w:rsidR="002253CB" w:rsidRPr="002253CB">
        <w:rPr>
          <w:sz w:val="20"/>
          <w:szCs w:val="20"/>
          <w:vertAlign w:val="superscript"/>
          <w:lang w:val="en-US"/>
        </w:rPr>
        <w:t>-</w:t>
      </w:r>
      <w:r w:rsidR="006F02D8" w:rsidRPr="008E6E0D">
        <w:rPr>
          <w:sz w:val="20"/>
          <w:szCs w:val="20"/>
          <w:lang w:val="en-US"/>
        </w:rPr>
        <w:fldChar w:fldCharType="begin" w:fldLock="1"/>
      </w:r>
      <w:r w:rsidR="002253CB">
        <w:rPr>
          <w:sz w:val="20"/>
          <w:szCs w:val="20"/>
          <w:lang w:val="en-US"/>
        </w:rPr>
        <w:instrText>ADDIN CSL_CITATION {"citationItems":[{"id":"ITEM-1","itemData":{"DOI":"10.1152/AJPLUNG.00344.2019","ISSN":"15221504","PMID":"32186396","abstract":"The prevalence of asthma symptoms in Canary Islanders, a southwestern European population from Spain, is almost three times higher than the country average. Because the genetic risks identified so far explain &lt;5% of asthma heritability, here we aimed to discover new asthma loci by completing the first admixture mapping study in Canary Islanders leveraging their distinctive genetic makeup, where significant northwest African influences coexist in the European genetic diversity landscape. A 2-stage study was conducted in 1,491 unrelated individuals self-declaring having a Canary Islands origin for the 4 grandparents. Local ancestry estimates were obtained for the shared positions with reference data from putative ancestral populations from Europe, North Africa, and sub-Saharan Africa. Case-control deviations in local ancestry were tested for each ancestry separately using logistic regressions adjusted for principal components, followed by fine-mapping analyses based on imputed genotypes and analyses of the likely deleterious exonic variants. The admixture mapping analysis of asthma detected that local North African ancestry in a locus spanning 365 kb of chromosome 16q23.3 was associated with asthma risk at study-wide significance [lowest P = 1.12 × 10- 4; odds ratio (OR) = 2.05; 95% confidence interval (CI) = 1.41-3.00]. Fine-mapping studies identified a variant associated with asthma, and results were replicated in independent samples (rs3852738, OR = 1.34; 95% CI = 1.13-1.59, P = 7.58 × 10- 4). Whole exome sequencing data from a subset of individuals revealed an enrichment of likely deleterious variants among asthma cases in 16q23.3, particularly in the phospholipase Cγ2 (PLCG2) gene (P = 3.67 × 10- 4). By completing the first mapping study of asthma in admixed populations from Europe, our results revealed a new plausible asthma locus.","author":[{"dropping-particle":"","family":"Guillen-Guio","given":"Beatriz","non-dropping-particle":"","parse-names":false,"suffix":""},{"dropping-particle":"","family":"Hernández-Beeftink","given":"Tamara","non-dropping-particle":"","parse-names":false,"suffix":""},{"dropping-particle":"","family":"Marcelino-Rodríguez","given":"Itahisa","non-dropping-particle":"","parse-names":false,"suffix":""},{"dropping-particle":"","family":"Rodríguez-Pérez","given":"Héctor","non-dropping-particle":"","parse-names":false,"suffix":""},{"dropping-particle":"","family":"Lorenzo-Salazar","given":"Jose M.","non-dropping-particle":"","parse-names":false,"suffix":""},{"dropping-particle":"","family":"Espinilla-Peña","given":"Marta","non-dropping-particle":"","parse-names":false,"suffix":""},{"dropping-particle":"","family":"Corrales","given":"Almudena","non-dropping-particle":"","parse-names":false,"suffix":""},{"dropping-particle":"","family":"Pino-Yanes","given":"Maria","non-dropping-particle":"","parse-names":false,"suffix":""},{"dropping-particle":"","family":"Callero","given":"Ariel","non-dropping-particle":"","parse-names":false,"suffix":""},{"dropping-particle":"","family":"Perez-Rodriguez","given":"Eva","non-dropping-particle":"","parse-names":false,"suffix":""},{"dropping-particle":"","family":"Villar","given":"Jesús","non-dropping-particle":"","parse-names":false,"suffix":""},{"dropping-particle":"","family":"González-Montelongo","given":"Rafaela","non-dropping-particle":"","parse-names":false,"suffix":""},{"dropping-particle":"","family":"Flores","given":"Carlos","non-dropping-particle":"","parse-names":false,"suffix":""}],"container-title":"American Journal of Physiology - Lung Cellular and Molecular Physiology","id":"ITEM-1","issue":"5","issued":{"date-parts":[["2020"]]},"page":"L965-L975","title":"Admixture mapping of asthma in southwestern Europeans with North African ancestry influences","type":"article-journal","volume":"318"},"uris":["http://www.mendeley.com/documents/?uuid=a0063279-37c4-49f9-9c8a-0a2d6280b2b1"]}],"mendeley":{"formattedCitation":"&lt;sup&gt;29&lt;/sup&gt;","plainTextFormattedCitation":"29","previouslyFormattedCitation":"&lt;sup&gt;29&lt;/sup&gt;"},"properties":{"noteIndex":0},"schema":"https://github.com/citation-style-language/schema/raw/master/csl-citation.json"}</w:instrText>
      </w:r>
      <w:r w:rsidR="006F02D8" w:rsidRPr="008E6E0D">
        <w:rPr>
          <w:sz w:val="20"/>
          <w:szCs w:val="20"/>
          <w:lang w:val="en-US"/>
        </w:rPr>
        <w:fldChar w:fldCharType="separate"/>
      </w:r>
      <w:r w:rsidR="002253CB" w:rsidRPr="002253CB">
        <w:rPr>
          <w:noProof/>
          <w:sz w:val="20"/>
          <w:szCs w:val="20"/>
          <w:vertAlign w:val="superscript"/>
          <w:lang w:val="en-US"/>
        </w:rPr>
        <w:t>29</w:t>
      </w:r>
      <w:r w:rsidR="006F02D8" w:rsidRPr="008E6E0D">
        <w:rPr>
          <w:sz w:val="20"/>
          <w:szCs w:val="20"/>
          <w:lang w:val="en-US"/>
        </w:rPr>
        <w:fldChar w:fldCharType="end"/>
      </w:r>
      <w:r w:rsidR="006F02D8" w:rsidRPr="008E6E0D">
        <w:rPr>
          <w:sz w:val="20"/>
          <w:szCs w:val="20"/>
          <w:lang w:val="en-US"/>
        </w:rPr>
        <w:t>.</w:t>
      </w:r>
    </w:p>
    <w:p w14:paraId="7893C437" w14:textId="77777777" w:rsidR="005B40DD" w:rsidRPr="008E6E0D" w:rsidRDefault="003768C7" w:rsidP="003768C7">
      <w:pPr>
        <w:pStyle w:val="xmsonormal"/>
        <w:shd w:val="clear" w:color="auto" w:fill="FFFFFF"/>
        <w:spacing w:line="360" w:lineRule="auto"/>
        <w:jc w:val="both"/>
        <w:rPr>
          <w:sz w:val="20"/>
          <w:szCs w:val="20"/>
          <w:lang w:val="en-US"/>
        </w:rPr>
      </w:pPr>
      <w:r w:rsidRPr="008E6E0D">
        <w:rPr>
          <w:sz w:val="20"/>
          <w:szCs w:val="20"/>
          <w:lang w:val="en-US"/>
        </w:rPr>
        <w:t xml:space="preserve">For the controls, the array, quality controls, and imputation steps were equivalent to those of the GEN-SEP. </w:t>
      </w:r>
    </w:p>
    <w:p w14:paraId="7EB72C06" w14:textId="2FF87859" w:rsidR="00C92500" w:rsidRPr="008E6E0D" w:rsidRDefault="00C92500" w:rsidP="003768C7">
      <w:pPr>
        <w:pStyle w:val="xmsonormal"/>
        <w:shd w:val="clear" w:color="auto" w:fill="FFFFFF"/>
        <w:spacing w:line="360" w:lineRule="auto"/>
        <w:jc w:val="both"/>
        <w:rPr>
          <w:sz w:val="20"/>
          <w:szCs w:val="20"/>
          <w:lang w:val="en-US"/>
        </w:rPr>
      </w:pPr>
      <w:r w:rsidRPr="008E6E0D">
        <w:rPr>
          <w:sz w:val="20"/>
          <w:szCs w:val="20"/>
          <w:lang w:val="en-US"/>
        </w:rPr>
        <w:t xml:space="preserve">For this GWAS of </w:t>
      </w:r>
      <w:r w:rsidRPr="000C5871">
        <w:rPr>
          <w:sz w:val="20"/>
          <w:szCs w:val="20"/>
          <w:lang w:val="en-US"/>
        </w:rPr>
        <w:t>sepsis susceptibility, a</w:t>
      </w:r>
      <w:r w:rsidR="003768C7" w:rsidRPr="000C5871">
        <w:rPr>
          <w:sz w:val="20"/>
          <w:szCs w:val="20"/>
          <w:lang w:val="en-US"/>
        </w:rPr>
        <w:t xml:space="preserve">ssociation analyses were performed </w:t>
      </w:r>
      <w:r w:rsidRPr="000C5871">
        <w:rPr>
          <w:sz w:val="20"/>
          <w:szCs w:val="20"/>
          <w:lang w:val="en-US"/>
        </w:rPr>
        <w:t>with</w:t>
      </w:r>
      <w:r w:rsidR="003768C7" w:rsidRPr="000C5871">
        <w:rPr>
          <w:sz w:val="20"/>
          <w:szCs w:val="20"/>
          <w:lang w:val="en-US"/>
        </w:rPr>
        <w:t xml:space="preserve"> logistic regression</w:t>
      </w:r>
      <w:r w:rsidRPr="000C5871">
        <w:rPr>
          <w:sz w:val="20"/>
          <w:szCs w:val="20"/>
          <w:lang w:val="en-US"/>
        </w:rPr>
        <w:t xml:space="preserve"> models</w:t>
      </w:r>
      <w:r w:rsidR="00BB7DE9" w:rsidRPr="000C5871">
        <w:rPr>
          <w:sz w:val="20"/>
          <w:szCs w:val="20"/>
          <w:lang w:val="en-US"/>
        </w:rPr>
        <w:t xml:space="preserve"> using EPACTS</w:t>
      </w:r>
      <w:r w:rsidR="002253CB" w:rsidRPr="000C5871">
        <w:rPr>
          <w:sz w:val="20"/>
          <w:szCs w:val="20"/>
          <w:lang w:val="en-US"/>
        </w:rPr>
        <w:t xml:space="preserve"> v3.2.6</w:t>
      </w:r>
      <w:r w:rsidR="002253CB" w:rsidRPr="000C5871">
        <w:rPr>
          <w:sz w:val="20"/>
          <w:szCs w:val="20"/>
          <w:vertAlign w:val="superscript"/>
          <w:lang w:val="en-US"/>
        </w:rPr>
        <w:t>30</w:t>
      </w:r>
      <w:r w:rsidRPr="000C5871">
        <w:rPr>
          <w:sz w:val="20"/>
          <w:szCs w:val="20"/>
          <w:lang w:val="en-US"/>
        </w:rPr>
        <w:t>,</w:t>
      </w:r>
      <w:r w:rsidR="003768C7" w:rsidRPr="000C5871">
        <w:rPr>
          <w:sz w:val="20"/>
          <w:szCs w:val="20"/>
          <w:lang w:val="en-US"/>
        </w:rPr>
        <w:t xml:space="preserve"> adjusting for </w:t>
      </w:r>
      <w:r w:rsidR="0066763E" w:rsidRPr="000C5871">
        <w:rPr>
          <w:sz w:val="20"/>
          <w:szCs w:val="20"/>
          <w:lang w:val="en-US"/>
        </w:rPr>
        <w:t>sex</w:t>
      </w:r>
      <w:r w:rsidR="003768C7" w:rsidRPr="000C5871">
        <w:rPr>
          <w:sz w:val="20"/>
          <w:szCs w:val="20"/>
          <w:lang w:val="en-US"/>
        </w:rPr>
        <w:t>, age</w:t>
      </w:r>
      <w:r w:rsidR="00495705">
        <w:rPr>
          <w:sz w:val="20"/>
          <w:szCs w:val="20"/>
          <w:lang w:val="en-US"/>
        </w:rPr>
        <w:t>,</w:t>
      </w:r>
      <w:r w:rsidR="003768C7" w:rsidRPr="000C5871">
        <w:rPr>
          <w:sz w:val="20"/>
          <w:szCs w:val="20"/>
          <w:lang w:val="en-US"/>
        </w:rPr>
        <w:t xml:space="preserve"> and the two main PCs</w:t>
      </w:r>
      <w:r w:rsidR="006E6896" w:rsidRPr="000C5871">
        <w:rPr>
          <w:sz w:val="20"/>
          <w:szCs w:val="20"/>
          <w:lang w:val="en-US"/>
        </w:rPr>
        <w:t xml:space="preserve"> (</w:t>
      </w:r>
      <w:r w:rsidR="00D310E7" w:rsidRPr="000C5871">
        <w:rPr>
          <w:sz w:val="20"/>
          <w:szCs w:val="20"/>
          <w:lang w:val="en-US"/>
        </w:rPr>
        <w:t xml:space="preserve">not </w:t>
      </w:r>
      <w:r w:rsidR="003C69BE" w:rsidRPr="000C5871">
        <w:rPr>
          <w:sz w:val="20"/>
          <w:szCs w:val="20"/>
          <w:lang w:val="en-US"/>
        </w:rPr>
        <w:t xml:space="preserve">resulting in </w:t>
      </w:r>
      <w:r w:rsidR="00D310E7" w:rsidRPr="000C5871">
        <w:rPr>
          <w:sz w:val="20"/>
          <w:szCs w:val="20"/>
          <w:lang w:val="en-US"/>
        </w:rPr>
        <w:t xml:space="preserve">major </w:t>
      </w:r>
      <w:r w:rsidR="00316342" w:rsidRPr="000C5871">
        <w:rPr>
          <w:sz w:val="20"/>
          <w:szCs w:val="20"/>
          <w:lang w:val="en-US"/>
        </w:rPr>
        <w:t>systematic deviations from the null</w:t>
      </w:r>
      <w:r w:rsidR="00B717D2" w:rsidRPr="000C5871">
        <w:rPr>
          <w:sz w:val="20"/>
          <w:szCs w:val="20"/>
          <w:lang w:val="en-US"/>
        </w:rPr>
        <w:t>;</w:t>
      </w:r>
      <w:r w:rsidR="00316342" w:rsidRPr="000C5871">
        <w:rPr>
          <w:sz w:val="20"/>
          <w:szCs w:val="20"/>
          <w:lang w:val="en-US"/>
        </w:rPr>
        <w:t xml:space="preserve"> </w:t>
      </w:r>
      <w:r w:rsidR="006E6896" w:rsidRPr="000C5871">
        <w:rPr>
          <w:bCs/>
          <w:sz w:val="20"/>
          <w:szCs w:val="20"/>
          <w:lang w:val="en-US"/>
        </w:rPr>
        <w:t>λ=</w:t>
      </w:r>
      <w:r w:rsidR="00B9393B" w:rsidRPr="000C5871">
        <w:rPr>
          <w:bCs/>
          <w:sz w:val="20"/>
          <w:szCs w:val="20"/>
          <w:lang w:val="en-US"/>
        </w:rPr>
        <w:t>1.04</w:t>
      </w:r>
      <w:r w:rsidR="0077315E" w:rsidRPr="000C5871">
        <w:rPr>
          <w:bCs/>
          <w:sz w:val="20"/>
          <w:szCs w:val="20"/>
          <w:lang w:val="en-US"/>
        </w:rPr>
        <w:t>)</w:t>
      </w:r>
      <w:r w:rsidR="003768C7" w:rsidRPr="000C5871">
        <w:rPr>
          <w:sz w:val="20"/>
          <w:szCs w:val="20"/>
          <w:lang w:val="en-US"/>
        </w:rPr>
        <w:t>.</w:t>
      </w:r>
    </w:p>
    <w:p w14:paraId="3D016930" w14:textId="53E9E59F" w:rsidR="00033D1C" w:rsidRPr="008E6E0D" w:rsidRDefault="000B2E69" w:rsidP="003768C7">
      <w:pPr>
        <w:pStyle w:val="xmsonormal"/>
        <w:shd w:val="clear" w:color="auto" w:fill="FFFFFF"/>
        <w:spacing w:line="360" w:lineRule="auto"/>
        <w:jc w:val="both"/>
        <w:rPr>
          <w:sz w:val="20"/>
          <w:szCs w:val="20"/>
          <w:lang w:val="en-US"/>
        </w:rPr>
      </w:pPr>
      <w:r w:rsidRPr="008E6E0D">
        <w:rPr>
          <w:sz w:val="20"/>
          <w:szCs w:val="20"/>
          <w:lang w:val="en-US"/>
        </w:rPr>
        <w:t>For the PRS analyses, a</w:t>
      </w:r>
      <w:r w:rsidR="003768C7" w:rsidRPr="008E6E0D">
        <w:rPr>
          <w:sz w:val="20"/>
          <w:szCs w:val="20"/>
          <w:lang w:val="en-US"/>
        </w:rPr>
        <w:t xml:space="preserve"> total of 370,316 independent variants were selected after LD-clumping (r</w:t>
      </w:r>
      <w:r w:rsidR="003768C7" w:rsidRPr="008E6E0D">
        <w:rPr>
          <w:sz w:val="20"/>
          <w:szCs w:val="20"/>
          <w:vertAlign w:val="superscript"/>
          <w:lang w:val="en-US"/>
        </w:rPr>
        <w:t>2</w:t>
      </w:r>
      <w:r w:rsidR="003768C7" w:rsidRPr="008E6E0D">
        <w:rPr>
          <w:sz w:val="20"/>
          <w:szCs w:val="20"/>
          <w:lang w:val="en-US"/>
        </w:rPr>
        <w:t xml:space="preserve">≤0.1). </w:t>
      </w:r>
      <w:r w:rsidR="00C330E6" w:rsidRPr="008E6E0D">
        <w:rPr>
          <w:sz w:val="20"/>
          <w:szCs w:val="20"/>
          <w:lang w:val="en-US"/>
        </w:rPr>
        <w:t>W</w:t>
      </w:r>
      <w:r w:rsidR="003768C7" w:rsidRPr="008E6E0D">
        <w:rPr>
          <w:sz w:val="20"/>
          <w:szCs w:val="20"/>
          <w:lang w:val="en-US"/>
        </w:rPr>
        <w:t xml:space="preserve">e repeated </w:t>
      </w:r>
      <w:r w:rsidR="0029405B" w:rsidRPr="008E6E0D">
        <w:rPr>
          <w:sz w:val="20"/>
          <w:szCs w:val="20"/>
          <w:lang w:val="en-US"/>
        </w:rPr>
        <w:t>this by</w:t>
      </w:r>
      <w:r w:rsidR="003768C7" w:rsidRPr="008E6E0D">
        <w:rPr>
          <w:sz w:val="20"/>
          <w:szCs w:val="20"/>
          <w:lang w:val="en-US"/>
        </w:rPr>
        <w:t xml:space="preserve"> excluding </w:t>
      </w:r>
      <w:r w:rsidR="0029405B" w:rsidRPr="008E6E0D">
        <w:rPr>
          <w:sz w:val="20"/>
          <w:szCs w:val="20"/>
          <w:lang w:val="en-US"/>
        </w:rPr>
        <w:t xml:space="preserve">all </w:t>
      </w:r>
      <w:r w:rsidR="001113E9" w:rsidRPr="008E6E0D">
        <w:rPr>
          <w:sz w:val="20"/>
          <w:szCs w:val="20"/>
          <w:lang w:val="en-US"/>
        </w:rPr>
        <w:t xml:space="preserve">variants </w:t>
      </w:r>
      <w:r w:rsidR="003768C7" w:rsidRPr="008E6E0D">
        <w:rPr>
          <w:sz w:val="20"/>
          <w:szCs w:val="20"/>
          <w:lang w:val="en-US"/>
        </w:rPr>
        <w:t xml:space="preserve">within </w:t>
      </w:r>
      <w:r w:rsidR="004920AC" w:rsidRPr="004920AC">
        <w:rPr>
          <w:sz w:val="20"/>
          <w:szCs w:val="20"/>
          <w:lang w:val="en-US"/>
        </w:rPr>
        <w:t>±</w:t>
      </w:r>
      <w:r w:rsidR="003768C7" w:rsidRPr="008E6E0D">
        <w:rPr>
          <w:sz w:val="20"/>
          <w:szCs w:val="20"/>
          <w:lang w:val="en-US"/>
        </w:rPr>
        <w:t xml:space="preserve">500 kb of the candidate genes </w:t>
      </w:r>
      <w:r w:rsidR="00BD7A29" w:rsidRPr="008E6E0D">
        <w:rPr>
          <w:sz w:val="20"/>
          <w:szCs w:val="20"/>
          <w:lang w:val="en-US"/>
        </w:rPr>
        <w:t xml:space="preserve">that were </w:t>
      </w:r>
      <w:r w:rsidR="003768C7" w:rsidRPr="008E6E0D">
        <w:rPr>
          <w:sz w:val="20"/>
          <w:szCs w:val="20"/>
          <w:lang w:val="en-US"/>
        </w:rPr>
        <w:t>associated with sepsis</w:t>
      </w:r>
      <w:r w:rsidR="00BD7A29" w:rsidRPr="008E6E0D">
        <w:rPr>
          <w:sz w:val="20"/>
          <w:szCs w:val="20"/>
          <w:lang w:val="en-US"/>
        </w:rPr>
        <w:t xml:space="preserve"> susceptibility</w:t>
      </w:r>
      <w:r w:rsidR="003768C7" w:rsidRPr="008E6E0D">
        <w:rPr>
          <w:sz w:val="20"/>
          <w:szCs w:val="20"/>
          <w:lang w:val="en-US"/>
        </w:rPr>
        <w:t xml:space="preserve"> in more than 20 publications (</w:t>
      </w:r>
      <w:r w:rsidR="00D33260" w:rsidRPr="008E6E0D">
        <w:rPr>
          <w:b/>
          <w:sz w:val="20"/>
          <w:szCs w:val="20"/>
          <w:lang w:val="en-US"/>
        </w:rPr>
        <w:t>Table S</w:t>
      </w:r>
      <w:r w:rsidR="003768C7" w:rsidRPr="008E6E0D">
        <w:rPr>
          <w:b/>
          <w:sz w:val="20"/>
          <w:szCs w:val="20"/>
          <w:lang w:val="en-US"/>
        </w:rPr>
        <w:t>2</w:t>
      </w:r>
      <w:r w:rsidR="003768C7" w:rsidRPr="008E6E0D">
        <w:rPr>
          <w:sz w:val="20"/>
          <w:szCs w:val="20"/>
          <w:lang w:val="en-US"/>
        </w:rPr>
        <w:t>)</w:t>
      </w:r>
      <w:r w:rsidR="00BD7A29" w:rsidRPr="008E6E0D">
        <w:rPr>
          <w:sz w:val="20"/>
          <w:szCs w:val="20"/>
          <w:lang w:val="en-US"/>
        </w:rPr>
        <w:t xml:space="preserve"> according to </w:t>
      </w:r>
      <w:r w:rsidR="003768C7" w:rsidRPr="008E6E0D">
        <w:rPr>
          <w:sz w:val="20"/>
          <w:szCs w:val="20"/>
          <w:lang w:val="en-US"/>
        </w:rPr>
        <w:t>the Public Health Genomics and Precision Health Knowledge Base (v6.2.3) database</w:t>
      </w:r>
      <w:r w:rsidR="00BD7A29" w:rsidRPr="008E6E0D">
        <w:rPr>
          <w:sz w:val="20"/>
          <w:szCs w:val="20"/>
          <w:lang w:val="en-US"/>
        </w:rPr>
        <w:t xml:space="preserve"> records</w:t>
      </w:r>
      <w:r w:rsidR="003768C7" w:rsidRPr="008E6E0D">
        <w:rPr>
          <w:sz w:val="20"/>
          <w:szCs w:val="20"/>
          <w:lang w:val="en-US"/>
        </w:rPr>
        <w:t xml:space="preserve">. In this case, 368,724 independent variants were used. </w:t>
      </w:r>
      <w:r w:rsidR="00C330E6" w:rsidRPr="008E6E0D">
        <w:rPr>
          <w:sz w:val="20"/>
          <w:szCs w:val="20"/>
          <w:lang w:val="en-US"/>
        </w:rPr>
        <w:t>W</w:t>
      </w:r>
      <w:r w:rsidR="003768C7" w:rsidRPr="008E6E0D">
        <w:rPr>
          <w:sz w:val="20"/>
          <w:szCs w:val="20"/>
          <w:lang w:val="en-US"/>
        </w:rPr>
        <w:t xml:space="preserve">e </w:t>
      </w:r>
      <w:r w:rsidR="00C330E6" w:rsidRPr="008E6E0D">
        <w:rPr>
          <w:sz w:val="20"/>
          <w:szCs w:val="20"/>
          <w:lang w:val="en-US"/>
        </w:rPr>
        <w:t xml:space="preserve">also </w:t>
      </w:r>
      <w:r w:rsidR="00BD7A29" w:rsidRPr="008E6E0D">
        <w:rPr>
          <w:sz w:val="20"/>
          <w:szCs w:val="20"/>
          <w:lang w:val="en-US"/>
        </w:rPr>
        <w:t>repeated this by</w:t>
      </w:r>
      <w:r w:rsidR="003768C7" w:rsidRPr="008E6E0D">
        <w:rPr>
          <w:sz w:val="20"/>
          <w:szCs w:val="20"/>
          <w:lang w:val="en-US"/>
        </w:rPr>
        <w:t xml:space="preserve"> exclud</w:t>
      </w:r>
      <w:r w:rsidR="001C7423" w:rsidRPr="008E6E0D">
        <w:rPr>
          <w:sz w:val="20"/>
          <w:szCs w:val="20"/>
          <w:lang w:val="en-US"/>
        </w:rPr>
        <w:t>ing</w:t>
      </w:r>
      <w:r w:rsidR="003768C7" w:rsidRPr="008E6E0D">
        <w:rPr>
          <w:sz w:val="20"/>
          <w:szCs w:val="20"/>
          <w:lang w:val="en-US"/>
        </w:rPr>
        <w:t xml:space="preserve"> </w:t>
      </w:r>
      <w:r w:rsidR="00BD7A29" w:rsidRPr="008E6E0D">
        <w:rPr>
          <w:sz w:val="20"/>
          <w:szCs w:val="20"/>
          <w:lang w:val="en-US"/>
        </w:rPr>
        <w:t xml:space="preserve">all variants </w:t>
      </w:r>
      <w:r w:rsidR="003768C7" w:rsidRPr="008E6E0D">
        <w:rPr>
          <w:sz w:val="20"/>
          <w:szCs w:val="20"/>
          <w:lang w:val="en-US"/>
        </w:rPr>
        <w:t xml:space="preserve">within </w:t>
      </w:r>
      <w:r w:rsidR="004920AC" w:rsidRPr="0034723E">
        <w:rPr>
          <w:sz w:val="20"/>
          <w:szCs w:val="20"/>
          <w:lang w:val="en-US"/>
        </w:rPr>
        <w:t>±</w:t>
      </w:r>
      <w:r w:rsidR="003768C7" w:rsidRPr="008E6E0D">
        <w:rPr>
          <w:sz w:val="20"/>
          <w:szCs w:val="20"/>
          <w:lang w:val="en-US"/>
        </w:rPr>
        <w:t xml:space="preserve">500 kb of the </w:t>
      </w:r>
      <w:r w:rsidR="00BD7A29" w:rsidRPr="008E6E0D">
        <w:rPr>
          <w:sz w:val="20"/>
          <w:szCs w:val="20"/>
          <w:lang w:val="en-US"/>
        </w:rPr>
        <w:t xml:space="preserve">sentinel variants (rs4957796, rs117983287, and </w:t>
      </w:r>
      <w:r w:rsidR="00810F63" w:rsidRPr="008E6E0D">
        <w:rPr>
          <w:sz w:val="20"/>
          <w:szCs w:val="20"/>
          <w:lang w:val="en-US"/>
        </w:rPr>
        <w:t>rs143356980</w:t>
      </w:r>
      <w:r w:rsidR="00BD7A29" w:rsidRPr="008E6E0D">
        <w:rPr>
          <w:sz w:val="20"/>
          <w:szCs w:val="20"/>
          <w:lang w:val="en-US"/>
        </w:rPr>
        <w:t>) that were</w:t>
      </w:r>
      <w:r w:rsidR="003768C7" w:rsidRPr="008E6E0D">
        <w:rPr>
          <w:sz w:val="20"/>
          <w:szCs w:val="20"/>
          <w:lang w:val="en-US"/>
        </w:rPr>
        <w:t xml:space="preserve"> associated with sepsis mortality </w:t>
      </w:r>
      <w:r w:rsidR="00BD7A29" w:rsidRPr="008E6E0D">
        <w:rPr>
          <w:sz w:val="20"/>
          <w:szCs w:val="20"/>
          <w:lang w:val="en-US"/>
        </w:rPr>
        <w:t xml:space="preserve">in previous </w:t>
      </w:r>
      <w:r w:rsidR="00495705">
        <w:rPr>
          <w:sz w:val="20"/>
          <w:szCs w:val="20"/>
          <w:lang w:val="en-US"/>
        </w:rPr>
        <w:t>GWAS</w:t>
      </w:r>
      <w:r w:rsidR="007F6F0F" w:rsidRPr="007F6F0F">
        <w:rPr>
          <w:sz w:val="20"/>
          <w:szCs w:val="20"/>
          <w:vertAlign w:val="superscript"/>
          <w:lang w:val="en-US"/>
        </w:rPr>
        <w:t>31-33</w:t>
      </w:r>
      <w:r w:rsidR="00495705">
        <w:rPr>
          <w:sz w:val="20"/>
          <w:szCs w:val="20"/>
          <w:lang w:val="en-US"/>
        </w:rPr>
        <w:t>,</w:t>
      </w:r>
      <w:r w:rsidR="00BD7A29" w:rsidRPr="007F6F0F">
        <w:rPr>
          <w:sz w:val="20"/>
          <w:szCs w:val="20"/>
          <w:vertAlign w:val="superscript"/>
          <w:lang w:val="en-US"/>
        </w:rPr>
        <w:t xml:space="preserve"> </w:t>
      </w:r>
      <w:r w:rsidR="003768C7" w:rsidRPr="008E6E0D">
        <w:rPr>
          <w:sz w:val="20"/>
          <w:szCs w:val="20"/>
          <w:lang w:val="en-US"/>
        </w:rPr>
        <w:t>leaving a total of 370,063 independent variants for further analysis.</w:t>
      </w:r>
    </w:p>
    <w:p w14:paraId="3414B08F" w14:textId="0A942713" w:rsidR="00677BB9" w:rsidRPr="008E6E0D" w:rsidRDefault="00677BB9" w:rsidP="00D33260">
      <w:pPr>
        <w:pStyle w:val="xmsonormal"/>
        <w:shd w:val="clear" w:color="auto" w:fill="FFFFFF"/>
        <w:spacing w:line="360" w:lineRule="auto"/>
        <w:jc w:val="both"/>
        <w:rPr>
          <w:sz w:val="20"/>
          <w:szCs w:val="20"/>
          <w:lang w:val="en-US"/>
        </w:rPr>
      </w:pPr>
      <w:r w:rsidRPr="008E6E0D">
        <w:rPr>
          <w:sz w:val="20"/>
          <w:szCs w:val="20"/>
          <w:lang w:val="en-US"/>
        </w:rPr>
        <w:t xml:space="preserve">Then, from the different PRS models, we included those variants that met a certain </w:t>
      </w:r>
      <w:r w:rsidRPr="008E6E0D">
        <w:rPr>
          <w:i/>
          <w:sz w:val="20"/>
          <w:szCs w:val="20"/>
          <w:lang w:val="en-US"/>
        </w:rPr>
        <w:t>p-</w:t>
      </w:r>
      <w:r w:rsidRPr="008E6E0D">
        <w:rPr>
          <w:sz w:val="20"/>
          <w:szCs w:val="20"/>
          <w:lang w:val="en-US"/>
        </w:rPr>
        <w:t xml:space="preserve">value threshold and varied this threshold to investigate the effect of including more variants in it. The PRS was tested to identify whether it was associated with 28-day sepsis survival, adjusting for </w:t>
      </w:r>
      <w:r w:rsidR="0066763E" w:rsidRPr="008E6E0D">
        <w:rPr>
          <w:sz w:val="20"/>
          <w:szCs w:val="20"/>
          <w:lang w:val="en-US"/>
        </w:rPr>
        <w:t>sex</w:t>
      </w:r>
      <w:r w:rsidRPr="008E6E0D">
        <w:rPr>
          <w:sz w:val="20"/>
          <w:szCs w:val="20"/>
          <w:lang w:val="en-US"/>
        </w:rPr>
        <w:t>, age</w:t>
      </w:r>
      <w:r w:rsidR="004920AC">
        <w:rPr>
          <w:sz w:val="20"/>
          <w:szCs w:val="20"/>
          <w:lang w:val="en-US"/>
        </w:rPr>
        <w:t>,</w:t>
      </w:r>
      <w:r w:rsidRPr="008E6E0D">
        <w:rPr>
          <w:sz w:val="20"/>
          <w:szCs w:val="20"/>
          <w:lang w:val="en-US"/>
        </w:rPr>
        <w:t xml:space="preserve"> and two main PCs. We used Cox regressions with the ‘survival’ package </w:t>
      </w:r>
      <w:r w:rsidR="00E01612">
        <w:rPr>
          <w:sz w:val="20"/>
          <w:szCs w:val="20"/>
          <w:lang w:val="en-US"/>
        </w:rPr>
        <w:t>in</w:t>
      </w:r>
      <w:r w:rsidRPr="008E6E0D">
        <w:rPr>
          <w:sz w:val="20"/>
          <w:szCs w:val="20"/>
          <w:lang w:val="en-US"/>
        </w:rPr>
        <w:t xml:space="preserve"> R v3.6.3 and the previously suggested threshold of </w:t>
      </w:r>
      <w:r w:rsidRPr="008E6E0D">
        <w:rPr>
          <w:i/>
          <w:iCs/>
          <w:sz w:val="20"/>
          <w:szCs w:val="20"/>
          <w:lang w:val="en-US"/>
        </w:rPr>
        <w:t>p</w:t>
      </w:r>
      <w:r w:rsidRPr="008E6E0D">
        <w:rPr>
          <w:sz w:val="20"/>
          <w:szCs w:val="20"/>
          <w:lang w:val="en-US"/>
        </w:rPr>
        <w:t>&lt;0.001</w:t>
      </w:r>
      <w:r w:rsidRPr="008E6E0D">
        <w:rPr>
          <w:sz w:val="20"/>
          <w:szCs w:val="20"/>
          <w:lang w:val="en-US"/>
        </w:rPr>
        <w:fldChar w:fldCharType="begin" w:fldLock="1"/>
      </w:r>
      <w:r w:rsidR="000C5871">
        <w:rPr>
          <w:sz w:val="20"/>
          <w:szCs w:val="20"/>
          <w:lang w:val="en-US"/>
        </w:rPr>
        <w:instrText>ADDIN CSL_CITATION {"citationItems":[{"id":"ITEM-1","itemData":{"DOI":"10.1093/bioinformatics/btu848","ISSN":"14602059","PMID":"25550326","abstract":"A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F.","non-dropping-particle":"","parse-names":false,"suffix":""}],"container-title":"Bioinformatics","id":"ITEM-1","issue":"9","issued":{"date-parts":[["2015"]]},"page":"1466-1468","title":"PRSice: Polygenic Risk Score software","type":"article-journal","volume":"31"},"uris":["http://www.mendeley.com/documents/?uuid=4c0a0b5f-0807-4aa4-a29b-7870c68b40dd"]}],"mendeley":{"formattedCitation":"&lt;sup&gt;27&lt;/sup&gt;","plainTextFormattedCitation":"27","previouslyFormattedCitation":"&lt;sup&gt;27&lt;/sup&gt;"},"properties":{"noteIndex":0},"schema":"https://github.com/citation-style-language/schema/raw/master/csl-citation.json"}</w:instrText>
      </w:r>
      <w:r w:rsidRPr="008E6E0D">
        <w:rPr>
          <w:sz w:val="20"/>
          <w:szCs w:val="20"/>
          <w:lang w:val="en-US"/>
        </w:rPr>
        <w:fldChar w:fldCharType="separate"/>
      </w:r>
      <w:r w:rsidR="000C5871" w:rsidRPr="000C5871">
        <w:rPr>
          <w:noProof/>
          <w:sz w:val="20"/>
          <w:szCs w:val="20"/>
          <w:vertAlign w:val="superscript"/>
          <w:lang w:val="en-US"/>
        </w:rPr>
        <w:t>27</w:t>
      </w:r>
      <w:r w:rsidRPr="008E6E0D">
        <w:rPr>
          <w:sz w:val="20"/>
          <w:szCs w:val="20"/>
          <w:lang w:val="en-US"/>
        </w:rPr>
        <w:fldChar w:fldCharType="end"/>
      </w:r>
      <w:r w:rsidRPr="008E6E0D">
        <w:rPr>
          <w:sz w:val="20"/>
          <w:szCs w:val="20"/>
          <w:lang w:val="en-US"/>
        </w:rPr>
        <w:t xml:space="preserve"> for defining a significant PRS (</w:t>
      </w:r>
      <w:r w:rsidRPr="008E6E0D">
        <w:rPr>
          <w:b/>
          <w:bCs/>
          <w:sz w:val="20"/>
          <w:szCs w:val="20"/>
          <w:lang w:val="en-US"/>
        </w:rPr>
        <w:t>Figure S7</w:t>
      </w:r>
      <w:r w:rsidRPr="008E6E0D">
        <w:rPr>
          <w:sz w:val="20"/>
          <w:szCs w:val="20"/>
          <w:lang w:val="en-US"/>
        </w:rPr>
        <w:t>).</w:t>
      </w:r>
    </w:p>
    <w:p w14:paraId="591ABA5F" w14:textId="77777777" w:rsidR="000C5871" w:rsidRDefault="000C5871" w:rsidP="00D33260">
      <w:pPr>
        <w:spacing w:before="100" w:beforeAutospacing="1" w:after="100" w:afterAutospacing="1" w:line="360" w:lineRule="auto"/>
        <w:jc w:val="both"/>
        <w:rPr>
          <w:rFonts w:eastAsiaTheme="minorHAnsi"/>
          <w:b/>
          <w:szCs w:val="20"/>
          <w:u w:val="single"/>
        </w:rPr>
      </w:pPr>
    </w:p>
    <w:p w14:paraId="705B182D" w14:textId="77777777" w:rsidR="000C5871" w:rsidRDefault="000C5871" w:rsidP="00D33260">
      <w:pPr>
        <w:spacing w:before="100" w:beforeAutospacing="1" w:after="100" w:afterAutospacing="1" w:line="360" w:lineRule="auto"/>
        <w:jc w:val="both"/>
        <w:rPr>
          <w:rFonts w:eastAsiaTheme="minorHAnsi"/>
          <w:b/>
          <w:szCs w:val="20"/>
          <w:u w:val="single"/>
        </w:rPr>
      </w:pPr>
    </w:p>
    <w:p w14:paraId="4ECB18E4" w14:textId="716CA74D" w:rsidR="00D33260" w:rsidRPr="008E6E0D" w:rsidRDefault="00A7494D" w:rsidP="00D33260">
      <w:pPr>
        <w:spacing w:before="100" w:beforeAutospacing="1" w:after="100" w:afterAutospacing="1" w:line="360" w:lineRule="auto"/>
        <w:jc w:val="both"/>
        <w:rPr>
          <w:rFonts w:eastAsiaTheme="minorHAnsi"/>
          <w:b/>
          <w:szCs w:val="20"/>
          <w:u w:val="single"/>
        </w:rPr>
      </w:pPr>
      <w:r w:rsidRPr="008E6E0D">
        <w:rPr>
          <w:rFonts w:eastAsiaTheme="minorHAnsi"/>
          <w:b/>
          <w:szCs w:val="20"/>
          <w:u w:val="single"/>
        </w:rPr>
        <w:lastRenderedPageBreak/>
        <w:t xml:space="preserve">Replication </w:t>
      </w:r>
      <w:r w:rsidR="004D6CDA" w:rsidRPr="008E6E0D">
        <w:rPr>
          <w:rFonts w:eastAsiaTheme="minorHAnsi"/>
          <w:b/>
          <w:szCs w:val="20"/>
          <w:u w:val="single"/>
        </w:rPr>
        <w:t xml:space="preserve">of </w:t>
      </w:r>
      <w:r w:rsidR="00D33260" w:rsidRPr="008E6E0D">
        <w:rPr>
          <w:rFonts w:eastAsiaTheme="minorHAnsi"/>
          <w:b/>
          <w:szCs w:val="20"/>
          <w:u w:val="single"/>
        </w:rPr>
        <w:t>genes f</w:t>
      </w:r>
      <w:r w:rsidR="004D6CDA" w:rsidRPr="008E6E0D">
        <w:rPr>
          <w:rFonts w:eastAsiaTheme="minorHAnsi"/>
          <w:b/>
          <w:szCs w:val="20"/>
          <w:u w:val="single"/>
        </w:rPr>
        <w:t>rom</w:t>
      </w:r>
      <w:r w:rsidR="00D33260" w:rsidRPr="008E6E0D">
        <w:rPr>
          <w:rFonts w:eastAsiaTheme="minorHAnsi"/>
          <w:b/>
          <w:szCs w:val="20"/>
          <w:u w:val="single"/>
        </w:rPr>
        <w:t xml:space="preserve"> previous </w:t>
      </w:r>
      <w:r w:rsidR="004D6CDA" w:rsidRPr="008E6E0D">
        <w:rPr>
          <w:rFonts w:eastAsiaTheme="minorHAnsi"/>
          <w:b/>
          <w:szCs w:val="20"/>
          <w:u w:val="single"/>
        </w:rPr>
        <w:t xml:space="preserve">sepsis </w:t>
      </w:r>
      <w:r w:rsidR="00D33260" w:rsidRPr="008E6E0D">
        <w:rPr>
          <w:rFonts w:eastAsiaTheme="minorHAnsi"/>
          <w:b/>
          <w:szCs w:val="20"/>
          <w:u w:val="single"/>
        </w:rPr>
        <w:t>mortality GWAS</w:t>
      </w:r>
    </w:p>
    <w:p w14:paraId="1AE0BD3D" w14:textId="2E6813B6" w:rsidR="003C46DB" w:rsidRPr="008E6E0D" w:rsidRDefault="003C46DB" w:rsidP="00BE17BA">
      <w:pPr>
        <w:pStyle w:val="NormalWeb"/>
        <w:spacing w:line="360" w:lineRule="auto"/>
        <w:jc w:val="both"/>
        <w:rPr>
          <w:sz w:val="20"/>
          <w:szCs w:val="20"/>
        </w:rPr>
      </w:pPr>
      <w:r w:rsidRPr="008E6E0D">
        <w:rPr>
          <w:sz w:val="20"/>
          <w:szCs w:val="20"/>
        </w:rPr>
        <w:t xml:space="preserve">We evaluated </w:t>
      </w:r>
      <w:r w:rsidR="005B40DD" w:rsidRPr="008E6E0D">
        <w:rPr>
          <w:sz w:val="20"/>
          <w:szCs w:val="20"/>
        </w:rPr>
        <w:t>whether</w:t>
      </w:r>
      <w:r w:rsidRPr="008E6E0D">
        <w:rPr>
          <w:sz w:val="20"/>
          <w:szCs w:val="20"/>
        </w:rPr>
        <w:t xml:space="preserve"> the sentinel variants (rs4957796, rs117983287, and rs143356980) previously associated with sepsis mortality </w:t>
      </w:r>
      <w:r w:rsidR="005B40DD" w:rsidRPr="008E6E0D">
        <w:rPr>
          <w:sz w:val="20"/>
          <w:szCs w:val="20"/>
        </w:rPr>
        <w:t>in</w:t>
      </w:r>
      <w:r w:rsidR="000C5871">
        <w:rPr>
          <w:sz w:val="20"/>
          <w:szCs w:val="20"/>
        </w:rPr>
        <w:t xml:space="preserve"> other </w:t>
      </w:r>
      <w:r w:rsidR="004920AC">
        <w:rPr>
          <w:sz w:val="20"/>
          <w:szCs w:val="20"/>
        </w:rPr>
        <w:t>GWAS</w:t>
      </w:r>
      <w:r w:rsidR="000C5871" w:rsidRPr="007F6F0F">
        <w:rPr>
          <w:sz w:val="20"/>
          <w:szCs w:val="20"/>
          <w:vertAlign w:val="superscript"/>
        </w:rPr>
        <w:t>31-33</w:t>
      </w:r>
      <w:r w:rsidR="00343A22" w:rsidRPr="008E6E0D">
        <w:rPr>
          <w:sz w:val="20"/>
          <w:szCs w:val="20"/>
        </w:rPr>
        <w:t xml:space="preserve"> </w:t>
      </w:r>
      <w:r w:rsidRPr="008E6E0D">
        <w:rPr>
          <w:sz w:val="20"/>
          <w:szCs w:val="20"/>
        </w:rPr>
        <w:t xml:space="preserve">were associated </w:t>
      </w:r>
      <w:r w:rsidR="00343A22" w:rsidRPr="008E6E0D">
        <w:rPr>
          <w:sz w:val="20"/>
          <w:szCs w:val="20"/>
        </w:rPr>
        <w:t xml:space="preserve">with 28-day sepsis survival </w:t>
      </w:r>
      <w:r w:rsidRPr="008E6E0D">
        <w:rPr>
          <w:sz w:val="20"/>
          <w:szCs w:val="20"/>
        </w:rPr>
        <w:t xml:space="preserve">in </w:t>
      </w:r>
      <w:r w:rsidR="005B40DD" w:rsidRPr="008E6E0D">
        <w:rPr>
          <w:sz w:val="20"/>
          <w:szCs w:val="20"/>
        </w:rPr>
        <w:t xml:space="preserve">the </w:t>
      </w:r>
      <w:r w:rsidRPr="008E6E0D">
        <w:rPr>
          <w:sz w:val="20"/>
          <w:szCs w:val="20"/>
        </w:rPr>
        <w:t>GEN-SEP</w:t>
      </w:r>
      <w:r w:rsidR="005B40DD" w:rsidRPr="008E6E0D">
        <w:rPr>
          <w:sz w:val="20"/>
          <w:szCs w:val="20"/>
        </w:rPr>
        <w:t xml:space="preserve"> cohort</w:t>
      </w:r>
      <w:r w:rsidRPr="008E6E0D">
        <w:rPr>
          <w:sz w:val="20"/>
          <w:szCs w:val="20"/>
        </w:rPr>
        <w:t xml:space="preserve">. </w:t>
      </w:r>
      <w:r w:rsidR="00343A22" w:rsidRPr="008E6E0D">
        <w:rPr>
          <w:sz w:val="20"/>
          <w:szCs w:val="20"/>
        </w:rPr>
        <w:t>Complementarily</w:t>
      </w:r>
      <w:r w:rsidRPr="008E6E0D">
        <w:rPr>
          <w:sz w:val="20"/>
          <w:szCs w:val="20"/>
        </w:rPr>
        <w:t xml:space="preserve">, we extracted ±50 kb of the </w:t>
      </w:r>
      <w:r w:rsidR="00387427" w:rsidRPr="008E6E0D">
        <w:rPr>
          <w:sz w:val="20"/>
          <w:szCs w:val="20"/>
        </w:rPr>
        <w:t>regions around the genes where these variants reside</w:t>
      </w:r>
      <w:r w:rsidRPr="008E6E0D">
        <w:rPr>
          <w:sz w:val="20"/>
          <w:szCs w:val="20"/>
        </w:rPr>
        <w:t xml:space="preserve"> (</w:t>
      </w:r>
      <w:r w:rsidRPr="008E6E0D">
        <w:rPr>
          <w:i/>
          <w:sz w:val="20"/>
          <w:szCs w:val="20"/>
        </w:rPr>
        <w:t xml:space="preserve">CISH, FER </w:t>
      </w:r>
      <w:r w:rsidRPr="008E6E0D">
        <w:rPr>
          <w:iCs/>
          <w:sz w:val="20"/>
          <w:szCs w:val="20"/>
        </w:rPr>
        <w:t>and</w:t>
      </w:r>
      <w:r w:rsidRPr="008E6E0D">
        <w:rPr>
          <w:i/>
          <w:sz w:val="20"/>
          <w:szCs w:val="20"/>
        </w:rPr>
        <w:t xml:space="preserve"> VPS13A</w:t>
      </w:r>
      <w:r w:rsidRPr="008E6E0D">
        <w:rPr>
          <w:sz w:val="20"/>
          <w:szCs w:val="20"/>
        </w:rPr>
        <w:t xml:space="preserve">) and the Genetic Type I error calculator (GEC) was used to </w:t>
      </w:r>
      <w:r w:rsidR="007B49EF" w:rsidRPr="008E6E0D">
        <w:rPr>
          <w:sz w:val="20"/>
          <w:szCs w:val="20"/>
        </w:rPr>
        <w:t>estimate</w:t>
      </w:r>
      <w:r w:rsidRPr="008E6E0D">
        <w:rPr>
          <w:sz w:val="20"/>
          <w:szCs w:val="20"/>
        </w:rPr>
        <w:t xml:space="preserve"> the number of independent SNPs for these three regions. </w:t>
      </w:r>
      <w:r w:rsidR="005C489F" w:rsidRPr="008E6E0D">
        <w:rPr>
          <w:sz w:val="20"/>
          <w:szCs w:val="20"/>
        </w:rPr>
        <w:t xml:space="preserve">This supported the existence of 875 independent variants in Europeans considering the three regions together. Thus, we established </w:t>
      </w:r>
      <w:r w:rsidRPr="008E6E0D">
        <w:rPr>
          <w:sz w:val="20"/>
          <w:szCs w:val="20"/>
        </w:rPr>
        <w:t>the significan</w:t>
      </w:r>
      <w:r w:rsidR="005C489F" w:rsidRPr="008E6E0D">
        <w:rPr>
          <w:sz w:val="20"/>
          <w:szCs w:val="20"/>
        </w:rPr>
        <w:t>ce</w:t>
      </w:r>
      <w:r w:rsidRPr="008E6E0D">
        <w:rPr>
          <w:sz w:val="20"/>
          <w:szCs w:val="20"/>
        </w:rPr>
        <w:t xml:space="preserve"> threshold at </w:t>
      </w:r>
      <w:r w:rsidR="0041796F" w:rsidRPr="0041796F">
        <w:rPr>
          <w:i/>
          <w:sz w:val="20"/>
          <w:szCs w:val="20"/>
        </w:rPr>
        <w:t>p</w:t>
      </w:r>
      <w:r w:rsidR="0041796F" w:rsidRPr="00907429">
        <w:rPr>
          <w:sz w:val="20"/>
          <w:szCs w:val="20"/>
        </w:rPr>
        <w:t>=</w:t>
      </w:r>
      <w:r w:rsidRPr="008E6E0D">
        <w:rPr>
          <w:sz w:val="20"/>
          <w:szCs w:val="20"/>
        </w:rPr>
        <w:t>5.71x10</w:t>
      </w:r>
      <w:r w:rsidRPr="008E6E0D">
        <w:rPr>
          <w:sz w:val="20"/>
          <w:szCs w:val="20"/>
          <w:vertAlign w:val="superscript"/>
        </w:rPr>
        <w:t>-5</w:t>
      </w:r>
      <w:r w:rsidR="0034723E" w:rsidRPr="0034723E">
        <w:rPr>
          <w:sz w:val="20"/>
          <w:szCs w:val="20"/>
        </w:rPr>
        <w:t xml:space="preserve"> for this analysis</w:t>
      </w:r>
      <w:r w:rsidRPr="008E6E0D">
        <w:rPr>
          <w:sz w:val="20"/>
          <w:szCs w:val="20"/>
        </w:rPr>
        <w:t>.</w:t>
      </w:r>
    </w:p>
    <w:p w14:paraId="07FA7ECD" w14:textId="77777777" w:rsidR="0043624E" w:rsidRDefault="0043624E" w:rsidP="00D809C3">
      <w:pPr>
        <w:pStyle w:val="xmsonormal"/>
        <w:shd w:val="clear" w:color="auto" w:fill="FFFFFF"/>
        <w:spacing w:line="360" w:lineRule="auto"/>
        <w:jc w:val="both"/>
        <w:rPr>
          <w:b/>
          <w:szCs w:val="20"/>
          <w:lang w:val="en-US" w:eastAsia="en-US"/>
        </w:rPr>
      </w:pPr>
    </w:p>
    <w:p w14:paraId="22A870A3" w14:textId="77777777" w:rsidR="0043624E" w:rsidRDefault="0043624E" w:rsidP="00D809C3">
      <w:pPr>
        <w:pStyle w:val="xmsonormal"/>
        <w:shd w:val="clear" w:color="auto" w:fill="FFFFFF"/>
        <w:spacing w:line="360" w:lineRule="auto"/>
        <w:jc w:val="both"/>
        <w:rPr>
          <w:b/>
          <w:szCs w:val="20"/>
          <w:lang w:val="en-US" w:eastAsia="en-US"/>
        </w:rPr>
      </w:pPr>
    </w:p>
    <w:p w14:paraId="1FE2F378" w14:textId="77777777" w:rsidR="0043624E" w:rsidRDefault="0043624E" w:rsidP="00D809C3">
      <w:pPr>
        <w:pStyle w:val="xmsonormal"/>
        <w:shd w:val="clear" w:color="auto" w:fill="FFFFFF"/>
        <w:spacing w:line="360" w:lineRule="auto"/>
        <w:jc w:val="both"/>
        <w:rPr>
          <w:b/>
          <w:szCs w:val="20"/>
          <w:lang w:val="en-US" w:eastAsia="en-US"/>
        </w:rPr>
      </w:pPr>
    </w:p>
    <w:p w14:paraId="68EEC961" w14:textId="77777777" w:rsidR="0043624E" w:rsidRDefault="0043624E" w:rsidP="00D809C3">
      <w:pPr>
        <w:pStyle w:val="xmsonormal"/>
        <w:shd w:val="clear" w:color="auto" w:fill="FFFFFF"/>
        <w:spacing w:line="360" w:lineRule="auto"/>
        <w:jc w:val="both"/>
        <w:rPr>
          <w:b/>
          <w:szCs w:val="20"/>
          <w:lang w:val="en-US" w:eastAsia="en-US"/>
        </w:rPr>
      </w:pPr>
    </w:p>
    <w:p w14:paraId="2BAC40E2" w14:textId="77777777" w:rsidR="0043624E" w:rsidRDefault="0043624E" w:rsidP="00D809C3">
      <w:pPr>
        <w:pStyle w:val="xmsonormal"/>
        <w:shd w:val="clear" w:color="auto" w:fill="FFFFFF"/>
        <w:spacing w:line="360" w:lineRule="auto"/>
        <w:jc w:val="both"/>
        <w:rPr>
          <w:b/>
          <w:szCs w:val="20"/>
          <w:lang w:val="en-US" w:eastAsia="en-US"/>
        </w:rPr>
      </w:pPr>
    </w:p>
    <w:p w14:paraId="1FDD29B5" w14:textId="77777777" w:rsidR="0043624E" w:rsidRDefault="0043624E" w:rsidP="00D809C3">
      <w:pPr>
        <w:pStyle w:val="xmsonormal"/>
        <w:shd w:val="clear" w:color="auto" w:fill="FFFFFF"/>
        <w:spacing w:line="360" w:lineRule="auto"/>
        <w:jc w:val="both"/>
        <w:rPr>
          <w:b/>
          <w:szCs w:val="20"/>
          <w:lang w:val="en-US" w:eastAsia="en-US"/>
        </w:rPr>
      </w:pPr>
    </w:p>
    <w:p w14:paraId="47FF9C1E" w14:textId="77777777" w:rsidR="0043624E" w:rsidRDefault="0043624E" w:rsidP="00D809C3">
      <w:pPr>
        <w:pStyle w:val="xmsonormal"/>
        <w:shd w:val="clear" w:color="auto" w:fill="FFFFFF"/>
        <w:spacing w:line="360" w:lineRule="auto"/>
        <w:jc w:val="both"/>
        <w:rPr>
          <w:b/>
          <w:szCs w:val="20"/>
          <w:lang w:val="en-US" w:eastAsia="en-US"/>
        </w:rPr>
      </w:pPr>
    </w:p>
    <w:p w14:paraId="26EA9DC0" w14:textId="77777777" w:rsidR="0043624E" w:rsidRDefault="0043624E" w:rsidP="00D809C3">
      <w:pPr>
        <w:pStyle w:val="xmsonormal"/>
        <w:shd w:val="clear" w:color="auto" w:fill="FFFFFF"/>
        <w:spacing w:line="360" w:lineRule="auto"/>
        <w:jc w:val="both"/>
        <w:rPr>
          <w:b/>
          <w:szCs w:val="20"/>
          <w:lang w:val="en-US" w:eastAsia="en-US"/>
        </w:rPr>
      </w:pPr>
    </w:p>
    <w:p w14:paraId="090C934E" w14:textId="77777777" w:rsidR="0043624E" w:rsidRDefault="0043624E" w:rsidP="00D809C3">
      <w:pPr>
        <w:pStyle w:val="xmsonormal"/>
        <w:shd w:val="clear" w:color="auto" w:fill="FFFFFF"/>
        <w:spacing w:line="360" w:lineRule="auto"/>
        <w:jc w:val="both"/>
        <w:rPr>
          <w:b/>
          <w:szCs w:val="20"/>
          <w:lang w:val="en-US" w:eastAsia="en-US"/>
        </w:rPr>
      </w:pPr>
    </w:p>
    <w:p w14:paraId="22F7F589" w14:textId="77777777" w:rsidR="0043624E" w:rsidRDefault="0043624E" w:rsidP="00D809C3">
      <w:pPr>
        <w:pStyle w:val="xmsonormal"/>
        <w:shd w:val="clear" w:color="auto" w:fill="FFFFFF"/>
        <w:spacing w:line="360" w:lineRule="auto"/>
        <w:jc w:val="both"/>
        <w:rPr>
          <w:b/>
          <w:szCs w:val="20"/>
          <w:lang w:val="en-US" w:eastAsia="en-US"/>
        </w:rPr>
      </w:pPr>
    </w:p>
    <w:p w14:paraId="39D630DF" w14:textId="77777777" w:rsidR="0043624E" w:rsidRDefault="0043624E" w:rsidP="00D809C3">
      <w:pPr>
        <w:pStyle w:val="xmsonormal"/>
        <w:shd w:val="clear" w:color="auto" w:fill="FFFFFF"/>
        <w:spacing w:line="360" w:lineRule="auto"/>
        <w:jc w:val="both"/>
        <w:rPr>
          <w:b/>
          <w:szCs w:val="20"/>
          <w:lang w:val="en-US" w:eastAsia="en-US"/>
        </w:rPr>
      </w:pPr>
    </w:p>
    <w:p w14:paraId="323D118D" w14:textId="77777777" w:rsidR="0043624E" w:rsidRDefault="0043624E" w:rsidP="00D809C3">
      <w:pPr>
        <w:pStyle w:val="xmsonormal"/>
        <w:shd w:val="clear" w:color="auto" w:fill="FFFFFF"/>
        <w:spacing w:line="360" w:lineRule="auto"/>
        <w:jc w:val="both"/>
        <w:rPr>
          <w:b/>
          <w:szCs w:val="20"/>
          <w:lang w:val="en-US" w:eastAsia="en-US"/>
        </w:rPr>
      </w:pPr>
    </w:p>
    <w:p w14:paraId="3745A9B4" w14:textId="77777777" w:rsidR="0043624E" w:rsidRDefault="0043624E" w:rsidP="00D809C3">
      <w:pPr>
        <w:pStyle w:val="xmsonormal"/>
        <w:shd w:val="clear" w:color="auto" w:fill="FFFFFF"/>
        <w:spacing w:line="360" w:lineRule="auto"/>
        <w:jc w:val="both"/>
        <w:rPr>
          <w:b/>
          <w:szCs w:val="20"/>
          <w:lang w:val="en-US" w:eastAsia="en-US"/>
        </w:rPr>
      </w:pPr>
    </w:p>
    <w:p w14:paraId="42C02F0F" w14:textId="77777777" w:rsidR="001E2770" w:rsidRDefault="001E2770" w:rsidP="00D809C3">
      <w:pPr>
        <w:pStyle w:val="xmsonormal"/>
        <w:shd w:val="clear" w:color="auto" w:fill="FFFFFF"/>
        <w:spacing w:line="360" w:lineRule="auto"/>
        <w:jc w:val="both"/>
        <w:rPr>
          <w:b/>
          <w:szCs w:val="20"/>
          <w:lang w:val="en-US" w:eastAsia="en-US"/>
        </w:rPr>
      </w:pPr>
    </w:p>
    <w:p w14:paraId="37DE82C6" w14:textId="77777777" w:rsidR="001E2770" w:rsidRDefault="001E2770" w:rsidP="00D809C3">
      <w:pPr>
        <w:pStyle w:val="xmsonormal"/>
        <w:shd w:val="clear" w:color="auto" w:fill="FFFFFF"/>
        <w:spacing w:line="360" w:lineRule="auto"/>
        <w:jc w:val="both"/>
        <w:rPr>
          <w:b/>
          <w:szCs w:val="20"/>
          <w:lang w:val="en-US" w:eastAsia="en-US"/>
        </w:rPr>
      </w:pPr>
    </w:p>
    <w:p w14:paraId="4205CAC3" w14:textId="61DEB54F" w:rsidR="00D809C3" w:rsidRPr="008E6E0D" w:rsidRDefault="00FC337D" w:rsidP="00D809C3">
      <w:pPr>
        <w:pStyle w:val="xmsonormal"/>
        <w:shd w:val="clear" w:color="auto" w:fill="FFFFFF"/>
        <w:spacing w:line="360" w:lineRule="auto"/>
        <w:jc w:val="both"/>
        <w:rPr>
          <w:b/>
          <w:szCs w:val="20"/>
          <w:lang w:val="en-US" w:eastAsia="en-US"/>
        </w:rPr>
      </w:pPr>
      <w:r w:rsidRPr="008E6E0D">
        <w:rPr>
          <w:b/>
          <w:szCs w:val="20"/>
          <w:lang w:val="en-US" w:eastAsia="en-US"/>
        </w:rPr>
        <w:lastRenderedPageBreak/>
        <w:t xml:space="preserve">Supplementary </w:t>
      </w:r>
      <w:r w:rsidR="00FB3069" w:rsidRPr="008E6E0D">
        <w:rPr>
          <w:b/>
          <w:szCs w:val="20"/>
          <w:lang w:val="en-US" w:eastAsia="en-US"/>
        </w:rPr>
        <w:t>References</w:t>
      </w:r>
    </w:p>
    <w:p w14:paraId="490ECEEF" w14:textId="681F3C71" w:rsidR="000C5871" w:rsidRPr="000C5871" w:rsidRDefault="00175702" w:rsidP="000C5871">
      <w:pPr>
        <w:widowControl w:val="0"/>
        <w:autoSpaceDE w:val="0"/>
        <w:autoSpaceDN w:val="0"/>
        <w:adjustRightInd w:val="0"/>
        <w:spacing w:before="100" w:after="100" w:line="360" w:lineRule="auto"/>
        <w:ind w:left="640" w:hanging="640"/>
        <w:jc w:val="both"/>
        <w:rPr>
          <w:noProof/>
          <w:sz w:val="20"/>
        </w:rPr>
      </w:pPr>
      <w:r w:rsidRPr="008E6E0D">
        <w:rPr>
          <w:sz w:val="20"/>
          <w:szCs w:val="20"/>
        </w:rPr>
        <w:fldChar w:fldCharType="begin" w:fldLock="1"/>
      </w:r>
      <w:r w:rsidRPr="0019245D">
        <w:rPr>
          <w:sz w:val="20"/>
          <w:szCs w:val="20"/>
        </w:rPr>
        <w:instrText xml:space="preserve">ADDIN Mendeley Bibliography CSL_BIBLIOGRAPHY </w:instrText>
      </w:r>
      <w:r w:rsidRPr="008E6E0D">
        <w:rPr>
          <w:sz w:val="20"/>
          <w:szCs w:val="20"/>
        </w:rPr>
        <w:fldChar w:fldCharType="separate"/>
      </w:r>
      <w:r w:rsidR="000C5871" w:rsidRPr="0019245D">
        <w:rPr>
          <w:noProof/>
          <w:sz w:val="20"/>
        </w:rPr>
        <w:t>1.</w:t>
      </w:r>
      <w:r w:rsidR="000C5871" w:rsidRPr="0019245D">
        <w:rPr>
          <w:noProof/>
          <w:sz w:val="20"/>
        </w:rPr>
        <w:tab/>
        <w:t xml:space="preserve">Guillen-guio, B. </w:t>
      </w:r>
      <w:r w:rsidR="000C5871" w:rsidRPr="0019245D">
        <w:rPr>
          <w:i/>
          <w:iCs/>
          <w:noProof/>
          <w:sz w:val="20"/>
        </w:rPr>
        <w:t>et al.</w:t>
      </w:r>
      <w:r w:rsidR="000C5871" w:rsidRPr="0019245D">
        <w:rPr>
          <w:noProof/>
          <w:sz w:val="20"/>
        </w:rPr>
        <w:t xml:space="preserve"> </w:t>
      </w:r>
      <w:r w:rsidR="000C5871" w:rsidRPr="000C5871">
        <w:rPr>
          <w:noProof/>
          <w:sz w:val="20"/>
        </w:rPr>
        <w:t xml:space="preserve">Sepsis-associated acute respiratory distress syndrome in individuals of European ancestry: a genome-wide association study. </w:t>
      </w:r>
      <w:r w:rsidR="000C5871" w:rsidRPr="000C5871">
        <w:rPr>
          <w:i/>
          <w:iCs/>
          <w:noProof/>
          <w:sz w:val="20"/>
        </w:rPr>
        <w:t>Lancet Respir Med.</w:t>
      </w:r>
      <w:r w:rsidR="000C5871" w:rsidRPr="000C5871">
        <w:rPr>
          <w:noProof/>
          <w:sz w:val="20"/>
        </w:rPr>
        <w:t xml:space="preserve"> </w:t>
      </w:r>
      <w:r w:rsidR="000C5871" w:rsidRPr="000C5871">
        <w:rPr>
          <w:b/>
          <w:bCs/>
          <w:noProof/>
          <w:sz w:val="20"/>
        </w:rPr>
        <w:t>8</w:t>
      </w:r>
      <w:r w:rsidR="000C5871" w:rsidRPr="000C5871">
        <w:rPr>
          <w:noProof/>
          <w:sz w:val="20"/>
        </w:rPr>
        <w:t>, 258–266 (2020).</w:t>
      </w:r>
    </w:p>
    <w:p w14:paraId="5825841C"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w:t>
      </w:r>
      <w:r w:rsidRPr="000C5871">
        <w:rPr>
          <w:noProof/>
          <w:sz w:val="20"/>
        </w:rPr>
        <w:tab/>
        <w:t xml:space="preserve">Reilly, J. P. </w:t>
      </w:r>
      <w:r w:rsidRPr="000C5871">
        <w:rPr>
          <w:i/>
          <w:iCs/>
          <w:noProof/>
          <w:sz w:val="20"/>
        </w:rPr>
        <w:t>et al.</w:t>
      </w:r>
      <w:r w:rsidRPr="000C5871">
        <w:rPr>
          <w:noProof/>
          <w:sz w:val="20"/>
        </w:rPr>
        <w:t xml:space="preserve"> Plasma angiopoietin-2 as a potential causal marker in sepsis-associated ARDS development: evidence from Mendelian randomization and mediation analysis. </w:t>
      </w:r>
      <w:r w:rsidRPr="000C5871">
        <w:rPr>
          <w:i/>
          <w:iCs/>
          <w:noProof/>
          <w:sz w:val="20"/>
        </w:rPr>
        <w:t>Intensive Care Med.</w:t>
      </w:r>
      <w:r w:rsidRPr="000C5871">
        <w:rPr>
          <w:noProof/>
          <w:sz w:val="20"/>
        </w:rPr>
        <w:t xml:space="preserve"> </w:t>
      </w:r>
      <w:r w:rsidRPr="000C5871">
        <w:rPr>
          <w:b/>
          <w:bCs/>
          <w:noProof/>
          <w:sz w:val="20"/>
        </w:rPr>
        <w:t>44</w:t>
      </w:r>
      <w:r w:rsidRPr="000C5871">
        <w:rPr>
          <w:noProof/>
          <w:sz w:val="20"/>
        </w:rPr>
        <w:t>, 1849–1858 (2018).</w:t>
      </w:r>
    </w:p>
    <w:p w14:paraId="324A057B"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3.</w:t>
      </w:r>
      <w:r w:rsidRPr="000C5871">
        <w:rPr>
          <w:noProof/>
          <w:sz w:val="20"/>
        </w:rPr>
        <w:tab/>
        <w:t xml:space="preserve">Nicolazzi, E. L., Iamartino, D. &amp; Williams, J. L. AffyPipe: An open-source pipeline for Affymetrix Axiom genotyping workflow. </w:t>
      </w:r>
      <w:r w:rsidRPr="000C5871">
        <w:rPr>
          <w:i/>
          <w:iCs/>
          <w:noProof/>
          <w:sz w:val="20"/>
        </w:rPr>
        <w:t>Bioinformatics</w:t>
      </w:r>
      <w:r w:rsidRPr="000C5871">
        <w:rPr>
          <w:noProof/>
          <w:sz w:val="20"/>
        </w:rPr>
        <w:t xml:space="preserve"> </w:t>
      </w:r>
      <w:r w:rsidRPr="000C5871">
        <w:rPr>
          <w:b/>
          <w:bCs/>
          <w:noProof/>
          <w:sz w:val="20"/>
        </w:rPr>
        <w:t>30</w:t>
      </w:r>
      <w:r w:rsidRPr="000C5871">
        <w:rPr>
          <w:noProof/>
          <w:sz w:val="20"/>
        </w:rPr>
        <w:t>, 3118–3119 (2014).</w:t>
      </w:r>
    </w:p>
    <w:p w14:paraId="5CC11B52"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4.</w:t>
      </w:r>
      <w:r w:rsidRPr="000C5871">
        <w:rPr>
          <w:noProof/>
          <w:sz w:val="20"/>
        </w:rPr>
        <w:tab/>
        <w:t xml:space="preserve">Purcell, S. </w:t>
      </w:r>
      <w:r w:rsidRPr="000C5871">
        <w:rPr>
          <w:i/>
          <w:iCs/>
          <w:noProof/>
          <w:sz w:val="20"/>
        </w:rPr>
        <w:t>et al.</w:t>
      </w:r>
      <w:r w:rsidRPr="000C5871">
        <w:rPr>
          <w:noProof/>
          <w:sz w:val="20"/>
        </w:rPr>
        <w:t xml:space="preserve"> PLINK: A tool set for whole-genome association and population-based linkage analyses. </w:t>
      </w:r>
      <w:r w:rsidRPr="000C5871">
        <w:rPr>
          <w:i/>
          <w:iCs/>
          <w:noProof/>
          <w:sz w:val="20"/>
        </w:rPr>
        <w:t>Am. J. Hum. Genet.</w:t>
      </w:r>
      <w:r w:rsidRPr="000C5871">
        <w:rPr>
          <w:noProof/>
          <w:sz w:val="20"/>
        </w:rPr>
        <w:t xml:space="preserve"> </w:t>
      </w:r>
      <w:r w:rsidRPr="000C5871">
        <w:rPr>
          <w:b/>
          <w:bCs/>
          <w:noProof/>
          <w:sz w:val="20"/>
        </w:rPr>
        <w:t>81</w:t>
      </w:r>
      <w:r w:rsidRPr="000C5871">
        <w:rPr>
          <w:noProof/>
          <w:sz w:val="20"/>
        </w:rPr>
        <w:t>, 559–575 (2007).</w:t>
      </w:r>
    </w:p>
    <w:p w14:paraId="7741F83F"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5.</w:t>
      </w:r>
      <w:r w:rsidRPr="000C5871">
        <w:rPr>
          <w:noProof/>
          <w:sz w:val="20"/>
        </w:rPr>
        <w:tab/>
        <w:t xml:space="preserve">Chang, C. C. </w:t>
      </w:r>
      <w:r w:rsidRPr="000C5871">
        <w:rPr>
          <w:i/>
          <w:iCs/>
          <w:noProof/>
          <w:sz w:val="20"/>
        </w:rPr>
        <w:t>et al.</w:t>
      </w:r>
      <w:r w:rsidRPr="000C5871">
        <w:rPr>
          <w:noProof/>
          <w:sz w:val="20"/>
        </w:rPr>
        <w:t xml:space="preserve"> Second-generation PLINK: Rising to the challenge of larger and richer datasets. </w:t>
      </w:r>
      <w:r w:rsidRPr="000C5871">
        <w:rPr>
          <w:i/>
          <w:iCs/>
          <w:noProof/>
          <w:sz w:val="20"/>
        </w:rPr>
        <w:t>Gigascience</w:t>
      </w:r>
      <w:r w:rsidRPr="000C5871">
        <w:rPr>
          <w:noProof/>
          <w:sz w:val="20"/>
        </w:rPr>
        <w:t xml:space="preserve"> </w:t>
      </w:r>
      <w:r w:rsidRPr="000C5871">
        <w:rPr>
          <w:b/>
          <w:bCs/>
          <w:noProof/>
          <w:sz w:val="20"/>
        </w:rPr>
        <w:t>4</w:t>
      </w:r>
      <w:r w:rsidRPr="000C5871">
        <w:rPr>
          <w:noProof/>
          <w:sz w:val="20"/>
        </w:rPr>
        <w:t>, 1–16 (2015).</w:t>
      </w:r>
    </w:p>
    <w:p w14:paraId="38DD7276"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6.</w:t>
      </w:r>
      <w:r w:rsidRPr="000C5871">
        <w:rPr>
          <w:noProof/>
          <w:sz w:val="20"/>
        </w:rPr>
        <w:tab/>
        <w:t xml:space="preserve">Loh, P. R. </w:t>
      </w:r>
      <w:r w:rsidRPr="000C5871">
        <w:rPr>
          <w:i/>
          <w:iCs/>
          <w:noProof/>
          <w:sz w:val="20"/>
        </w:rPr>
        <w:t>et al.</w:t>
      </w:r>
      <w:r w:rsidRPr="000C5871">
        <w:rPr>
          <w:noProof/>
          <w:sz w:val="20"/>
        </w:rPr>
        <w:t xml:space="preserve"> Reference-based phasing using the Haplotype Reference Consortium panel. </w:t>
      </w:r>
      <w:r w:rsidRPr="000C5871">
        <w:rPr>
          <w:i/>
          <w:iCs/>
          <w:noProof/>
          <w:sz w:val="20"/>
        </w:rPr>
        <w:t>Nat. Genet.</w:t>
      </w:r>
      <w:r w:rsidRPr="000C5871">
        <w:rPr>
          <w:noProof/>
          <w:sz w:val="20"/>
        </w:rPr>
        <w:t xml:space="preserve"> </w:t>
      </w:r>
      <w:r w:rsidRPr="000C5871">
        <w:rPr>
          <w:b/>
          <w:bCs/>
          <w:noProof/>
          <w:sz w:val="20"/>
        </w:rPr>
        <w:t>48</w:t>
      </w:r>
      <w:r w:rsidRPr="000C5871">
        <w:rPr>
          <w:noProof/>
          <w:sz w:val="20"/>
        </w:rPr>
        <w:t>, 1443–1448 (2016).</w:t>
      </w:r>
    </w:p>
    <w:p w14:paraId="227CF029"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7.</w:t>
      </w:r>
      <w:r w:rsidRPr="000C5871">
        <w:rPr>
          <w:noProof/>
          <w:sz w:val="20"/>
        </w:rPr>
        <w:tab/>
        <w:t xml:space="preserve">Delaneau, O., Coulonges, C. &amp; Zagury, J. F. Shape-IT: New rapid and accurate algorithm for haplotype inference. </w:t>
      </w:r>
      <w:r w:rsidRPr="000C5871">
        <w:rPr>
          <w:i/>
          <w:iCs/>
          <w:noProof/>
          <w:sz w:val="20"/>
        </w:rPr>
        <w:t>BMC Bioinformatics</w:t>
      </w:r>
      <w:r w:rsidRPr="000C5871">
        <w:rPr>
          <w:noProof/>
          <w:sz w:val="20"/>
        </w:rPr>
        <w:t xml:space="preserve"> </w:t>
      </w:r>
      <w:r w:rsidRPr="000C5871">
        <w:rPr>
          <w:b/>
          <w:bCs/>
          <w:noProof/>
          <w:sz w:val="20"/>
        </w:rPr>
        <w:t>9</w:t>
      </w:r>
      <w:r w:rsidRPr="000C5871">
        <w:rPr>
          <w:noProof/>
          <w:sz w:val="20"/>
        </w:rPr>
        <w:t>, 1–14 (2008).</w:t>
      </w:r>
    </w:p>
    <w:p w14:paraId="2E161FD3"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8.</w:t>
      </w:r>
      <w:r w:rsidRPr="000C5871">
        <w:rPr>
          <w:noProof/>
          <w:sz w:val="20"/>
        </w:rPr>
        <w:tab/>
        <w:t xml:space="preserve">Delaneau, O. </w:t>
      </w:r>
      <w:r w:rsidRPr="000C5871">
        <w:rPr>
          <w:i/>
          <w:iCs/>
          <w:noProof/>
          <w:sz w:val="20"/>
        </w:rPr>
        <w:t>et al.</w:t>
      </w:r>
      <w:r w:rsidRPr="000C5871">
        <w:rPr>
          <w:noProof/>
          <w:sz w:val="20"/>
        </w:rPr>
        <w:t xml:space="preserve"> Integrating sequence and array data to create an improved 1000 Genomes Project haplotype reference panel. </w:t>
      </w:r>
      <w:r w:rsidRPr="000C5871">
        <w:rPr>
          <w:i/>
          <w:iCs/>
          <w:noProof/>
          <w:sz w:val="20"/>
        </w:rPr>
        <w:t>Nat. Commun.</w:t>
      </w:r>
      <w:r w:rsidRPr="000C5871">
        <w:rPr>
          <w:noProof/>
          <w:sz w:val="20"/>
        </w:rPr>
        <w:t xml:space="preserve"> </w:t>
      </w:r>
      <w:r w:rsidRPr="000C5871">
        <w:rPr>
          <w:b/>
          <w:bCs/>
          <w:noProof/>
          <w:sz w:val="20"/>
        </w:rPr>
        <w:t>5</w:t>
      </w:r>
      <w:r w:rsidRPr="000C5871">
        <w:rPr>
          <w:noProof/>
          <w:sz w:val="20"/>
        </w:rPr>
        <w:t>, 1–9 (2014).</w:t>
      </w:r>
    </w:p>
    <w:p w14:paraId="21CFADB5"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9.</w:t>
      </w:r>
      <w:r w:rsidRPr="000C5871">
        <w:rPr>
          <w:noProof/>
          <w:sz w:val="20"/>
        </w:rPr>
        <w:tab/>
        <w:t xml:space="preserve">Howie, B. N., Donnelly, P. &amp; Marchini, J. A flexible and accurate genotype imputation method for the next generation of genome-wide association studies. </w:t>
      </w:r>
      <w:r w:rsidRPr="000C5871">
        <w:rPr>
          <w:i/>
          <w:iCs/>
          <w:noProof/>
          <w:sz w:val="20"/>
        </w:rPr>
        <w:t>PLoS Genet.</w:t>
      </w:r>
      <w:r w:rsidRPr="000C5871">
        <w:rPr>
          <w:noProof/>
          <w:sz w:val="20"/>
        </w:rPr>
        <w:t xml:space="preserve"> </w:t>
      </w:r>
      <w:r w:rsidRPr="000C5871">
        <w:rPr>
          <w:b/>
          <w:bCs/>
          <w:noProof/>
          <w:sz w:val="20"/>
        </w:rPr>
        <w:t>5</w:t>
      </w:r>
      <w:r w:rsidRPr="000C5871">
        <w:rPr>
          <w:noProof/>
          <w:sz w:val="20"/>
        </w:rPr>
        <w:t>, (2009).</w:t>
      </w:r>
    </w:p>
    <w:p w14:paraId="3747BA3E"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10.</w:t>
      </w:r>
      <w:r w:rsidRPr="000C5871">
        <w:rPr>
          <w:noProof/>
          <w:sz w:val="20"/>
        </w:rPr>
        <w:tab/>
        <w:t xml:space="preserve">Jia, X. </w:t>
      </w:r>
      <w:r w:rsidRPr="000C5871">
        <w:rPr>
          <w:i/>
          <w:iCs/>
          <w:noProof/>
          <w:sz w:val="20"/>
        </w:rPr>
        <w:t>et al.</w:t>
      </w:r>
      <w:r w:rsidRPr="000C5871">
        <w:rPr>
          <w:noProof/>
          <w:sz w:val="20"/>
        </w:rPr>
        <w:t xml:space="preserve"> Imputing Amino Acid Polymorphisms in Human Leukocyte Antigens. </w:t>
      </w:r>
      <w:r w:rsidRPr="000C5871">
        <w:rPr>
          <w:i/>
          <w:iCs/>
          <w:noProof/>
          <w:sz w:val="20"/>
        </w:rPr>
        <w:t>PLoS One</w:t>
      </w:r>
      <w:r w:rsidRPr="000C5871">
        <w:rPr>
          <w:noProof/>
          <w:sz w:val="20"/>
        </w:rPr>
        <w:t xml:space="preserve"> </w:t>
      </w:r>
      <w:r w:rsidRPr="000C5871">
        <w:rPr>
          <w:b/>
          <w:bCs/>
          <w:noProof/>
          <w:sz w:val="20"/>
        </w:rPr>
        <w:t>8</w:t>
      </w:r>
      <w:r w:rsidRPr="000C5871">
        <w:rPr>
          <w:noProof/>
          <w:sz w:val="20"/>
        </w:rPr>
        <w:t>, (2013).</w:t>
      </w:r>
    </w:p>
    <w:p w14:paraId="55C0ACEC"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B16F5">
        <w:rPr>
          <w:noProof/>
          <w:sz w:val="20"/>
          <w:lang w:val="es-ES"/>
        </w:rPr>
        <w:t>11.</w:t>
      </w:r>
      <w:r w:rsidRPr="000B16F5">
        <w:rPr>
          <w:noProof/>
          <w:sz w:val="20"/>
          <w:lang w:val="es-ES"/>
        </w:rPr>
        <w:tab/>
        <w:t xml:space="preserve">Rizvi, A. A. </w:t>
      </w:r>
      <w:r w:rsidRPr="000B16F5">
        <w:rPr>
          <w:i/>
          <w:iCs/>
          <w:noProof/>
          <w:sz w:val="20"/>
          <w:lang w:val="es-ES"/>
        </w:rPr>
        <w:t>et al.</w:t>
      </w:r>
      <w:r w:rsidRPr="000B16F5">
        <w:rPr>
          <w:noProof/>
          <w:sz w:val="20"/>
          <w:lang w:val="es-ES"/>
        </w:rPr>
        <w:t xml:space="preserve"> </w:t>
      </w:r>
      <w:r w:rsidRPr="000C5871">
        <w:rPr>
          <w:noProof/>
          <w:sz w:val="20"/>
        </w:rPr>
        <w:t xml:space="preserve">Gwasurvivr: An R package for genome-wide survival analysis. </w:t>
      </w:r>
      <w:r w:rsidRPr="000C5871">
        <w:rPr>
          <w:i/>
          <w:iCs/>
          <w:noProof/>
          <w:sz w:val="20"/>
        </w:rPr>
        <w:t>Bioinformatics</w:t>
      </w:r>
      <w:r w:rsidRPr="000C5871">
        <w:rPr>
          <w:noProof/>
          <w:sz w:val="20"/>
        </w:rPr>
        <w:t xml:space="preserve"> </w:t>
      </w:r>
      <w:r w:rsidRPr="000C5871">
        <w:rPr>
          <w:b/>
          <w:bCs/>
          <w:noProof/>
          <w:sz w:val="20"/>
        </w:rPr>
        <w:t>35</w:t>
      </w:r>
      <w:r w:rsidRPr="000C5871">
        <w:rPr>
          <w:noProof/>
          <w:sz w:val="20"/>
        </w:rPr>
        <w:t>, 1968–1970 (2019).</w:t>
      </w:r>
    </w:p>
    <w:p w14:paraId="5BB6AFC0"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12.</w:t>
      </w:r>
      <w:r w:rsidRPr="000C5871">
        <w:rPr>
          <w:noProof/>
          <w:sz w:val="20"/>
        </w:rPr>
        <w:tab/>
        <w:t xml:space="preserve">Han, B. &amp; Eskin, E. Random-effects model aimed at discovering associations in meta-analysis of genome-wide association studies. </w:t>
      </w:r>
      <w:r w:rsidRPr="000C5871">
        <w:rPr>
          <w:i/>
          <w:iCs/>
          <w:noProof/>
          <w:sz w:val="20"/>
        </w:rPr>
        <w:t>Am. J. Hum. Genet.</w:t>
      </w:r>
      <w:r w:rsidRPr="000C5871">
        <w:rPr>
          <w:noProof/>
          <w:sz w:val="20"/>
        </w:rPr>
        <w:t xml:space="preserve"> </w:t>
      </w:r>
      <w:r w:rsidRPr="000C5871">
        <w:rPr>
          <w:b/>
          <w:bCs/>
          <w:noProof/>
          <w:sz w:val="20"/>
        </w:rPr>
        <w:t>88</w:t>
      </w:r>
      <w:r w:rsidRPr="000C5871">
        <w:rPr>
          <w:noProof/>
          <w:sz w:val="20"/>
        </w:rPr>
        <w:t>, 586–598 (2011).</w:t>
      </w:r>
    </w:p>
    <w:p w14:paraId="0A8146AC"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13.</w:t>
      </w:r>
      <w:r w:rsidRPr="000C5871">
        <w:rPr>
          <w:noProof/>
          <w:sz w:val="20"/>
        </w:rPr>
        <w:tab/>
        <w:t xml:space="preserve">Dudbridge, F. </w:t>
      </w:r>
      <w:r w:rsidRPr="000C5871">
        <w:rPr>
          <w:i/>
          <w:iCs/>
          <w:noProof/>
          <w:sz w:val="20"/>
        </w:rPr>
        <w:t>et al.</w:t>
      </w:r>
      <w:r w:rsidRPr="000C5871">
        <w:rPr>
          <w:noProof/>
          <w:sz w:val="20"/>
        </w:rPr>
        <w:t xml:space="preserve"> Adjustment for index event bias in genome-wide association studies of subsequent events. </w:t>
      </w:r>
      <w:r w:rsidRPr="000C5871">
        <w:rPr>
          <w:i/>
          <w:iCs/>
          <w:noProof/>
          <w:sz w:val="20"/>
        </w:rPr>
        <w:t>Nat. Commun.</w:t>
      </w:r>
      <w:r w:rsidRPr="000C5871">
        <w:rPr>
          <w:noProof/>
          <w:sz w:val="20"/>
        </w:rPr>
        <w:t xml:space="preserve"> </w:t>
      </w:r>
      <w:r w:rsidRPr="000C5871">
        <w:rPr>
          <w:b/>
          <w:bCs/>
          <w:noProof/>
          <w:sz w:val="20"/>
        </w:rPr>
        <w:t>10</w:t>
      </w:r>
      <w:r w:rsidRPr="000C5871">
        <w:rPr>
          <w:noProof/>
          <w:sz w:val="20"/>
        </w:rPr>
        <w:t>, (2019).</w:t>
      </w:r>
    </w:p>
    <w:p w14:paraId="1C80F9DF"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14.</w:t>
      </w:r>
      <w:r w:rsidRPr="000C5871">
        <w:rPr>
          <w:noProof/>
          <w:sz w:val="20"/>
        </w:rPr>
        <w:tab/>
        <w:t xml:space="preserve">Machiela, M. J. &amp; Chanock, S. J. LDlink: A web-based application for exploring population-specific haplotype structure and linking correlated alleles of possible functional variants. </w:t>
      </w:r>
      <w:r w:rsidRPr="000C5871">
        <w:rPr>
          <w:i/>
          <w:iCs/>
          <w:noProof/>
          <w:sz w:val="20"/>
        </w:rPr>
        <w:t>Bioinformatics</w:t>
      </w:r>
      <w:r w:rsidRPr="000C5871">
        <w:rPr>
          <w:noProof/>
          <w:sz w:val="20"/>
        </w:rPr>
        <w:t xml:space="preserve"> </w:t>
      </w:r>
      <w:r w:rsidRPr="000C5871">
        <w:rPr>
          <w:b/>
          <w:bCs/>
          <w:noProof/>
          <w:sz w:val="20"/>
        </w:rPr>
        <w:t>31</w:t>
      </w:r>
      <w:r w:rsidRPr="000C5871">
        <w:rPr>
          <w:noProof/>
          <w:sz w:val="20"/>
        </w:rPr>
        <w:t>, 3555–3557 (2015).</w:t>
      </w:r>
    </w:p>
    <w:p w14:paraId="1AFE9B22"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15.</w:t>
      </w:r>
      <w:r w:rsidRPr="000C5871">
        <w:rPr>
          <w:noProof/>
          <w:sz w:val="20"/>
        </w:rPr>
        <w:tab/>
        <w:t xml:space="preserve">Lonsdale, J. </w:t>
      </w:r>
      <w:r w:rsidRPr="000C5871">
        <w:rPr>
          <w:i/>
          <w:iCs/>
          <w:noProof/>
          <w:sz w:val="20"/>
        </w:rPr>
        <w:t>et al.</w:t>
      </w:r>
      <w:r w:rsidRPr="000C5871">
        <w:rPr>
          <w:noProof/>
          <w:sz w:val="20"/>
        </w:rPr>
        <w:t xml:space="preserve"> The Genotype-Tissue Expression (GTEx) project. </w:t>
      </w:r>
      <w:r w:rsidRPr="000C5871">
        <w:rPr>
          <w:i/>
          <w:iCs/>
          <w:noProof/>
          <w:sz w:val="20"/>
        </w:rPr>
        <w:t>Nat. Genet.</w:t>
      </w:r>
      <w:r w:rsidRPr="000C5871">
        <w:rPr>
          <w:noProof/>
          <w:sz w:val="20"/>
        </w:rPr>
        <w:t xml:space="preserve"> </w:t>
      </w:r>
      <w:r w:rsidRPr="000C5871">
        <w:rPr>
          <w:b/>
          <w:bCs/>
          <w:noProof/>
          <w:sz w:val="20"/>
        </w:rPr>
        <w:t>45</w:t>
      </w:r>
      <w:r w:rsidRPr="000C5871">
        <w:rPr>
          <w:noProof/>
          <w:sz w:val="20"/>
        </w:rPr>
        <w:t>, 580–585 (2013).</w:t>
      </w:r>
    </w:p>
    <w:p w14:paraId="349226E4"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16.</w:t>
      </w:r>
      <w:r w:rsidRPr="000C5871">
        <w:rPr>
          <w:noProof/>
          <w:sz w:val="20"/>
        </w:rPr>
        <w:tab/>
        <w:t xml:space="preserve">Ward, L. D. &amp; Kellis, M. HaploReg: A resource for exploring chromatin states, conservation, and regulatory motif alterations within sets of genetically linked variants. </w:t>
      </w:r>
      <w:r w:rsidRPr="000C5871">
        <w:rPr>
          <w:i/>
          <w:iCs/>
          <w:noProof/>
          <w:sz w:val="20"/>
        </w:rPr>
        <w:t>Nucleic Acids Res.</w:t>
      </w:r>
      <w:r w:rsidRPr="000C5871">
        <w:rPr>
          <w:noProof/>
          <w:sz w:val="20"/>
        </w:rPr>
        <w:t xml:space="preserve"> </w:t>
      </w:r>
      <w:r w:rsidRPr="000C5871">
        <w:rPr>
          <w:b/>
          <w:bCs/>
          <w:noProof/>
          <w:sz w:val="20"/>
        </w:rPr>
        <w:t>40</w:t>
      </w:r>
      <w:r w:rsidRPr="000C5871">
        <w:rPr>
          <w:noProof/>
          <w:sz w:val="20"/>
        </w:rPr>
        <w:t>, 930–</w:t>
      </w:r>
      <w:r w:rsidRPr="000C5871">
        <w:rPr>
          <w:noProof/>
          <w:sz w:val="20"/>
        </w:rPr>
        <w:lastRenderedPageBreak/>
        <w:t>934 (2012).</w:t>
      </w:r>
    </w:p>
    <w:p w14:paraId="65EAD3DD"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17.</w:t>
      </w:r>
      <w:r w:rsidRPr="000C5871">
        <w:rPr>
          <w:noProof/>
          <w:sz w:val="20"/>
        </w:rPr>
        <w:tab/>
        <w:t xml:space="preserve">Boyle, A. P. </w:t>
      </w:r>
      <w:r w:rsidRPr="000C5871">
        <w:rPr>
          <w:i/>
          <w:iCs/>
          <w:noProof/>
          <w:sz w:val="20"/>
        </w:rPr>
        <w:t>et al.</w:t>
      </w:r>
      <w:r w:rsidRPr="000C5871">
        <w:rPr>
          <w:noProof/>
          <w:sz w:val="20"/>
        </w:rPr>
        <w:t xml:space="preserve"> Annotation of functional variation in personal genomes using RegulomeDB. </w:t>
      </w:r>
      <w:r w:rsidRPr="000C5871">
        <w:rPr>
          <w:i/>
          <w:iCs/>
          <w:noProof/>
          <w:sz w:val="20"/>
        </w:rPr>
        <w:t>Genome Res.</w:t>
      </w:r>
      <w:r w:rsidRPr="000C5871">
        <w:rPr>
          <w:noProof/>
          <w:sz w:val="20"/>
        </w:rPr>
        <w:t xml:space="preserve"> </w:t>
      </w:r>
      <w:r w:rsidRPr="000C5871">
        <w:rPr>
          <w:b/>
          <w:bCs/>
          <w:noProof/>
          <w:sz w:val="20"/>
        </w:rPr>
        <w:t>22</w:t>
      </w:r>
      <w:r w:rsidRPr="000C5871">
        <w:rPr>
          <w:noProof/>
          <w:sz w:val="20"/>
        </w:rPr>
        <w:t>, 1790–1797 (2012).</w:t>
      </w:r>
    </w:p>
    <w:p w14:paraId="7CCEB9B8"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18.</w:t>
      </w:r>
      <w:r w:rsidRPr="000C5871">
        <w:rPr>
          <w:noProof/>
          <w:sz w:val="20"/>
        </w:rPr>
        <w:tab/>
        <w:t xml:space="preserve">Peat, G. </w:t>
      </w:r>
      <w:r w:rsidRPr="000C5871">
        <w:rPr>
          <w:i/>
          <w:iCs/>
          <w:noProof/>
          <w:sz w:val="20"/>
        </w:rPr>
        <w:t>et al.</w:t>
      </w:r>
      <w:r w:rsidRPr="000C5871">
        <w:rPr>
          <w:noProof/>
          <w:sz w:val="20"/>
        </w:rPr>
        <w:t xml:space="preserve"> The open targets post-GWAS analysis pipeline. </w:t>
      </w:r>
      <w:r w:rsidRPr="000C5871">
        <w:rPr>
          <w:i/>
          <w:iCs/>
          <w:noProof/>
          <w:sz w:val="20"/>
        </w:rPr>
        <w:t>Bioinformatics</w:t>
      </w:r>
      <w:r w:rsidRPr="000C5871">
        <w:rPr>
          <w:noProof/>
          <w:sz w:val="20"/>
        </w:rPr>
        <w:t xml:space="preserve"> </w:t>
      </w:r>
      <w:r w:rsidRPr="000C5871">
        <w:rPr>
          <w:b/>
          <w:bCs/>
          <w:noProof/>
          <w:sz w:val="20"/>
        </w:rPr>
        <w:t>36</w:t>
      </w:r>
      <w:r w:rsidRPr="000C5871">
        <w:rPr>
          <w:noProof/>
          <w:sz w:val="20"/>
        </w:rPr>
        <w:t>, 2936–2937 (2020).</w:t>
      </w:r>
    </w:p>
    <w:p w14:paraId="21B7D263"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19.</w:t>
      </w:r>
      <w:r w:rsidRPr="000C5871">
        <w:rPr>
          <w:noProof/>
          <w:sz w:val="20"/>
        </w:rPr>
        <w:tab/>
        <w:t xml:space="preserve">Alvarez, R. V., Li, S., Landsman, D. &amp; Ovcharenko, I. SNPDelScore: Combining multiple methods to score deleterious effects of noncoding mutations in the human genome. </w:t>
      </w:r>
      <w:r w:rsidRPr="000C5871">
        <w:rPr>
          <w:i/>
          <w:iCs/>
          <w:noProof/>
          <w:sz w:val="20"/>
        </w:rPr>
        <w:t>Bioinformatics</w:t>
      </w:r>
      <w:r w:rsidRPr="000C5871">
        <w:rPr>
          <w:noProof/>
          <w:sz w:val="20"/>
        </w:rPr>
        <w:t xml:space="preserve"> </w:t>
      </w:r>
      <w:r w:rsidRPr="000C5871">
        <w:rPr>
          <w:b/>
          <w:bCs/>
          <w:noProof/>
          <w:sz w:val="20"/>
        </w:rPr>
        <w:t>34</w:t>
      </w:r>
      <w:r w:rsidRPr="000C5871">
        <w:rPr>
          <w:noProof/>
          <w:sz w:val="20"/>
        </w:rPr>
        <w:t>, 289–291 (2018).</w:t>
      </w:r>
    </w:p>
    <w:p w14:paraId="240EF443"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20.</w:t>
      </w:r>
      <w:r w:rsidRPr="000C5871">
        <w:rPr>
          <w:noProof/>
          <w:sz w:val="20"/>
        </w:rPr>
        <w:tab/>
        <w:t xml:space="preserve">Schofield, E. C. </w:t>
      </w:r>
      <w:r w:rsidRPr="000C5871">
        <w:rPr>
          <w:i/>
          <w:iCs/>
          <w:noProof/>
          <w:sz w:val="20"/>
        </w:rPr>
        <w:t>et al.</w:t>
      </w:r>
      <w:r w:rsidRPr="000C5871">
        <w:rPr>
          <w:noProof/>
          <w:sz w:val="20"/>
        </w:rPr>
        <w:t xml:space="preserve"> CHiCP: A web-based tool for the integrative and interactive visualization of promoter capture Hi-C datasets. </w:t>
      </w:r>
      <w:r w:rsidRPr="000C5871">
        <w:rPr>
          <w:i/>
          <w:iCs/>
          <w:noProof/>
          <w:sz w:val="20"/>
        </w:rPr>
        <w:t>Bioinformatics</w:t>
      </w:r>
      <w:r w:rsidRPr="000C5871">
        <w:rPr>
          <w:noProof/>
          <w:sz w:val="20"/>
        </w:rPr>
        <w:t xml:space="preserve"> </w:t>
      </w:r>
      <w:r w:rsidRPr="000C5871">
        <w:rPr>
          <w:b/>
          <w:bCs/>
          <w:noProof/>
          <w:sz w:val="20"/>
        </w:rPr>
        <w:t>32</w:t>
      </w:r>
      <w:r w:rsidRPr="000C5871">
        <w:rPr>
          <w:noProof/>
          <w:sz w:val="20"/>
        </w:rPr>
        <w:t>, 2511–2513 (2016).</w:t>
      </w:r>
    </w:p>
    <w:p w14:paraId="6CBD6F13"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21.</w:t>
      </w:r>
      <w:r w:rsidRPr="000C5871">
        <w:rPr>
          <w:noProof/>
          <w:sz w:val="20"/>
        </w:rPr>
        <w:tab/>
        <w:t xml:space="preserve">Jiang, Q. </w:t>
      </w:r>
      <w:r w:rsidRPr="000C5871">
        <w:rPr>
          <w:i/>
          <w:iCs/>
          <w:noProof/>
          <w:sz w:val="20"/>
        </w:rPr>
        <w:t>et al.</w:t>
      </w:r>
      <w:r w:rsidRPr="000C5871">
        <w:rPr>
          <w:noProof/>
          <w:sz w:val="20"/>
        </w:rPr>
        <w:t xml:space="preserve"> LncRNA2Target: A database for differentially expressed genes after IncRNA knockdown or overexpression. </w:t>
      </w:r>
      <w:r w:rsidRPr="000C5871">
        <w:rPr>
          <w:i/>
          <w:iCs/>
          <w:noProof/>
          <w:sz w:val="20"/>
        </w:rPr>
        <w:t>Nucleic Acids Res.</w:t>
      </w:r>
      <w:r w:rsidRPr="000C5871">
        <w:rPr>
          <w:noProof/>
          <w:sz w:val="20"/>
        </w:rPr>
        <w:t xml:space="preserve"> </w:t>
      </w:r>
      <w:r w:rsidRPr="000C5871">
        <w:rPr>
          <w:b/>
          <w:bCs/>
          <w:noProof/>
          <w:sz w:val="20"/>
        </w:rPr>
        <w:t>43</w:t>
      </w:r>
      <w:r w:rsidRPr="000C5871">
        <w:rPr>
          <w:noProof/>
          <w:sz w:val="20"/>
        </w:rPr>
        <w:t>, D193–D196 (2015).</w:t>
      </w:r>
    </w:p>
    <w:p w14:paraId="3A5B29B5"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22.</w:t>
      </w:r>
      <w:r w:rsidRPr="000C5871">
        <w:rPr>
          <w:noProof/>
          <w:sz w:val="20"/>
        </w:rPr>
        <w:tab/>
        <w:t xml:space="preserve">Bao, Z. </w:t>
      </w:r>
      <w:r w:rsidRPr="000C5871">
        <w:rPr>
          <w:i/>
          <w:iCs/>
          <w:noProof/>
          <w:sz w:val="20"/>
        </w:rPr>
        <w:t>et al.</w:t>
      </w:r>
      <w:r w:rsidRPr="000C5871">
        <w:rPr>
          <w:noProof/>
          <w:sz w:val="20"/>
        </w:rPr>
        <w:t xml:space="preserve"> LncRNADisease 2.0: An updated database of long non-coding RNA-associated diseases. </w:t>
      </w:r>
      <w:r w:rsidRPr="000C5871">
        <w:rPr>
          <w:i/>
          <w:iCs/>
          <w:noProof/>
          <w:sz w:val="20"/>
        </w:rPr>
        <w:t>Nucleic Acids Res.</w:t>
      </w:r>
      <w:r w:rsidRPr="000C5871">
        <w:rPr>
          <w:noProof/>
          <w:sz w:val="20"/>
        </w:rPr>
        <w:t xml:space="preserve"> </w:t>
      </w:r>
      <w:r w:rsidRPr="000C5871">
        <w:rPr>
          <w:b/>
          <w:bCs/>
          <w:noProof/>
          <w:sz w:val="20"/>
        </w:rPr>
        <w:t>47</w:t>
      </w:r>
      <w:r w:rsidRPr="000C5871">
        <w:rPr>
          <w:noProof/>
          <w:sz w:val="20"/>
        </w:rPr>
        <w:t>, D1034–D1037 (2019).</w:t>
      </w:r>
    </w:p>
    <w:p w14:paraId="565BDDB1"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23.</w:t>
      </w:r>
      <w:r w:rsidRPr="000C5871">
        <w:rPr>
          <w:noProof/>
          <w:sz w:val="20"/>
        </w:rPr>
        <w:tab/>
        <w:t xml:space="preserve">Huang, H. Y. </w:t>
      </w:r>
      <w:r w:rsidRPr="000C5871">
        <w:rPr>
          <w:i/>
          <w:iCs/>
          <w:noProof/>
          <w:sz w:val="20"/>
        </w:rPr>
        <w:t>et al.</w:t>
      </w:r>
      <w:r w:rsidRPr="000C5871">
        <w:rPr>
          <w:noProof/>
          <w:sz w:val="20"/>
        </w:rPr>
        <w:t xml:space="preserve"> MiRTarBase 2020: Updates to the experimentally validated microRNA-target interaction database. </w:t>
      </w:r>
      <w:r w:rsidRPr="000C5871">
        <w:rPr>
          <w:i/>
          <w:iCs/>
          <w:noProof/>
          <w:sz w:val="20"/>
        </w:rPr>
        <w:t>Nucleic Acids Res.</w:t>
      </w:r>
      <w:r w:rsidRPr="000C5871">
        <w:rPr>
          <w:noProof/>
          <w:sz w:val="20"/>
        </w:rPr>
        <w:t xml:space="preserve"> </w:t>
      </w:r>
      <w:r w:rsidRPr="000C5871">
        <w:rPr>
          <w:b/>
          <w:bCs/>
          <w:noProof/>
          <w:sz w:val="20"/>
        </w:rPr>
        <w:t>48</w:t>
      </w:r>
      <w:r w:rsidRPr="000C5871">
        <w:rPr>
          <w:noProof/>
          <w:sz w:val="20"/>
        </w:rPr>
        <w:t>, D148–D154 (2020).</w:t>
      </w:r>
    </w:p>
    <w:p w14:paraId="1D54C072"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24.</w:t>
      </w:r>
      <w:r w:rsidRPr="000C5871">
        <w:rPr>
          <w:noProof/>
          <w:sz w:val="20"/>
        </w:rPr>
        <w:tab/>
        <w:t xml:space="preserve">Parnell, G. P. </w:t>
      </w:r>
      <w:r w:rsidRPr="000C5871">
        <w:rPr>
          <w:i/>
          <w:iCs/>
          <w:noProof/>
          <w:sz w:val="20"/>
        </w:rPr>
        <w:t>et al.</w:t>
      </w:r>
      <w:r w:rsidRPr="000C5871">
        <w:rPr>
          <w:noProof/>
          <w:sz w:val="20"/>
        </w:rPr>
        <w:t xml:space="preserve"> Identifying key regulatory genes in the whole blood of septic patients to monitor underlying immune dysfunctions. </w:t>
      </w:r>
      <w:r w:rsidRPr="000C5871">
        <w:rPr>
          <w:i/>
          <w:iCs/>
          <w:noProof/>
          <w:sz w:val="20"/>
        </w:rPr>
        <w:t>Shock</w:t>
      </w:r>
      <w:r w:rsidRPr="000C5871">
        <w:rPr>
          <w:noProof/>
          <w:sz w:val="20"/>
        </w:rPr>
        <w:t xml:space="preserve"> </w:t>
      </w:r>
      <w:r w:rsidRPr="000C5871">
        <w:rPr>
          <w:b/>
          <w:bCs/>
          <w:noProof/>
          <w:sz w:val="20"/>
        </w:rPr>
        <w:t>40</w:t>
      </w:r>
      <w:r w:rsidRPr="000C5871">
        <w:rPr>
          <w:noProof/>
          <w:sz w:val="20"/>
        </w:rPr>
        <w:t>, 166–174 (2013).</w:t>
      </w:r>
    </w:p>
    <w:p w14:paraId="57679387"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25.</w:t>
      </w:r>
      <w:r w:rsidRPr="000C5871">
        <w:rPr>
          <w:noProof/>
          <w:sz w:val="20"/>
        </w:rPr>
        <w:tab/>
        <w:t xml:space="preserve">Dolinay, T. </w:t>
      </w:r>
      <w:r w:rsidRPr="000C5871">
        <w:rPr>
          <w:i/>
          <w:iCs/>
          <w:noProof/>
          <w:sz w:val="20"/>
        </w:rPr>
        <w:t>et al.</w:t>
      </w:r>
      <w:r w:rsidRPr="000C5871">
        <w:rPr>
          <w:noProof/>
          <w:sz w:val="20"/>
        </w:rPr>
        <w:t xml:space="preserve"> Inflammasome-regulated cytokines are critical mediators of acute lung injury. </w:t>
      </w:r>
      <w:r w:rsidRPr="000C5871">
        <w:rPr>
          <w:i/>
          <w:iCs/>
          <w:noProof/>
          <w:sz w:val="20"/>
        </w:rPr>
        <w:t>Am. J. Respir. Crit. Care Med.</w:t>
      </w:r>
      <w:r w:rsidRPr="000C5871">
        <w:rPr>
          <w:noProof/>
          <w:sz w:val="20"/>
        </w:rPr>
        <w:t xml:space="preserve"> </w:t>
      </w:r>
      <w:r w:rsidRPr="000C5871">
        <w:rPr>
          <w:b/>
          <w:bCs/>
          <w:noProof/>
          <w:sz w:val="20"/>
        </w:rPr>
        <w:t>185</w:t>
      </w:r>
      <w:r w:rsidRPr="000C5871">
        <w:rPr>
          <w:noProof/>
          <w:sz w:val="20"/>
        </w:rPr>
        <w:t>, 1225–1234 (2012).</w:t>
      </w:r>
    </w:p>
    <w:p w14:paraId="3B939223"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26.</w:t>
      </w:r>
      <w:r w:rsidRPr="000C5871">
        <w:rPr>
          <w:noProof/>
          <w:sz w:val="20"/>
        </w:rPr>
        <w:tab/>
        <w:t xml:space="preserve">Benjamini, Yoav; Hochberg, Y. Controlling the false discovery rate: a practical and powerful approach to multiple testing. </w:t>
      </w:r>
      <w:r w:rsidRPr="000C5871">
        <w:rPr>
          <w:i/>
          <w:iCs/>
          <w:noProof/>
          <w:sz w:val="20"/>
        </w:rPr>
        <w:t>Journal of the Royal Statistical Society: Series B (Methodological)</w:t>
      </w:r>
      <w:r w:rsidRPr="000C5871">
        <w:rPr>
          <w:noProof/>
          <w:sz w:val="20"/>
        </w:rPr>
        <w:t xml:space="preserve"> vol. 57 289–300 (1995).</w:t>
      </w:r>
    </w:p>
    <w:p w14:paraId="275A185E"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27.</w:t>
      </w:r>
      <w:r w:rsidRPr="000C5871">
        <w:rPr>
          <w:noProof/>
          <w:sz w:val="20"/>
        </w:rPr>
        <w:tab/>
        <w:t xml:space="preserve">Euesden, J., Lewis, C. M. &amp; O’Reilly, P. F. PRSice: Polygenic Risk Score software. </w:t>
      </w:r>
      <w:r w:rsidRPr="000C5871">
        <w:rPr>
          <w:i/>
          <w:iCs/>
          <w:noProof/>
          <w:sz w:val="20"/>
        </w:rPr>
        <w:t>Bioinformatics</w:t>
      </w:r>
      <w:r w:rsidRPr="000C5871">
        <w:rPr>
          <w:noProof/>
          <w:sz w:val="20"/>
        </w:rPr>
        <w:t xml:space="preserve"> </w:t>
      </w:r>
      <w:r w:rsidRPr="000C5871">
        <w:rPr>
          <w:b/>
          <w:bCs/>
          <w:noProof/>
          <w:sz w:val="20"/>
        </w:rPr>
        <w:t>31</w:t>
      </w:r>
      <w:r w:rsidRPr="000C5871">
        <w:rPr>
          <w:noProof/>
          <w:sz w:val="20"/>
        </w:rPr>
        <w:t>, 1466–1468 (2015).</w:t>
      </w:r>
    </w:p>
    <w:p w14:paraId="466584D9" w14:textId="77777777" w:rsidR="000C5871" w:rsidRPr="000C5871" w:rsidRDefault="000C5871" w:rsidP="000C5871">
      <w:pPr>
        <w:widowControl w:val="0"/>
        <w:autoSpaceDE w:val="0"/>
        <w:autoSpaceDN w:val="0"/>
        <w:adjustRightInd w:val="0"/>
        <w:spacing w:before="100" w:after="100" w:line="360" w:lineRule="auto"/>
        <w:ind w:left="640" w:hanging="640"/>
        <w:jc w:val="both"/>
        <w:rPr>
          <w:noProof/>
          <w:sz w:val="20"/>
        </w:rPr>
      </w:pPr>
      <w:r w:rsidRPr="000C5871">
        <w:rPr>
          <w:noProof/>
          <w:sz w:val="20"/>
        </w:rPr>
        <w:t>28.</w:t>
      </w:r>
      <w:r w:rsidRPr="000C5871">
        <w:rPr>
          <w:noProof/>
          <w:sz w:val="20"/>
        </w:rPr>
        <w:tab/>
        <w:t xml:space="preserve">Barreto-Luis, A. </w:t>
      </w:r>
      <w:r w:rsidRPr="000C5871">
        <w:rPr>
          <w:i/>
          <w:iCs/>
          <w:noProof/>
          <w:sz w:val="20"/>
        </w:rPr>
        <w:t>et al.</w:t>
      </w:r>
      <w:r w:rsidRPr="000C5871">
        <w:rPr>
          <w:noProof/>
          <w:sz w:val="20"/>
        </w:rPr>
        <w:t xml:space="preserve"> Genome-wide association study in Spanish identifies ADAM metallopeptidase with thrombospondin type 1 motif, 9 (ADAMTS9), as a novel asthma susceptibility gene. </w:t>
      </w:r>
      <w:r w:rsidRPr="000C5871">
        <w:rPr>
          <w:i/>
          <w:iCs/>
          <w:noProof/>
          <w:sz w:val="20"/>
        </w:rPr>
        <w:t>J. Allergy Clin. Immunol.</w:t>
      </w:r>
      <w:r w:rsidRPr="000C5871">
        <w:rPr>
          <w:noProof/>
          <w:sz w:val="20"/>
        </w:rPr>
        <w:t xml:space="preserve"> </w:t>
      </w:r>
      <w:r w:rsidRPr="000C5871">
        <w:rPr>
          <w:b/>
          <w:bCs/>
          <w:noProof/>
          <w:sz w:val="20"/>
        </w:rPr>
        <w:t>137</w:t>
      </w:r>
      <w:r w:rsidRPr="000C5871">
        <w:rPr>
          <w:noProof/>
          <w:sz w:val="20"/>
        </w:rPr>
        <w:t>, 964–966 (2016).</w:t>
      </w:r>
    </w:p>
    <w:p w14:paraId="24DE5958" w14:textId="77777777" w:rsidR="00C51203" w:rsidRDefault="000C5871" w:rsidP="00C51203">
      <w:pPr>
        <w:widowControl w:val="0"/>
        <w:autoSpaceDE w:val="0"/>
        <w:autoSpaceDN w:val="0"/>
        <w:adjustRightInd w:val="0"/>
        <w:spacing w:before="100" w:after="100" w:line="360" w:lineRule="auto"/>
        <w:ind w:left="640" w:hanging="640"/>
        <w:jc w:val="both"/>
        <w:rPr>
          <w:noProof/>
          <w:sz w:val="20"/>
        </w:rPr>
      </w:pPr>
      <w:r w:rsidRPr="000C5871">
        <w:rPr>
          <w:noProof/>
          <w:sz w:val="20"/>
        </w:rPr>
        <w:t>29.</w:t>
      </w:r>
      <w:r w:rsidRPr="000C5871">
        <w:rPr>
          <w:noProof/>
          <w:sz w:val="20"/>
        </w:rPr>
        <w:tab/>
        <w:t xml:space="preserve">Guillen-Guio, B. </w:t>
      </w:r>
      <w:r w:rsidRPr="000C5871">
        <w:rPr>
          <w:i/>
          <w:iCs/>
          <w:noProof/>
          <w:sz w:val="20"/>
        </w:rPr>
        <w:t>et al.</w:t>
      </w:r>
      <w:r w:rsidRPr="000C5871">
        <w:rPr>
          <w:noProof/>
          <w:sz w:val="20"/>
        </w:rPr>
        <w:t xml:space="preserve"> Admixture mapping of asthma in southwestern Europeans with North African ancestry influences. </w:t>
      </w:r>
      <w:r w:rsidRPr="000C5871">
        <w:rPr>
          <w:i/>
          <w:iCs/>
          <w:noProof/>
          <w:sz w:val="20"/>
        </w:rPr>
        <w:t>Am. J. Physiol. - Lung Cell. Mol. Physiol.</w:t>
      </w:r>
      <w:r w:rsidRPr="000C5871">
        <w:rPr>
          <w:noProof/>
          <w:sz w:val="20"/>
        </w:rPr>
        <w:t xml:space="preserve"> </w:t>
      </w:r>
      <w:r w:rsidRPr="000C5871">
        <w:rPr>
          <w:b/>
          <w:bCs/>
          <w:noProof/>
          <w:sz w:val="20"/>
        </w:rPr>
        <w:t>318</w:t>
      </w:r>
      <w:r w:rsidRPr="000C5871">
        <w:rPr>
          <w:noProof/>
          <w:sz w:val="20"/>
        </w:rPr>
        <w:t>, L965–L975 (2020).</w:t>
      </w:r>
    </w:p>
    <w:p w14:paraId="4F92B19B" w14:textId="77777777" w:rsidR="00D6206C" w:rsidRDefault="00C51203" w:rsidP="00D6206C">
      <w:pPr>
        <w:widowControl w:val="0"/>
        <w:autoSpaceDE w:val="0"/>
        <w:autoSpaceDN w:val="0"/>
        <w:adjustRightInd w:val="0"/>
        <w:spacing w:before="100" w:after="100" w:line="360" w:lineRule="auto"/>
        <w:ind w:left="640" w:hanging="640"/>
        <w:jc w:val="both"/>
        <w:rPr>
          <w:noProof/>
          <w:sz w:val="20"/>
        </w:rPr>
      </w:pPr>
      <w:r>
        <w:rPr>
          <w:noProof/>
          <w:sz w:val="20"/>
        </w:rPr>
        <w:t>30.</w:t>
      </w:r>
      <w:r>
        <w:rPr>
          <w:noProof/>
          <w:sz w:val="20"/>
        </w:rPr>
        <w:tab/>
      </w:r>
      <w:r w:rsidRPr="008E6E0D">
        <w:rPr>
          <w:noProof/>
          <w:sz w:val="20"/>
          <w:szCs w:val="20"/>
        </w:rPr>
        <w:t>Kang, H. M. EPACTS (Efficient and Parallelizable Association Container Toolbox), http://genome.sph.umich.edu/wiki/EPACTS (Date of access:27/01/2016) (2016).</w:t>
      </w:r>
    </w:p>
    <w:p w14:paraId="47B1C786" w14:textId="77777777" w:rsidR="00D6206C" w:rsidRDefault="00D6206C" w:rsidP="00D6206C">
      <w:pPr>
        <w:widowControl w:val="0"/>
        <w:autoSpaceDE w:val="0"/>
        <w:autoSpaceDN w:val="0"/>
        <w:adjustRightInd w:val="0"/>
        <w:spacing w:before="100" w:after="100" w:line="360" w:lineRule="auto"/>
        <w:ind w:left="640" w:hanging="640"/>
        <w:jc w:val="both"/>
        <w:rPr>
          <w:noProof/>
          <w:sz w:val="20"/>
        </w:rPr>
      </w:pPr>
      <w:r>
        <w:rPr>
          <w:noProof/>
          <w:sz w:val="20"/>
        </w:rPr>
        <w:t>31.</w:t>
      </w:r>
      <w:r>
        <w:rPr>
          <w:noProof/>
          <w:sz w:val="20"/>
        </w:rPr>
        <w:tab/>
      </w:r>
      <w:r w:rsidRPr="008E6E0D">
        <w:rPr>
          <w:noProof/>
          <w:sz w:val="20"/>
          <w:szCs w:val="20"/>
        </w:rPr>
        <w:t xml:space="preserve">Rautanen, Anna et al. 2015. “Genome-Wide Association Study of Survival from Sepsis Due to Pneumonia: An Observational Cohort Study.” </w:t>
      </w:r>
      <w:r w:rsidRPr="008E6E0D">
        <w:rPr>
          <w:i/>
          <w:iCs/>
          <w:noProof/>
          <w:sz w:val="20"/>
          <w:szCs w:val="20"/>
        </w:rPr>
        <w:t>The Lancet Respiratory Medicine</w:t>
      </w:r>
      <w:r w:rsidRPr="008E6E0D">
        <w:rPr>
          <w:noProof/>
          <w:sz w:val="20"/>
          <w:szCs w:val="20"/>
        </w:rPr>
        <w:t xml:space="preserve"> 3(1): 53–60.</w:t>
      </w:r>
    </w:p>
    <w:p w14:paraId="6ADDC551" w14:textId="77777777" w:rsidR="00D6206C" w:rsidRDefault="00D6206C" w:rsidP="00D6206C">
      <w:pPr>
        <w:widowControl w:val="0"/>
        <w:autoSpaceDE w:val="0"/>
        <w:autoSpaceDN w:val="0"/>
        <w:adjustRightInd w:val="0"/>
        <w:spacing w:before="100" w:after="100" w:line="360" w:lineRule="auto"/>
        <w:ind w:left="640" w:hanging="640"/>
        <w:jc w:val="both"/>
        <w:rPr>
          <w:noProof/>
          <w:sz w:val="20"/>
        </w:rPr>
      </w:pPr>
      <w:r>
        <w:rPr>
          <w:noProof/>
          <w:sz w:val="20"/>
        </w:rPr>
        <w:t>32.</w:t>
      </w:r>
      <w:r>
        <w:rPr>
          <w:noProof/>
          <w:sz w:val="20"/>
        </w:rPr>
        <w:tab/>
      </w:r>
      <w:r w:rsidRPr="008E6E0D">
        <w:rPr>
          <w:noProof/>
          <w:sz w:val="20"/>
          <w:szCs w:val="20"/>
        </w:rPr>
        <w:t xml:space="preserve">Scherag, André et al. 2016. “Genetic Factors of the Disease Course after Sepsis: A Genome-Wide Study for 28 Day Mortality.” </w:t>
      </w:r>
      <w:r w:rsidRPr="00D6206C">
        <w:rPr>
          <w:i/>
          <w:iCs/>
          <w:noProof/>
          <w:sz w:val="20"/>
          <w:szCs w:val="20"/>
        </w:rPr>
        <w:t>EBioMedicine</w:t>
      </w:r>
      <w:r w:rsidRPr="00D6206C">
        <w:rPr>
          <w:noProof/>
          <w:sz w:val="20"/>
          <w:szCs w:val="20"/>
        </w:rPr>
        <w:t xml:space="preserve"> 12: 239–46. </w:t>
      </w:r>
      <w:r w:rsidRPr="00D6206C">
        <w:rPr>
          <w:noProof/>
          <w:sz w:val="20"/>
          <w:szCs w:val="20"/>
        </w:rPr>
        <w:lastRenderedPageBreak/>
        <w:t>http://dx.doi.org/10.1016/j.ebiom.2016.08.043.</w:t>
      </w:r>
    </w:p>
    <w:p w14:paraId="5DE0C36E" w14:textId="6B03CD0E" w:rsidR="00821F97" w:rsidRPr="000C5871" w:rsidRDefault="00D6206C" w:rsidP="00D6206C">
      <w:pPr>
        <w:widowControl w:val="0"/>
        <w:autoSpaceDE w:val="0"/>
        <w:autoSpaceDN w:val="0"/>
        <w:adjustRightInd w:val="0"/>
        <w:spacing w:before="100" w:after="100" w:line="360" w:lineRule="auto"/>
        <w:ind w:left="640" w:hanging="640"/>
        <w:jc w:val="both"/>
        <w:rPr>
          <w:noProof/>
          <w:sz w:val="20"/>
        </w:rPr>
      </w:pPr>
      <w:r>
        <w:rPr>
          <w:noProof/>
          <w:sz w:val="20"/>
        </w:rPr>
        <w:t>33.</w:t>
      </w:r>
      <w:r>
        <w:rPr>
          <w:noProof/>
          <w:sz w:val="20"/>
        </w:rPr>
        <w:tab/>
      </w:r>
      <w:r w:rsidRPr="008E6E0D">
        <w:rPr>
          <w:noProof/>
          <w:sz w:val="20"/>
          <w:szCs w:val="20"/>
        </w:rPr>
        <w:t xml:space="preserve">Rosier, Florian et al. 2021. “Genetic Predisposition to the Mortality in Septic Shock Patients: From Gwas to the Identification of a Regulatory Variant Modulating the Activity of a Cish Enhancer.” </w:t>
      </w:r>
      <w:r w:rsidRPr="008E6E0D">
        <w:rPr>
          <w:i/>
          <w:iCs/>
          <w:noProof/>
          <w:sz w:val="20"/>
          <w:szCs w:val="20"/>
        </w:rPr>
        <w:t>International Journal of Molecular Sciences</w:t>
      </w:r>
      <w:r w:rsidRPr="008E6E0D">
        <w:rPr>
          <w:noProof/>
          <w:sz w:val="20"/>
          <w:szCs w:val="20"/>
        </w:rPr>
        <w:t xml:space="preserve"> 22(11).</w:t>
      </w:r>
    </w:p>
    <w:p w14:paraId="686E3CCC" w14:textId="1312632E" w:rsidR="000C5871" w:rsidRPr="000C5871" w:rsidRDefault="00C51203" w:rsidP="000C5871">
      <w:pPr>
        <w:widowControl w:val="0"/>
        <w:autoSpaceDE w:val="0"/>
        <w:autoSpaceDN w:val="0"/>
        <w:adjustRightInd w:val="0"/>
        <w:spacing w:before="100" w:after="100" w:line="360" w:lineRule="auto"/>
        <w:ind w:left="640" w:hanging="640"/>
        <w:jc w:val="both"/>
        <w:rPr>
          <w:noProof/>
          <w:sz w:val="20"/>
        </w:rPr>
      </w:pPr>
      <w:r>
        <w:rPr>
          <w:noProof/>
          <w:sz w:val="20"/>
        </w:rPr>
        <w:t>34</w:t>
      </w:r>
      <w:r w:rsidR="000C5871" w:rsidRPr="000C5871">
        <w:rPr>
          <w:noProof/>
          <w:sz w:val="20"/>
        </w:rPr>
        <w:t>.</w:t>
      </w:r>
      <w:r w:rsidR="000C5871" w:rsidRPr="000C5871">
        <w:rPr>
          <w:noProof/>
          <w:sz w:val="20"/>
        </w:rPr>
        <w:tab/>
        <w:t xml:space="preserve">Choi, W., Luo, Y., Raychaudhuri, S. &amp; Han, B. HATK: HLA analysis toolkit. </w:t>
      </w:r>
      <w:r w:rsidR="000C5871" w:rsidRPr="000C5871">
        <w:rPr>
          <w:i/>
          <w:iCs/>
          <w:noProof/>
          <w:sz w:val="20"/>
        </w:rPr>
        <w:t>Bioinformatics</w:t>
      </w:r>
      <w:r w:rsidR="000C5871" w:rsidRPr="000C5871">
        <w:rPr>
          <w:noProof/>
          <w:sz w:val="20"/>
        </w:rPr>
        <w:t xml:space="preserve"> </w:t>
      </w:r>
      <w:r w:rsidR="000C5871" w:rsidRPr="000C5871">
        <w:rPr>
          <w:b/>
          <w:bCs/>
          <w:noProof/>
          <w:sz w:val="20"/>
        </w:rPr>
        <w:t>37</w:t>
      </w:r>
      <w:r w:rsidR="000C5871" w:rsidRPr="000C5871">
        <w:rPr>
          <w:noProof/>
          <w:sz w:val="20"/>
        </w:rPr>
        <w:t>, 416–418 (2020).</w:t>
      </w:r>
    </w:p>
    <w:p w14:paraId="3A9F713B" w14:textId="7E4153C7" w:rsidR="00FB3069" w:rsidRPr="008E6E0D" w:rsidRDefault="00175702" w:rsidP="000C5871">
      <w:pPr>
        <w:widowControl w:val="0"/>
        <w:autoSpaceDE w:val="0"/>
        <w:autoSpaceDN w:val="0"/>
        <w:adjustRightInd w:val="0"/>
        <w:spacing w:before="100" w:after="100" w:line="360" w:lineRule="auto"/>
        <w:ind w:left="480" w:hanging="480"/>
        <w:jc w:val="both"/>
        <w:rPr>
          <w:sz w:val="20"/>
          <w:szCs w:val="20"/>
        </w:rPr>
      </w:pPr>
      <w:r w:rsidRPr="008E6E0D">
        <w:rPr>
          <w:sz w:val="20"/>
          <w:szCs w:val="20"/>
        </w:rPr>
        <w:fldChar w:fldCharType="end"/>
      </w:r>
    </w:p>
    <w:p w14:paraId="4B0324B7" w14:textId="131F80DE" w:rsidR="00F927ED" w:rsidRPr="008E6E0D" w:rsidRDefault="008F40C8" w:rsidP="001660EC">
      <w:pPr>
        <w:pStyle w:val="xmsonormal"/>
        <w:shd w:val="clear" w:color="auto" w:fill="FFFFFF"/>
        <w:spacing w:line="360" w:lineRule="auto"/>
        <w:jc w:val="both"/>
        <w:rPr>
          <w:b/>
          <w:sz w:val="20"/>
          <w:szCs w:val="20"/>
          <w:lang w:val="en-US"/>
        </w:rPr>
      </w:pPr>
      <w:r w:rsidRPr="008E6E0D">
        <w:rPr>
          <w:b/>
          <w:sz w:val="20"/>
          <w:szCs w:val="20"/>
          <w:lang w:val="en-US"/>
        </w:rPr>
        <w:br w:type="page"/>
      </w:r>
      <w:r w:rsidR="001A73C7" w:rsidRPr="008E6E0D">
        <w:rPr>
          <w:b/>
          <w:szCs w:val="20"/>
          <w:lang w:val="en-US"/>
        </w:rPr>
        <w:lastRenderedPageBreak/>
        <w:t xml:space="preserve">Supplementary </w:t>
      </w:r>
      <w:r w:rsidR="008C3F62" w:rsidRPr="008E6E0D">
        <w:rPr>
          <w:b/>
          <w:szCs w:val="20"/>
          <w:lang w:val="en-US"/>
        </w:rPr>
        <w:t>Figures</w:t>
      </w:r>
    </w:p>
    <w:p w14:paraId="2A664CD0" w14:textId="20C93F3D" w:rsidR="00F13259" w:rsidRPr="008E6E0D" w:rsidRDefault="003441FA" w:rsidP="000D5D9D">
      <w:pPr>
        <w:pStyle w:val="xmsonormal"/>
        <w:shd w:val="clear" w:color="auto" w:fill="FFFFFF"/>
        <w:spacing w:line="360" w:lineRule="auto"/>
        <w:jc w:val="center"/>
        <w:rPr>
          <w:b/>
          <w:sz w:val="20"/>
          <w:szCs w:val="20"/>
          <w:lang w:val="en-US"/>
        </w:rPr>
      </w:pPr>
      <w:r w:rsidRPr="008E6E0D">
        <w:rPr>
          <w:noProof/>
          <w:sz w:val="20"/>
          <w:szCs w:val="20"/>
          <w:lang w:val="en-US" w:eastAsia="en-US"/>
        </w:rPr>
        <w:drawing>
          <wp:inline distT="0" distB="0" distL="0" distR="0" wp14:anchorId="638BD755" wp14:editId="76017918">
            <wp:extent cx="5400040" cy="36582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950"/>
                    <a:stretch/>
                  </pic:blipFill>
                  <pic:spPr bwMode="auto">
                    <a:xfrm>
                      <a:off x="0" y="0"/>
                      <a:ext cx="5400040" cy="3658235"/>
                    </a:xfrm>
                    <a:prstGeom prst="rect">
                      <a:avLst/>
                    </a:prstGeom>
                    <a:ln>
                      <a:noFill/>
                    </a:ln>
                    <a:extLst>
                      <a:ext uri="{53640926-AAD7-44D8-BBD7-CCE9431645EC}">
                        <a14:shadowObscured xmlns:a14="http://schemas.microsoft.com/office/drawing/2010/main"/>
                      </a:ext>
                    </a:extLst>
                  </pic:spPr>
                </pic:pic>
              </a:graphicData>
            </a:graphic>
          </wp:inline>
        </w:drawing>
      </w:r>
    </w:p>
    <w:p w14:paraId="5305BD23" w14:textId="2E161943" w:rsidR="00864132" w:rsidRPr="008E6E0D" w:rsidRDefault="00864132" w:rsidP="00864132">
      <w:pPr>
        <w:pStyle w:val="xmsonormal"/>
        <w:shd w:val="clear" w:color="auto" w:fill="FFFFFF"/>
        <w:spacing w:line="360" w:lineRule="auto"/>
        <w:jc w:val="both"/>
        <w:rPr>
          <w:i/>
          <w:sz w:val="20"/>
          <w:szCs w:val="20"/>
          <w:lang w:val="en-US" w:eastAsia="en-US"/>
        </w:rPr>
      </w:pPr>
      <w:r w:rsidRPr="008E6E0D">
        <w:rPr>
          <w:b/>
          <w:i/>
          <w:sz w:val="20"/>
          <w:szCs w:val="20"/>
          <w:lang w:val="en-US" w:eastAsia="en-US"/>
        </w:rPr>
        <w:t>Supplementary Figure 1.</w:t>
      </w:r>
      <w:r w:rsidRPr="008E6E0D">
        <w:rPr>
          <w:i/>
          <w:sz w:val="20"/>
          <w:szCs w:val="20"/>
          <w:lang w:val="en-US" w:eastAsia="en-US"/>
        </w:rPr>
        <w:t xml:space="preserve"> Principal component analysis. Plot of the first two principal components (PC</w:t>
      </w:r>
      <w:r w:rsidR="00745A40" w:rsidRPr="008E6E0D">
        <w:rPr>
          <w:i/>
          <w:sz w:val="20"/>
          <w:szCs w:val="20"/>
          <w:lang w:val="en-US" w:eastAsia="en-US"/>
        </w:rPr>
        <w:t>s</w:t>
      </w:r>
      <w:r w:rsidRPr="008E6E0D">
        <w:rPr>
          <w:i/>
          <w:sz w:val="20"/>
          <w:szCs w:val="20"/>
          <w:lang w:val="en-US" w:eastAsia="en-US"/>
        </w:rPr>
        <w:t>)</w:t>
      </w:r>
      <w:r w:rsidR="00495077">
        <w:rPr>
          <w:i/>
          <w:sz w:val="20"/>
          <w:szCs w:val="20"/>
          <w:lang w:val="en-US" w:eastAsia="en-US"/>
        </w:rPr>
        <w:t xml:space="preserve"> of genetic variation</w:t>
      </w:r>
      <w:r w:rsidRPr="008E6E0D">
        <w:rPr>
          <w:i/>
          <w:sz w:val="20"/>
          <w:szCs w:val="20"/>
          <w:lang w:val="en-US" w:eastAsia="en-US"/>
        </w:rPr>
        <w:t xml:space="preserve"> of GEN-SEP individuals analy</w:t>
      </w:r>
      <w:r w:rsidR="00495077">
        <w:rPr>
          <w:i/>
          <w:sz w:val="20"/>
          <w:szCs w:val="20"/>
          <w:lang w:val="en-US" w:eastAsia="en-US"/>
        </w:rPr>
        <w:t>s</w:t>
      </w:r>
      <w:r w:rsidRPr="008E6E0D">
        <w:rPr>
          <w:i/>
          <w:sz w:val="20"/>
          <w:szCs w:val="20"/>
          <w:lang w:val="en-US" w:eastAsia="en-US"/>
        </w:rPr>
        <w:t>ed in the first stage projected on the HapMap3 reference dataset.</w:t>
      </w:r>
    </w:p>
    <w:p w14:paraId="722AEAE5" w14:textId="2095E8DC" w:rsidR="004232E3" w:rsidRPr="008E6E0D" w:rsidRDefault="004232E3" w:rsidP="009F1459">
      <w:pPr>
        <w:pStyle w:val="xmsonormal"/>
        <w:shd w:val="clear" w:color="auto" w:fill="FFFFFF"/>
        <w:spacing w:line="360" w:lineRule="auto"/>
        <w:jc w:val="both"/>
        <w:rPr>
          <w:i/>
          <w:sz w:val="20"/>
          <w:szCs w:val="20"/>
          <w:lang w:val="en-US" w:eastAsia="en-US"/>
        </w:rPr>
      </w:pPr>
    </w:p>
    <w:p w14:paraId="32130887" w14:textId="1F3AFD42" w:rsidR="005B40DD" w:rsidRPr="008E6E0D" w:rsidRDefault="005B40DD" w:rsidP="009F1459">
      <w:pPr>
        <w:pStyle w:val="xmsonormal"/>
        <w:shd w:val="clear" w:color="auto" w:fill="FFFFFF"/>
        <w:spacing w:line="360" w:lineRule="auto"/>
        <w:jc w:val="both"/>
        <w:rPr>
          <w:i/>
          <w:sz w:val="20"/>
          <w:szCs w:val="20"/>
          <w:lang w:val="en-US" w:eastAsia="en-US"/>
        </w:rPr>
      </w:pPr>
    </w:p>
    <w:p w14:paraId="35129B21" w14:textId="25D605C6" w:rsidR="005B40DD" w:rsidRPr="008E6E0D" w:rsidRDefault="005B40DD" w:rsidP="009F1459">
      <w:pPr>
        <w:pStyle w:val="xmsonormal"/>
        <w:shd w:val="clear" w:color="auto" w:fill="FFFFFF"/>
        <w:spacing w:line="360" w:lineRule="auto"/>
        <w:jc w:val="both"/>
        <w:rPr>
          <w:i/>
          <w:sz w:val="20"/>
          <w:szCs w:val="20"/>
          <w:lang w:val="en-US" w:eastAsia="en-US"/>
        </w:rPr>
      </w:pPr>
    </w:p>
    <w:p w14:paraId="464958C3" w14:textId="06DF1B18" w:rsidR="005B40DD" w:rsidRPr="008E6E0D" w:rsidRDefault="005B40DD" w:rsidP="009F1459">
      <w:pPr>
        <w:pStyle w:val="xmsonormal"/>
        <w:shd w:val="clear" w:color="auto" w:fill="FFFFFF"/>
        <w:spacing w:line="360" w:lineRule="auto"/>
        <w:jc w:val="both"/>
        <w:rPr>
          <w:i/>
          <w:sz w:val="20"/>
          <w:szCs w:val="20"/>
          <w:lang w:val="en-US" w:eastAsia="en-US"/>
        </w:rPr>
      </w:pPr>
    </w:p>
    <w:p w14:paraId="0AA1B943" w14:textId="6B70E3D2" w:rsidR="00E818FE" w:rsidRPr="008E6E0D" w:rsidRDefault="00E818FE" w:rsidP="0028368B">
      <w:pPr>
        <w:pStyle w:val="NormalWeb"/>
        <w:jc w:val="center"/>
        <w:rPr>
          <w:i/>
          <w:sz w:val="20"/>
          <w:szCs w:val="20"/>
        </w:rPr>
      </w:pPr>
      <w:r w:rsidRPr="008E6E0D">
        <w:rPr>
          <w:b/>
          <w:i/>
          <w:noProof/>
          <w:sz w:val="20"/>
          <w:szCs w:val="20"/>
        </w:rPr>
        <w:lastRenderedPageBreak/>
        <w:drawing>
          <wp:inline distT="0" distB="0" distL="0" distR="0" wp14:anchorId="64E0E141" wp14:editId="0FFE825C">
            <wp:extent cx="2637692" cy="2637692"/>
            <wp:effectExtent l="0" t="0" r="0" b="0"/>
            <wp:docPr id="9" name="Imagen 9" descr="C:\Users\Tamara\Dropbox\TAMARA\Sepsis_surv_mort_28-days_GWAS_THB\GWAS_survival\Sex_edad_2PCA\Metaanalisis GWAS 28-days Survival sepsis 476 + 212 including ChrX\QQ_Metaanalysis_475_212Indv_with_chrX_clean_5IQR_outliers_Sex_age_2PC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ara\Dropbox\TAMARA\Sepsis_surv_mort_28-days_GWAS_THB\GWAS_survival\Sex_edad_2PCA\Metaanalisis GWAS 28-days Survival sepsis 476 + 212 including ChrX\QQ_Metaanalysis_475_212Indv_with_chrX_clean_5IQR_outliers_Sex_age_2PCAs.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995" cy="2642995"/>
                    </a:xfrm>
                    <a:prstGeom prst="rect">
                      <a:avLst/>
                    </a:prstGeom>
                    <a:noFill/>
                    <a:ln>
                      <a:noFill/>
                    </a:ln>
                  </pic:spPr>
                </pic:pic>
              </a:graphicData>
            </a:graphic>
          </wp:inline>
        </w:drawing>
      </w:r>
    </w:p>
    <w:p w14:paraId="7977D52A" w14:textId="77777777" w:rsidR="0028368B" w:rsidRPr="008E6E0D" w:rsidRDefault="0028368B" w:rsidP="006249CF">
      <w:pPr>
        <w:pStyle w:val="NormalWeb"/>
        <w:spacing w:line="360" w:lineRule="auto"/>
        <w:rPr>
          <w:rFonts w:eastAsiaTheme="minorHAnsi"/>
          <w:bCs/>
          <w:sz w:val="20"/>
          <w:szCs w:val="20"/>
        </w:rPr>
      </w:pPr>
      <w:r w:rsidRPr="008E6E0D">
        <w:rPr>
          <w:b/>
          <w:i/>
          <w:sz w:val="20"/>
          <w:szCs w:val="20"/>
        </w:rPr>
        <w:t xml:space="preserve">Supplementary Figure 2. </w:t>
      </w:r>
      <w:r w:rsidRPr="008E6E0D">
        <w:rPr>
          <w:i/>
          <w:sz w:val="20"/>
          <w:szCs w:val="20"/>
        </w:rPr>
        <w:t>Quantile-quantile plot of the observed versus expected -log10 p-values of the association results of first stage.</w:t>
      </w:r>
    </w:p>
    <w:p w14:paraId="5C03DA17" w14:textId="00FF48B1" w:rsidR="00362E10" w:rsidRPr="008E6E0D" w:rsidRDefault="00362E10" w:rsidP="00025FD8">
      <w:pPr>
        <w:jc w:val="both"/>
        <w:rPr>
          <w:i/>
          <w:sz w:val="20"/>
          <w:szCs w:val="20"/>
        </w:rPr>
      </w:pPr>
    </w:p>
    <w:p w14:paraId="5C94685E" w14:textId="4474D596" w:rsidR="005B40DD" w:rsidRPr="008E6E0D" w:rsidRDefault="005B40DD" w:rsidP="00025FD8">
      <w:pPr>
        <w:jc w:val="both"/>
        <w:rPr>
          <w:i/>
          <w:sz w:val="20"/>
          <w:szCs w:val="20"/>
        </w:rPr>
      </w:pPr>
    </w:p>
    <w:p w14:paraId="5132AEF6" w14:textId="206EFA8C" w:rsidR="005B40DD" w:rsidRPr="008E6E0D" w:rsidRDefault="005B40DD" w:rsidP="00025FD8">
      <w:pPr>
        <w:jc w:val="both"/>
        <w:rPr>
          <w:i/>
          <w:sz w:val="20"/>
          <w:szCs w:val="20"/>
        </w:rPr>
      </w:pPr>
    </w:p>
    <w:p w14:paraId="5C8E84E8" w14:textId="628D8D06" w:rsidR="005B40DD" w:rsidRPr="008E6E0D" w:rsidRDefault="005B40DD" w:rsidP="00025FD8">
      <w:pPr>
        <w:jc w:val="both"/>
        <w:rPr>
          <w:i/>
          <w:sz w:val="20"/>
          <w:szCs w:val="20"/>
        </w:rPr>
      </w:pPr>
    </w:p>
    <w:p w14:paraId="6B6809BA" w14:textId="114A09A7" w:rsidR="005B40DD" w:rsidRPr="008E6E0D" w:rsidRDefault="005B40DD" w:rsidP="00025FD8">
      <w:pPr>
        <w:jc w:val="both"/>
        <w:rPr>
          <w:i/>
          <w:sz w:val="20"/>
          <w:szCs w:val="20"/>
        </w:rPr>
      </w:pPr>
    </w:p>
    <w:p w14:paraId="6061007E" w14:textId="045CBDCA" w:rsidR="005B40DD" w:rsidRPr="008E6E0D" w:rsidRDefault="005B40DD" w:rsidP="00025FD8">
      <w:pPr>
        <w:jc w:val="both"/>
        <w:rPr>
          <w:i/>
          <w:sz w:val="20"/>
          <w:szCs w:val="20"/>
        </w:rPr>
      </w:pPr>
    </w:p>
    <w:p w14:paraId="74E9A3F4" w14:textId="4243C2F9" w:rsidR="005B40DD" w:rsidRPr="008E6E0D" w:rsidRDefault="005B40DD" w:rsidP="00025FD8">
      <w:pPr>
        <w:jc w:val="both"/>
        <w:rPr>
          <w:i/>
          <w:sz w:val="20"/>
          <w:szCs w:val="20"/>
        </w:rPr>
      </w:pPr>
    </w:p>
    <w:p w14:paraId="3C9BA3B2" w14:textId="39E3CA51" w:rsidR="005B40DD" w:rsidRPr="008E6E0D" w:rsidRDefault="005B40DD" w:rsidP="00025FD8">
      <w:pPr>
        <w:jc w:val="both"/>
        <w:rPr>
          <w:i/>
          <w:sz w:val="20"/>
          <w:szCs w:val="20"/>
        </w:rPr>
      </w:pPr>
    </w:p>
    <w:p w14:paraId="72D5596B" w14:textId="7DD44F75" w:rsidR="005B40DD" w:rsidRPr="008E6E0D" w:rsidRDefault="005B40DD" w:rsidP="00025FD8">
      <w:pPr>
        <w:jc w:val="both"/>
        <w:rPr>
          <w:i/>
          <w:sz w:val="20"/>
          <w:szCs w:val="20"/>
        </w:rPr>
      </w:pPr>
    </w:p>
    <w:p w14:paraId="54F949CB" w14:textId="7A90C82F" w:rsidR="005B40DD" w:rsidRPr="008E6E0D" w:rsidRDefault="005B40DD" w:rsidP="00025FD8">
      <w:pPr>
        <w:jc w:val="both"/>
        <w:rPr>
          <w:i/>
          <w:sz w:val="20"/>
          <w:szCs w:val="20"/>
        </w:rPr>
      </w:pPr>
    </w:p>
    <w:p w14:paraId="1F5CB24E" w14:textId="42311E4C" w:rsidR="005B40DD" w:rsidRPr="008E6E0D" w:rsidRDefault="005B40DD" w:rsidP="00025FD8">
      <w:pPr>
        <w:jc w:val="both"/>
        <w:rPr>
          <w:i/>
          <w:sz w:val="20"/>
          <w:szCs w:val="20"/>
        </w:rPr>
      </w:pPr>
    </w:p>
    <w:p w14:paraId="716419C8" w14:textId="283DF522" w:rsidR="005B40DD" w:rsidRPr="008E6E0D" w:rsidRDefault="005B40DD" w:rsidP="00025FD8">
      <w:pPr>
        <w:jc w:val="both"/>
        <w:rPr>
          <w:i/>
          <w:sz w:val="20"/>
          <w:szCs w:val="20"/>
        </w:rPr>
      </w:pPr>
    </w:p>
    <w:p w14:paraId="6BF1ED58" w14:textId="3B2B3A90" w:rsidR="005B40DD" w:rsidRPr="008E6E0D" w:rsidRDefault="005B40DD" w:rsidP="00025FD8">
      <w:pPr>
        <w:jc w:val="both"/>
        <w:rPr>
          <w:i/>
          <w:sz w:val="20"/>
          <w:szCs w:val="20"/>
        </w:rPr>
      </w:pPr>
    </w:p>
    <w:p w14:paraId="047267E1" w14:textId="3407D3BE" w:rsidR="005B40DD" w:rsidRPr="008E6E0D" w:rsidRDefault="005B40DD" w:rsidP="00025FD8">
      <w:pPr>
        <w:jc w:val="both"/>
        <w:rPr>
          <w:i/>
          <w:sz w:val="20"/>
          <w:szCs w:val="20"/>
        </w:rPr>
      </w:pPr>
    </w:p>
    <w:p w14:paraId="2B52F1EC" w14:textId="2817B2AB" w:rsidR="005B40DD" w:rsidRPr="008E6E0D" w:rsidRDefault="005B40DD" w:rsidP="00025FD8">
      <w:pPr>
        <w:jc w:val="both"/>
        <w:rPr>
          <w:i/>
          <w:sz w:val="20"/>
          <w:szCs w:val="20"/>
        </w:rPr>
      </w:pPr>
    </w:p>
    <w:p w14:paraId="302E0BFC" w14:textId="718E8F6C" w:rsidR="005B40DD" w:rsidRPr="008E6E0D" w:rsidRDefault="005B40DD" w:rsidP="00025FD8">
      <w:pPr>
        <w:jc w:val="both"/>
        <w:rPr>
          <w:i/>
          <w:sz w:val="20"/>
          <w:szCs w:val="20"/>
        </w:rPr>
      </w:pPr>
    </w:p>
    <w:p w14:paraId="05210A04" w14:textId="5F89DE98" w:rsidR="005B40DD" w:rsidRPr="008E6E0D" w:rsidRDefault="005B40DD" w:rsidP="00025FD8">
      <w:pPr>
        <w:jc w:val="both"/>
        <w:rPr>
          <w:i/>
          <w:sz w:val="20"/>
          <w:szCs w:val="20"/>
        </w:rPr>
      </w:pPr>
    </w:p>
    <w:p w14:paraId="472D4E53" w14:textId="3022AF94" w:rsidR="005B40DD" w:rsidRPr="008E6E0D" w:rsidRDefault="005B40DD" w:rsidP="00025FD8">
      <w:pPr>
        <w:jc w:val="both"/>
        <w:rPr>
          <w:i/>
          <w:sz w:val="20"/>
          <w:szCs w:val="20"/>
        </w:rPr>
      </w:pPr>
    </w:p>
    <w:p w14:paraId="3DB68A0C" w14:textId="1EDABA90" w:rsidR="005B40DD" w:rsidRPr="008E6E0D" w:rsidRDefault="005B40DD" w:rsidP="00025FD8">
      <w:pPr>
        <w:jc w:val="both"/>
        <w:rPr>
          <w:i/>
          <w:sz w:val="20"/>
          <w:szCs w:val="20"/>
        </w:rPr>
      </w:pPr>
    </w:p>
    <w:p w14:paraId="4833F5BC" w14:textId="0C671BD2" w:rsidR="005B40DD" w:rsidRPr="008E6E0D" w:rsidRDefault="005B40DD" w:rsidP="00025FD8">
      <w:pPr>
        <w:jc w:val="both"/>
        <w:rPr>
          <w:i/>
          <w:sz w:val="20"/>
          <w:szCs w:val="20"/>
        </w:rPr>
      </w:pPr>
    </w:p>
    <w:p w14:paraId="6AA2F7B1" w14:textId="0905282E" w:rsidR="005B40DD" w:rsidRPr="008E6E0D" w:rsidRDefault="005B40DD" w:rsidP="00025FD8">
      <w:pPr>
        <w:jc w:val="both"/>
        <w:rPr>
          <w:i/>
          <w:sz w:val="20"/>
          <w:szCs w:val="20"/>
        </w:rPr>
      </w:pPr>
    </w:p>
    <w:p w14:paraId="25E32F40" w14:textId="1798691E" w:rsidR="005B40DD" w:rsidRPr="008E6E0D" w:rsidRDefault="005B40DD" w:rsidP="00025FD8">
      <w:pPr>
        <w:jc w:val="both"/>
        <w:rPr>
          <w:i/>
          <w:sz w:val="20"/>
          <w:szCs w:val="20"/>
        </w:rPr>
      </w:pPr>
    </w:p>
    <w:p w14:paraId="4D056696" w14:textId="633D554B" w:rsidR="005B40DD" w:rsidRPr="008E6E0D" w:rsidRDefault="005B40DD" w:rsidP="00025FD8">
      <w:pPr>
        <w:jc w:val="both"/>
        <w:rPr>
          <w:i/>
          <w:sz w:val="20"/>
          <w:szCs w:val="20"/>
        </w:rPr>
      </w:pPr>
    </w:p>
    <w:p w14:paraId="42FDFF0E" w14:textId="252E89A4" w:rsidR="005B40DD" w:rsidRPr="008E6E0D" w:rsidRDefault="005B40DD" w:rsidP="00025FD8">
      <w:pPr>
        <w:jc w:val="both"/>
        <w:rPr>
          <w:i/>
          <w:sz w:val="20"/>
          <w:szCs w:val="20"/>
        </w:rPr>
      </w:pPr>
    </w:p>
    <w:p w14:paraId="05630BFC" w14:textId="43CF66E3" w:rsidR="005B40DD" w:rsidRPr="008E6E0D" w:rsidRDefault="005B40DD" w:rsidP="00025FD8">
      <w:pPr>
        <w:jc w:val="both"/>
        <w:rPr>
          <w:i/>
          <w:sz w:val="20"/>
          <w:szCs w:val="20"/>
        </w:rPr>
      </w:pPr>
    </w:p>
    <w:p w14:paraId="06AAEFFB" w14:textId="66C517AB" w:rsidR="005B40DD" w:rsidRPr="008E6E0D" w:rsidRDefault="005B40DD" w:rsidP="00025FD8">
      <w:pPr>
        <w:jc w:val="both"/>
        <w:rPr>
          <w:i/>
          <w:sz w:val="20"/>
          <w:szCs w:val="20"/>
        </w:rPr>
      </w:pPr>
    </w:p>
    <w:p w14:paraId="3229F0C2" w14:textId="0E062310" w:rsidR="005B40DD" w:rsidRPr="008E6E0D" w:rsidRDefault="005B40DD" w:rsidP="00025FD8">
      <w:pPr>
        <w:jc w:val="both"/>
        <w:rPr>
          <w:i/>
          <w:sz w:val="20"/>
          <w:szCs w:val="20"/>
        </w:rPr>
      </w:pPr>
    </w:p>
    <w:p w14:paraId="1C7BD576" w14:textId="55B8CFA1" w:rsidR="005B40DD" w:rsidRPr="008E6E0D" w:rsidRDefault="005B40DD" w:rsidP="00025FD8">
      <w:pPr>
        <w:jc w:val="both"/>
        <w:rPr>
          <w:i/>
          <w:sz w:val="20"/>
          <w:szCs w:val="20"/>
        </w:rPr>
      </w:pPr>
    </w:p>
    <w:p w14:paraId="2E02436F" w14:textId="27E1BB0A" w:rsidR="005B40DD" w:rsidRPr="008E6E0D" w:rsidRDefault="005B40DD" w:rsidP="00025FD8">
      <w:pPr>
        <w:jc w:val="both"/>
        <w:rPr>
          <w:i/>
          <w:sz w:val="20"/>
          <w:szCs w:val="20"/>
        </w:rPr>
      </w:pPr>
    </w:p>
    <w:p w14:paraId="19D12D93" w14:textId="08CE2A10" w:rsidR="005B40DD" w:rsidRPr="008E6E0D" w:rsidRDefault="005B40DD" w:rsidP="00025FD8">
      <w:pPr>
        <w:jc w:val="both"/>
        <w:rPr>
          <w:i/>
          <w:sz w:val="20"/>
          <w:szCs w:val="20"/>
        </w:rPr>
      </w:pPr>
    </w:p>
    <w:p w14:paraId="68304A21" w14:textId="1F98B52C" w:rsidR="005B40DD" w:rsidRPr="008E6E0D" w:rsidRDefault="005B40DD" w:rsidP="00025FD8">
      <w:pPr>
        <w:jc w:val="both"/>
        <w:rPr>
          <w:i/>
          <w:sz w:val="20"/>
          <w:szCs w:val="20"/>
        </w:rPr>
      </w:pPr>
    </w:p>
    <w:p w14:paraId="406B2304" w14:textId="692B159C" w:rsidR="005B40DD" w:rsidRPr="008E6E0D" w:rsidRDefault="005B40DD" w:rsidP="00025FD8">
      <w:pPr>
        <w:jc w:val="both"/>
        <w:rPr>
          <w:i/>
          <w:sz w:val="20"/>
          <w:szCs w:val="20"/>
        </w:rPr>
      </w:pPr>
    </w:p>
    <w:p w14:paraId="34E8F49D" w14:textId="67FCF6EF" w:rsidR="005B40DD" w:rsidRPr="008E6E0D" w:rsidRDefault="005B40DD" w:rsidP="00025FD8">
      <w:pPr>
        <w:jc w:val="both"/>
        <w:rPr>
          <w:i/>
          <w:sz w:val="20"/>
          <w:szCs w:val="20"/>
        </w:rPr>
      </w:pPr>
    </w:p>
    <w:p w14:paraId="007C394E" w14:textId="0FB45B0B" w:rsidR="005B40DD" w:rsidRPr="008E6E0D" w:rsidRDefault="005B40DD" w:rsidP="00025FD8">
      <w:pPr>
        <w:jc w:val="both"/>
        <w:rPr>
          <w:i/>
          <w:sz w:val="20"/>
          <w:szCs w:val="20"/>
        </w:rPr>
      </w:pPr>
    </w:p>
    <w:p w14:paraId="1515622E" w14:textId="77777777" w:rsidR="006249CF" w:rsidRPr="008E6E0D" w:rsidRDefault="006249CF" w:rsidP="00025FD8">
      <w:pPr>
        <w:jc w:val="both"/>
        <w:rPr>
          <w:i/>
          <w:sz w:val="20"/>
          <w:szCs w:val="20"/>
        </w:rPr>
      </w:pPr>
    </w:p>
    <w:p w14:paraId="11FA061A" w14:textId="0539B707" w:rsidR="00362E10" w:rsidRPr="008E6E0D" w:rsidRDefault="00362E10" w:rsidP="00025FD8">
      <w:pPr>
        <w:jc w:val="both"/>
        <w:rPr>
          <w:i/>
          <w:sz w:val="20"/>
          <w:szCs w:val="20"/>
        </w:rPr>
      </w:pPr>
    </w:p>
    <w:p w14:paraId="5A38F74D" w14:textId="77777777" w:rsidR="00A71473" w:rsidRPr="008E6E0D" w:rsidRDefault="00A71473" w:rsidP="00025FD8">
      <w:pPr>
        <w:jc w:val="both"/>
        <w:rPr>
          <w:i/>
          <w:sz w:val="20"/>
          <w:szCs w:val="20"/>
        </w:rPr>
      </w:pPr>
    </w:p>
    <w:p w14:paraId="696BDAFA" w14:textId="37E4E219" w:rsidR="00A71473" w:rsidRPr="008E6E0D" w:rsidRDefault="00025FD8" w:rsidP="00025FD8">
      <w:pPr>
        <w:jc w:val="both"/>
        <w:rPr>
          <w:i/>
          <w:sz w:val="20"/>
          <w:szCs w:val="20"/>
        </w:rPr>
      </w:pPr>
      <w:r w:rsidRPr="008E6E0D">
        <w:rPr>
          <w:b/>
          <w:i/>
          <w:noProof/>
          <w:sz w:val="20"/>
          <w:szCs w:val="20"/>
        </w:rPr>
        <w:lastRenderedPageBreak/>
        <mc:AlternateContent>
          <mc:Choice Requires="wps">
            <w:drawing>
              <wp:anchor distT="0" distB="0" distL="114300" distR="114300" simplePos="0" relativeHeight="251662336" behindDoc="0" locked="0" layoutInCell="1" allowOverlap="1" wp14:anchorId="43E9657E" wp14:editId="62487A0D">
                <wp:simplePos x="0" y="0"/>
                <wp:positionH relativeFrom="column">
                  <wp:posOffset>89535</wp:posOffset>
                </wp:positionH>
                <wp:positionV relativeFrom="paragraph">
                  <wp:posOffset>-53975</wp:posOffset>
                </wp:positionV>
                <wp:extent cx="325755" cy="323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6EF834" w14:textId="77777777" w:rsidR="002253CB" w:rsidRPr="00371583" w:rsidRDefault="002253CB" w:rsidP="00025FD8">
                            <w:pPr>
                              <w:jc w:val="center"/>
                              <w:rPr>
                                <w:rFonts w:ascii="Arial" w:hAnsi="Arial" w:cs="Arial"/>
                              </w:rPr>
                            </w:pPr>
                            <w:r w:rsidRPr="00371583">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9657E" id="_x0000_t202" coordsize="21600,21600" o:spt="202" path="m,l,21600r21600,l21600,xe">
                <v:stroke joinstyle="miter"/>
                <v:path gradientshapeok="t" o:connecttype="rect"/>
              </v:shapetype>
              <v:shape id="Cuadro de texto 2" o:spid="_x0000_s1026" type="#_x0000_t202" style="position:absolute;left:0;text-align:left;margin-left:7.05pt;margin-top:-4.25pt;width:25.6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" filled="f" stroked="f">
                <v:textbox>
                  <w:txbxContent>
                    <w:p w14:paraId="556EF834" w14:textId="77777777" w:rsidR="002253CB" w:rsidRPr="00371583" w:rsidRDefault="002253CB" w:rsidP="00025FD8">
                      <w:pPr>
                        <w:jc w:val="center"/>
                        <w:rPr>
                          <w:rFonts w:ascii="Arial" w:hAnsi="Arial" w:cs="Arial"/>
                        </w:rPr>
                      </w:pPr>
                      <w:r w:rsidRPr="00371583">
                        <w:rPr>
                          <w:rFonts w:ascii="Arial" w:hAnsi="Arial" w:cs="Arial"/>
                        </w:rPr>
                        <w:t>A</w:t>
                      </w:r>
                    </w:p>
                  </w:txbxContent>
                </v:textbox>
              </v:shape>
            </w:pict>
          </mc:Fallback>
        </mc:AlternateContent>
      </w:r>
      <w:r w:rsidRPr="008E6E0D">
        <w:rPr>
          <w:b/>
          <w:i/>
          <w:noProof/>
          <w:sz w:val="20"/>
          <w:szCs w:val="20"/>
        </w:rPr>
        <mc:AlternateContent>
          <mc:Choice Requires="wps">
            <w:drawing>
              <wp:anchor distT="0" distB="0" distL="114300" distR="114300" simplePos="0" relativeHeight="251664384" behindDoc="0" locked="0" layoutInCell="1" allowOverlap="1" wp14:anchorId="079C9BA1" wp14:editId="68A8784E">
                <wp:simplePos x="0" y="0"/>
                <wp:positionH relativeFrom="column">
                  <wp:posOffset>2744470</wp:posOffset>
                </wp:positionH>
                <wp:positionV relativeFrom="paragraph">
                  <wp:posOffset>-60862</wp:posOffset>
                </wp:positionV>
                <wp:extent cx="325755" cy="32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D78512" w14:textId="77777777" w:rsidR="002253CB" w:rsidRPr="00371583" w:rsidRDefault="002253CB" w:rsidP="00025FD8">
                            <w:pPr>
                              <w:jc w:val="cente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C9BA1" id="Cuadro de texto 4" o:spid="_x0000_s1027" type="#_x0000_t202" style="position:absolute;left:0;text-align:left;margin-left:216.1pt;margin-top:-4.8pt;width:25.6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" filled="f" stroked="f">
                <v:textbox>
                  <w:txbxContent>
                    <w:p w14:paraId="2FD78512" w14:textId="77777777" w:rsidR="002253CB" w:rsidRPr="00371583" w:rsidRDefault="002253CB" w:rsidP="00025FD8">
                      <w:pPr>
                        <w:jc w:val="center"/>
                        <w:rPr>
                          <w:rFonts w:ascii="Arial" w:hAnsi="Arial" w:cs="Arial"/>
                        </w:rPr>
                      </w:pPr>
                      <w:r>
                        <w:rPr>
                          <w:rFonts w:ascii="Arial" w:hAnsi="Arial" w:cs="Arial"/>
                        </w:rPr>
                        <w:t>B</w:t>
                      </w:r>
                    </w:p>
                  </w:txbxContent>
                </v:textbox>
              </v:shape>
            </w:pict>
          </mc:Fallback>
        </mc:AlternateContent>
      </w:r>
    </w:p>
    <w:p w14:paraId="13B246DA" w14:textId="62C2B28B" w:rsidR="00362E10" w:rsidRPr="008E6E0D" w:rsidRDefault="002948B4" w:rsidP="00025FD8">
      <w:pPr>
        <w:jc w:val="both"/>
        <w:rPr>
          <w:b/>
          <w:i/>
          <w:sz w:val="20"/>
          <w:szCs w:val="20"/>
        </w:rPr>
      </w:pPr>
      <w:r w:rsidRPr="008E6E0D">
        <w:rPr>
          <w:b/>
          <w:i/>
          <w:noProof/>
          <w:sz w:val="20"/>
          <w:szCs w:val="20"/>
        </w:rPr>
        <mc:AlternateContent>
          <mc:Choice Requires="wps">
            <w:drawing>
              <wp:anchor distT="0" distB="0" distL="114300" distR="114300" simplePos="0" relativeHeight="251666432" behindDoc="0" locked="0" layoutInCell="1" allowOverlap="1" wp14:anchorId="35301ACB" wp14:editId="5A177559">
                <wp:simplePos x="0" y="0"/>
                <wp:positionH relativeFrom="column">
                  <wp:posOffset>1282862</wp:posOffset>
                </wp:positionH>
                <wp:positionV relativeFrom="paragraph">
                  <wp:posOffset>2024380</wp:posOffset>
                </wp:positionV>
                <wp:extent cx="325755" cy="323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AB3EAB" w14:textId="717CA7D9" w:rsidR="002253CB" w:rsidRPr="002948B4" w:rsidRDefault="002253CB" w:rsidP="002948B4">
                            <w:pPr>
                              <w:jc w:val="center"/>
                              <w:rPr>
                                <w:rFonts w:ascii="Arial" w:hAnsi="Arial" w:cs="Arial"/>
                                <w:lang w:val="es-ES"/>
                              </w:rPr>
                            </w:pPr>
                            <w:r>
                              <w:rPr>
                                <w:rFonts w:ascii="Arial" w:hAnsi="Arial" w:cs="Arial"/>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01ACB" id="Cuadro de texto 6" o:spid="_x0000_s1028" type="#_x0000_t202" style="position:absolute;left:0;text-align:left;margin-left:101pt;margin-top:159.4pt;width:25.65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" filled="f" stroked="f">
                <v:textbox>
                  <w:txbxContent>
                    <w:p w14:paraId="02AB3EAB" w14:textId="717CA7D9" w:rsidR="002253CB" w:rsidRPr="002948B4" w:rsidRDefault="002253CB" w:rsidP="002948B4">
                      <w:pPr>
                        <w:jc w:val="center"/>
                        <w:rPr>
                          <w:rFonts w:ascii="Arial" w:hAnsi="Arial" w:cs="Arial"/>
                          <w:lang w:val="es-ES"/>
                        </w:rPr>
                      </w:pPr>
                      <w:r>
                        <w:rPr>
                          <w:rFonts w:ascii="Arial" w:hAnsi="Arial" w:cs="Arial"/>
                          <w:lang w:val="es-ES"/>
                        </w:rPr>
                        <w:t>C</w:t>
                      </w:r>
                    </w:p>
                  </w:txbxContent>
                </v:textbox>
              </v:shape>
            </w:pict>
          </mc:Fallback>
        </mc:AlternateContent>
      </w:r>
      <w:r w:rsidRPr="008E6E0D">
        <w:rPr>
          <w:b/>
          <w:i/>
          <w:noProof/>
          <w:sz w:val="20"/>
          <w:szCs w:val="20"/>
        </w:rPr>
        <w:drawing>
          <wp:inline distT="0" distB="0" distL="0" distR="0" wp14:anchorId="022F790E" wp14:editId="184C561C">
            <wp:extent cx="5400040" cy="3781117"/>
            <wp:effectExtent l="0" t="0" r="0" b="0"/>
            <wp:docPr id="5" name="Imagen 5" descr="C:\Users\Tamara\Dropbox\TAMARA\Papers\Sepsis_survival_GWAS\_Manuscript\Suplementary Figures sepsis survival GW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a\Dropbox\TAMARA\Papers\Sepsis_survival_GWAS\_Manuscript\Suplementary Figures sepsis survival GWAS.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781117"/>
                    </a:xfrm>
                    <a:prstGeom prst="rect">
                      <a:avLst/>
                    </a:prstGeom>
                    <a:noFill/>
                    <a:ln>
                      <a:noFill/>
                    </a:ln>
                  </pic:spPr>
                </pic:pic>
              </a:graphicData>
            </a:graphic>
          </wp:inline>
        </w:drawing>
      </w:r>
    </w:p>
    <w:p w14:paraId="03AA6863" w14:textId="154F9237" w:rsidR="00025FD8" w:rsidRPr="008E6E0D" w:rsidRDefault="001F40AC" w:rsidP="00CF1D86">
      <w:pPr>
        <w:spacing w:before="100" w:beforeAutospacing="1" w:after="100" w:afterAutospacing="1" w:line="360" w:lineRule="auto"/>
        <w:jc w:val="both"/>
        <w:rPr>
          <w:i/>
          <w:sz w:val="20"/>
          <w:szCs w:val="20"/>
        </w:rPr>
      </w:pPr>
      <w:r w:rsidRPr="008E6E0D">
        <w:rPr>
          <w:b/>
          <w:i/>
          <w:sz w:val="20"/>
          <w:szCs w:val="20"/>
        </w:rPr>
        <w:t xml:space="preserve">Supplementary Figure 3. </w:t>
      </w:r>
      <w:r w:rsidRPr="008E6E0D">
        <w:rPr>
          <w:i/>
          <w:sz w:val="20"/>
          <w:szCs w:val="20"/>
        </w:rPr>
        <w:t>Regional plots for the genome-wide significant variants rs34896991 (A), rs146257041 (B)</w:t>
      </w:r>
      <w:r w:rsidR="008E4CAE">
        <w:rPr>
          <w:i/>
          <w:sz w:val="20"/>
          <w:szCs w:val="20"/>
        </w:rPr>
        <w:t>,</w:t>
      </w:r>
      <w:r w:rsidRPr="008E6E0D">
        <w:rPr>
          <w:i/>
          <w:sz w:val="20"/>
          <w:szCs w:val="20"/>
        </w:rPr>
        <w:t xml:space="preserve"> and rs138347802 (C) in the first stage. The x-axis shows</w:t>
      </w:r>
      <w:r w:rsidR="008E4CAE">
        <w:rPr>
          <w:i/>
          <w:sz w:val="20"/>
          <w:szCs w:val="20"/>
        </w:rPr>
        <w:t xml:space="preserve"> the</w:t>
      </w:r>
      <w:r w:rsidRPr="008E6E0D">
        <w:rPr>
          <w:i/>
          <w:sz w:val="20"/>
          <w:szCs w:val="20"/>
        </w:rPr>
        <w:t xml:space="preserve"> hg19 genomic positions and </w:t>
      </w:r>
      <w:r w:rsidR="008E4CAE">
        <w:rPr>
          <w:i/>
          <w:sz w:val="20"/>
          <w:szCs w:val="20"/>
        </w:rPr>
        <w:t xml:space="preserve">the </w:t>
      </w:r>
      <w:r w:rsidRPr="008E6E0D">
        <w:rPr>
          <w:i/>
          <w:sz w:val="20"/>
          <w:szCs w:val="20"/>
        </w:rPr>
        <w:t xml:space="preserve">left y-axis represents the -log10(p-value). Estimated recombination rates (light blue line) are also plotted on the right y-axis. Linkage disequilibrium </w:t>
      </w:r>
      <w:r w:rsidR="008E4CAE">
        <w:rPr>
          <w:i/>
          <w:sz w:val="20"/>
          <w:szCs w:val="20"/>
        </w:rPr>
        <w:t xml:space="preserve">values </w:t>
      </w:r>
      <w:r w:rsidRPr="008E6E0D">
        <w:rPr>
          <w:i/>
          <w:sz w:val="20"/>
          <w:szCs w:val="20"/>
        </w:rPr>
        <w:t>with respect to the sentinel variant (indicated) based on pairwise r2 values in Europeans from the</w:t>
      </w:r>
      <w:r w:rsidR="008F31EC">
        <w:rPr>
          <w:i/>
          <w:sz w:val="20"/>
          <w:szCs w:val="20"/>
        </w:rPr>
        <w:t xml:space="preserve"> 1000 Genomes Project are shown. </w:t>
      </w:r>
      <w:r w:rsidR="008F31EC" w:rsidRPr="008F31EC">
        <w:rPr>
          <w:i/>
          <w:sz w:val="20"/>
          <w:szCs w:val="20"/>
        </w:rPr>
        <w:t>Obtained with LocusZoom.</w:t>
      </w:r>
      <w:r w:rsidRPr="008E6E0D">
        <w:rPr>
          <w:i/>
          <w:sz w:val="20"/>
          <w:szCs w:val="20"/>
        </w:rPr>
        <w:t xml:space="preserve"> </w:t>
      </w:r>
    </w:p>
    <w:p w14:paraId="2D4B400E" w14:textId="3AE52C8F" w:rsidR="00CF1D86" w:rsidRPr="008E6E0D" w:rsidRDefault="00CF1D86" w:rsidP="00CF1D86">
      <w:pPr>
        <w:spacing w:before="100" w:beforeAutospacing="1" w:after="100" w:afterAutospacing="1" w:line="360" w:lineRule="auto"/>
        <w:jc w:val="both"/>
        <w:rPr>
          <w:i/>
          <w:sz w:val="20"/>
          <w:szCs w:val="20"/>
        </w:rPr>
      </w:pPr>
    </w:p>
    <w:p w14:paraId="04EB2AC4" w14:textId="4CD45940" w:rsidR="00CF1D86" w:rsidRPr="008E6E0D" w:rsidRDefault="00CF1D86" w:rsidP="00CF1D86">
      <w:pPr>
        <w:spacing w:before="100" w:beforeAutospacing="1" w:after="100" w:afterAutospacing="1" w:line="360" w:lineRule="auto"/>
        <w:jc w:val="both"/>
        <w:rPr>
          <w:i/>
          <w:sz w:val="20"/>
          <w:szCs w:val="20"/>
        </w:rPr>
      </w:pPr>
    </w:p>
    <w:p w14:paraId="0970C0FF" w14:textId="48B03949" w:rsidR="00CF1D86" w:rsidRPr="008E6E0D" w:rsidRDefault="00CF1D86" w:rsidP="00CF1D86">
      <w:pPr>
        <w:spacing w:before="100" w:beforeAutospacing="1" w:after="100" w:afterAutospacing="1" w:line="360" w:lineRule="auto"/>
        <w:jc w:val="both"/>
        <w:rPr>
          <w:i/>
          <w:sz w:val="20"/>
          <w:szCs w:val="20"/>
        </w:rPr>
      </w:pPr>
    </w:p>
    <w:p w14:paraId="2B928428" w14:textId="3F71A560" w:rsidR="00D5651E" w:rsidRPr="008E6E0D" w:rsidRDefault="00D5651E" w:rsidP="00CF1D86">
      <w:pPr>
        <w:spacing w:before="100" w:beforeAutospacing="1" w:after="100" w:afterAutospacing="1" w:line="360" w:lineRule="auto"/>
        <w:jc w:val="both"/>
        <w:rPr>
          <w:i/>
          <w:sz w:val="20"/>
          <w:szCs w:val="20"/>
        </w:rPr>
      </w:pPr>
    </w:p>
    <w:p w14:paraId="05E2246D" w14:textId="4F9C2730" w:rsidR="00D5651E" w:rsidRPr="008E6E0D" w:rsidRDefault="00D5651E" w:rsidP="00CF1D86">
      <w:pPr>
        <w:spacing w:before="100" w:beforeAutospacing="1" w:after="100" w:afterAutospacing="1" w:line="360" w:lineRule="auto"/>
        <w:jc w:val="both"/>
        <w:rPr>
          <w:i/>
          <w:sz w:val="20"/>
          <w:szCs w:val="20"/>
        </w:rPr>
      </w:pPr>
    </w:p>
    <w:p w14:paraId="3498421E" w14:textId="2016EBA6" w:rsidR="00D5651E" w:rsidRPr="008E6E0D" w:rsidRDefault="00D5651E" w:rsidP="00CF1D86">
      <w:pPr>
        <w:spacing w:before="100" w:beforeAutospacing="1" w:after="100" w:afterAutospacing="1" w:line="360" w:lineRule="auto"/>
        <w:jc w:val="both"/>
        <w:rPr>
          <w:i/>
          <w:sz w:val="20"/>
          <w:szCs w:val="20"/>
        </w:rPr>
      </w:pPr>
    </w:p>
    <w:p w14:paraId="655CDA3A" w14:textId="7064467D" w:rsidR="005B40DD" w:rsidRPr="008E6E0D" w:rsidRDefault="005B40DD" w:rsidP="00D5651E">
      <w:pPr>
        <w:rPr>
          <w:i/>
          <w:sz w:val="20"/>
          <w:szCs w:val="20"/>
        </w:rPr>
      </w:pPr>
    </w:p>
    <w:p w14:paraId="51F12A10" w14:textId="2BE77D02" w:rsidR="006249CF" w:rsidRPr="008E6E0D" w:rsidRDefault="006249CF" w:rsidP="00D5651E">
      <w:pPr>
        <w:rPr>
          <w:i/>
          <w:sz w:val="20"/>
          <w:szCs w:val="20"/>
        </w:rPr>
      </w:pPr>
    </w:p>
    <w:p w14:paraId="6AB37D5B" w14:textId="02DCFEC7" w:rsidR="006249CF" w:rsidRPr="008E6E0D" w:rsidRDefault="006249CF" w:rsidP="00D5651E">
      <w:pPr>
        <w:rPr>
          <w:i/>
          <w:sz w:val="20"/>
          <w:szCs w:val="20"/>
        </w:rPr>
      </w:pPr>
    </w:p>
    <w:p w14:paraId="7326CF4A" w14:textId="32EB302A" w:rsidR="006249CF" w:rsidRPr="008E6E0D" w:rsidRDefault="006249CF" w:rsidP="00D5651E">
      <w:pPr>
        <w:rPr>
          <w:i/>
          <w:sz w:val="20"/>
          <w:szCs w:val="20"/>
        </w:rPr>
      </w:pPr>
    </w:p>
    <w:p w14:paraId="03A3836B" w14:textId="32F55047" w:rsidR="006249CF" w:rsidRPr="008E6E0D" w:rsidRDefault="006249CF" w:rsidP="00D5651E">
      <w:pPr>
        <w:rPr>
          <w:i/>
          <w:sz w:val="20"/>
          <w:szCs w:val="20"/>
        </w:rPr>
      </w:pPr>
    </w:p>
    <w:p w14:paraId="0815744F" w14:textId="77777777" w:rsidR="006249CF" w:rsidRPr="008E6E0D" w:rsidRDefault="006249CF" w:rsidP="00D5651E">
      <w:pPr>
        <w:rPr>
          <w:i/>
          <w:sz w:val="20"/>
          <w:szCs w:val="20"/>
        </w:rPr>
      </w:pPr>
    </w:p>
    <w:p w14:paraId="6F4C27C0" w14:textId="77777777" w:rsidR="006249CF" w:rsidRPr="008E6E0D" w:rsidRDefault="006249CF" w:rsidP="00D5651E">
      <w:pPr>
        <w:rPr>
          <w:i/>
          <w:sz w:val="20"/>
          <w:szCs w:val="20"/>
        </w:rPr>
      </w:pPr>
    </w:p>
    <w:p w14:paraId="7CA59DC4" w14:textId="2E00878C" w:rsidR="00025FD8" w:rsidRPr="008E6E0D" w:rsidRDefault="00025FD8" w:rsidP="00D5651E">
      <w:pPr>
        <w:rPr>
          <w:i/>
          <w:noProof/>
          <w:sz w:val="20"/>
          <w:szCs w:val="20"/>
          <w:highlight w:val="yellow"/>
        </w:rPr>
      </w:pPr>
      <w:r w:rsidRPr="008E6E0D">
        <w:rPr>
          <w:b/>
          <w:i/>
          <w:noProof/>
          <w:sz w:val="20"/>
          <w:szCs w:val="20"/>
          <w:highlight w:val="yellow"/>
        </w:rPr>
        <mc:AlternateContent>
          <mc:Choice Requires="wps">
            <w:drawing>
              <wp:anchor distT="0" distB="0" distL="114300" distR="114300" simplePos="0" relativeHeight="251660288" behindDoc="0" locked="0" layoutInCell="1" allowOverlap="1" wp14:anchorId="73D6EFDC" wp14:editId="129BA3F8">
                <wp:simplePos x="0" y="0"/>
                <wp:positionH relativeFrom="column">
                  <wp:posOffset>2741852</wp:posOffset>
                </wp:positionH>
                <wp:positionV relativeFrom="paragraph">
                  <wp:posOffset>126265</wp:posOffset>
                </wp:positionV>
                <wp:extent cx="325755" cy="3238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552127" w14:textId="77777777" w:rsidR="002253CB" w:rsidRPr="00371583" w:rsidRDefault="002253CB" w:rsidP="00025FD8">
                            <w:pPr>
                              <w:jc w:val="cente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6EFDC" id="Cuadro de texto 10" o:spid="_x0000_s1029" type="#_x0000_t202" style="position:absolute;margin-left:215.9pt;margin-top:9.95pt;width:25.6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" filled="f" stroked="f">
                <v:textbox>
                  <w:txbxContent>
                    <w:p w14:paraId="5B552127" w14:textId="77777777" w:rsidR="002253CB" w:rsidRPr="00371583" w:rsidRDefault="002253CB" w:rsidP="00025FD8">
                      <w:pPr>
                        <w:jc w:val="center"/>
                        <w:rPr>
                          <w:rFonts w:ascii="Arial" w:hAnsi="Arial" w:cs="Arial"/>
                        </w:rPr>
                      </w:pPr>
                      <w:r>
                        <w:rPr>
                          <w:rFonts w:ascii="Arial" w:hAnsi="Arial" w:cs="Arial"/>
                        </w:rPr>
                        <w:t>B</w:t>
                      </w:r>
                    </w:p>
                  </w:txbxContent>
                </v:textbox>
              </v:shape>
            </w:pict>
          </mc:Fallback>
        </mc:AlternateContent>
      </w:r>
      <w:r w:rsidRPr="008E6E0D">
        <w:rPr>
          <w:b/>
          <w:i/>
          <w:noProof/>
          <w:sz w:val="20"/>
          <w:szCs w:val="20"/>
          <w:highlight w:val="yellow"/>
        </w:rPr>
        <mc:AlternateContent>
          <mc:Choice Requires="wps">
            <w:drawing>
              <wp:anchor distT="0" distB="0" distL="114300" distR="114300" simplePos="0" relativeHeight="251659264" behindDoc="0" locked="0" layoutInCell="1" allowOverlap="1" wp14:anchorId="3E737746" wp14:editId="6EB37F9C">
                <wp:simplePos x="0" y="0"/>
                <wp:positionH relativeFrom="column">
                  <wp:posOffset>81915</wp:posOffset>
                </wp:positionH>
                <wp:positionV relativeFrom="paragraph">
                  <wp:posOffset>136508</wp:posOffset>
                </wp:positionV>
                <wp:extent cx="325755" cy="32385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E5B29A" w14:textId="77777777" w:rsidR="002253CB" w:rsidRPr="00371583" w:rsidRDefault="002253CB" w:rsidP="00025FD8">
                            <w:pPr>
                              <w:jc w:val="center"/>
                              <w:rPr>
                                <w:rFonts w:ascii="Arial" w:hAnsi="Arial" w:cs="Arial"/>
                              </w:rPr>
                            </w:pPr>
                            <w:r w:rsidRPr="00371583">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37746" id="Cuadro de texto 39" o:spid="_x0000_s1030" type="#_x0000_t202" style="position:absolute;margin-left:6.45pt;margin-top:10.75pt;width:25.6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" filled="f" stroked="f">
                <v:textbox>
                  <w:txbxContent>
                    <w:p w14:paraId="6BE5B29A" w14:textId="77777777" w:rsidR="002253CB" w:rsidRPr="00371583" w:rsidRDefault="002253CB" w:rsidP="00025FD8">
                      <w:pPr>
                        <w:jc w:val="center"/>
                        <w:rPr>
                          <w:rFonts w:ascii="Arial" w:hAnsi="Arial" w:cs="Arial"/>
                        </w:rPr>
                      </w:pPr>
                      <w:r w:rsidRPr="00371583">
                        <w:rPr>
                          <w:rFonts w:ascii="Arial" w:hAnsi="Arial" w:cs="Arial"/>
                        </w:rPr>
                        <w:t>A</w:t>
                      </w:r>
                    </w:p>
                  </w:txbxContent>
                </v:textbox>
              </v:shape>
            </w:pict>
          </mc:Fallback>
        </mc:AlternateContent>
      </w:r>
    </w:p>
    <w:p w14:paraId="76719022" w14:textId="56455A41" w:rsidR="00224471" w:rsidRPr="008E6E0D" w:rsidRDefault="00D5651E" w:rsidP="003F77C8">
      <w:pPr>
        <w:spacing w:before="100" w:beforeAutospacing="1" w:after="100" w:afterAutospacing="1" w:line="360" w:lineRule="auto"/>
        <w:jc w:val="both"/>
        <w:rPr>
          <w:i/>
          <w:sz w:val="20"/>
          <w:szCs w:val="20"/>
        </w:rPr>
      </w:pPr>
      <w:r w:rsidRPr="008E6E0D">
        <w:rPr>
          <w:b/>
          <w:i/>
          <w:noProof/>
          <w:sz w:val="20"/>
          <w:szCs w:val="20"/>
        </w:rPr>
        <mc:AlternateContent>
          <mc:Choice Requires="wps">
            <w:drawing>
              <wp:anchor distT="0" distB="0" distL="114300" distR="114300" simplePos="0" relativeHeight="251668480" behindDoc="0" locked="0" layoutInCell="1" allowOverlap="1" wp14:anchorId="6A215824" wp14:editId="7ACB3FFE">
                <wp:simplePos x="0" y="0"/>
                <wp:positionH relativeFrom="column">
                  <wp:posOffset>1343970</wp:posOffset>
                </wp:positionH>
                <wp:positionV relativeFrom="paragraph">
                  <wp:posOffset>2245995</wp:posOffset>
                </wp:positionV>
                <wp:extent cx="325755" cy="3238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90CA0D" w14:textId="0A01F13C" w:rsidR="002253CB" w:rsidRPr="00D5651E" w:rsidRDefault="002253CB" w:rsidP="00D5651E">
                            <w:pPr>
                              <w:jc w:val="center"/>
                              <w:rPr>
                                <w:rFonts w:ascii="Arial" w:hAnsi="Arial" w:cs="Arial"/>
                                <w:lang w:val="es-ES"/>
                              </w:rPr>
                            </w:pPr>
                            <w:r>
                              <w:rPr>
                                <w:rFonts w:ascii="Arial" w:hAnsi="Arial" w:cs="Arial"/>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15824" id="Cuadro de texto 7" o:spid="_x0000_s1031" type="#_x0000_t202" style="position:absolute;left:0;text-align:left;margin-left:105.8pt;margin-top:176.85pt;width:25.6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" filled="f" stroked="f">
                <v:textbox>
                  <w:txbxContent>
                    <w:p w14:paraId="4E90CA0D" w14:textId="0A01F13C" w:rsidR="002253CB" w:rsidRPr="00D5651E" w:rsidRDefault="002253CB" w:rsidP="00D5651E">
                      <w:pPr>
                        <w:jc w:val="center"/>
                        <w:rPr>
                          <w:rFonts w:ascii="Arial" w:hAnsi="Arial" w:cs="Arial"/>
                          <w:lang w:val="es-ES"/>
                        </w:rPr>
                      </w:pPr>
                      <w:r>
                        <w:rPr>
                          <w:rFonts w:ascii="Arial" w:hAnsi="Arial" w:cs="Arial"/>
                          <w:lang w:val="es-ES"/>
                        </w:rPr>
                        <w:t>C</w:t>
                      </w:r>
                    </w:p>
                  </w:txbxContent>
                </v:textbox>
              </v:shape>
            </w:pict>
          </mc:Fallback>
        </mc:AlternateContent>
      </w:r>
      <w:r w:rsidRPr="008E6E0D">
        <w:rPr>
          <w:b/>
          <w:i/>
          <w:noProof/>
          <w:sz w:val="20"/>
          <w:szCs w:val="20"/>
        </w:rPr>
        <w:drawing>
          <wp:inline distT="0" distB="0" distL="0" distR="0" wp14:anchorId="13281DBB" wp14:editId="47361514">
            <wp:extent cx="5400040" cy="3937845"/>
            <wp:effectExtent l="0" t="0" r="0" b="5715"/>
            <wp:docPr id="1" name="Imagen 1" descr="C:\Users\Tamara\Dropbox\TAMARA\Papers\Sepsis_survival_GWAS\_Manuscript\Suplementary Figures sepsis survival GW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a\Dropbox\TAMARA\Papers\Sepsis_survival_GWAS\_Manuscript\Suplementary Figures sepsis survival GWAS.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937845"/>
                    </a:xfrm>
                    <a:prstGeom prst="rect">
                      <a:avLst/>
                    </a:prstGeom>
                    <a:noFill/>
                    <a:ln>
                      <a:noFill/>
                    </a:ln>
                  </pic:spPr>
                </pic:pic>
              </a:graphicData>
            </a:graphic>
          </wp:inline>
        </w:drawing>
      </w:r>
      <w:r w:rsidR="003F77C8" w:rsidRPr="008E6E0D">
        <w:rPr>
          <w:b/>
          <w:i/>
          <w:sz w:val="20"/>
          <w:szCs w:val="20"/>
        </w:rPr>
        <w:t xml:space="preserve"> Supplementary Figure 4. </w:t>
      </w:r>
      <w:r w:rsidR="003F77C8" w:rsidRPr="008E6E0D">
        <w:rPr>
          <w:i/>
          <w:sz w:val="20"/>
          <w:szCs w:val="20"/>
        </w:rPr>
        <w:t>Kaplan-Meier 28-day survival plots and the log-rank p-value for the genotypes</w:t>
      </w:r>
      <w:r w:rsidR="00E01612">
        <w:rPr>
          <w:i/>
          <w:sz w:val="20"/>
          <w:szCs w:val="20"/>
        </w:rPr>
        <w:t xml:space="preserve"> </w:t>
      </w:r>
      <w:r w:rsidR="003F77C8" w:rsidRPr="008E6E0D">
        <w:rPr>
          <w:i/>
          <w:sz w:val="20"/>
          <w:szCs w:val="20"/>
        </w:rPr>
        <w:t>of the genome-wide significant variants on</w:t>
      </w:r>
      <w:r w:rsidR="00AD6CB1">
        <w:rPr>
          <w:i/>
          <w:sz w:val="20"/>
          <w:szCs w:val="20"/>
        </w:rPr>
        <w:t xml:space="preserve"> the</w:t>
      </w:r>
      <w:r w:rsidR="003F77C8" w:rsidRPr="008E6E0D">
        <w:rPr>
          <w:i/>
          <w:sz w:val="20"/>
          <w:szCs w:val="20"/>
        </w:rPr>
        <w:t xml:space="preserve"> first stage: A) rs34896991 (in SAMD9); B) rs146257041 (in SLC5A12\FIBIN); and C) rs138347802 (in LINC00378\MIR3169).</w:t>
      </w:r>
    </w:p>
    <w:p w14:paraId="692F8B68" w14:textId="17A54CA3" w:rsidR="0064785E" w:rsidRPr="008E6E0D" w:rsidRDefault="0064785E" w:rsidP="0064785E">
      <w:pPr>
        <w:spacing w:before="100" w:beforeAutospacing="1" w:after="100" w:afterAutospacing="1" w:line="360" w:lineRule="auto"/>
        <w:rPr>
          <w:i/>
          <w:sz w:val="20"/>
          <w:szCs w:val="20"/>
        </w:rPr>
      </w:pPr>
    </w:p>
    <w:p w14:paraId="5FDF89DC" w14:textId="2B1FDACA" w:rsidR="0064785E" w:rsidRPr="008E6E0D" w:rsidRDefault="0064785E" w:rsidP="0064785E">
      <w:pPr>
        <w:spacing w:before="100" w:beforeAutospacing="1" w:after="100" w:afterAutospacing="1" w:line="360" w:lineRule="auto"/>
        <w:rPr>
          <w:i/>
          <w:sz w:val="20"/>
          <w:szCs w:val="20"/>
        </w:rPr>
      </w:pPr>
    </w:p>
    <w:p w14:paraId="0E572510" w14:textId="4B7DCC7F" w:rsidR="0064785E" w:rsidRPr="008E6E0D" w:rsidRDefault="0064785E" w:rsidP="0064785E">
      <w:pPr>
        <w:spacing w:before="100" w:beforeAutospacing="1" w:after="100" w:afterAutospacing="1" w:line="360" w:lineRule="auto"/>
        <w:rPr>
          <w:b/>
          <w:i/>
          <w:sz w:val="20"/>
          <w:szCs w:val="20"/>
        </w:rPr>
      </w:pPr>
    </w:p>
    <w:p w14:paraId="75B5D15B" w14:textId="2B1A5CCF" w:rsidR="00224471" w:rsidRPr="008E6E0D" w:rsidRDefault="004D080D" w:rsidP="00224471">
      <w:pPr>
        <w:spacing w:before="100" w:beforeAutospacing="1" w:after="100" w:afterAutospacing="1" w:line="360" w:lineRule="auto"/>
        <w:jc w:val="center"/>
        <w:rPr>
          <w:sz w:val="20"/>
          <w:szCs w:val="20"/>
        </w:rPr>
      </w:pPr>
      <w:r w:rsidRPr="008E6E0D">
        <w:rPr>
          <w:noProof/>
          <w:sz w:val="20"/>
          <w:szCs w:val="20"/>
        </w:rPr>
        <w:lastRenderedPageBreak/>
        <w:drawing>
          <wp:inline distT="0" distB="0" distL="0" distR="0" wp14:anchorId="3428B7A5" wp14:editId="697DEC70">
            <wp:extent cx="5196254" cy="2973567"/>
            <wp:effectExtent l="0" t="0" r="4445" b="0"/>
            <wp:docPr id="15" name="Imagen 15" descr="C:\Users\Tamara\Dropbox\TAMARA\Papers\Sepsis_survival_GWAS\_Manuscript\Suplementary Figures sepsis survival GWAS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mara\Dropbox\TAMARA\Papers\Sepsis_survival_GWAS\_Manuscript\Suplementary Figures sepsis survival GWAS sho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0831" cy="2976186"/>
                    </a:xfrm>
                    <a:prstGeom prst="rect">
                      <a:avLst/>
                    </a:prstGeom>
                    <a:noFill/>
                    <a:ln>
                      <a:noFill/>
                    </a:ln>
                  </pic:spPr>
                </pic:pic>
              </a:graphicData>
            </a:graphic>
          </wp:inline>
        </w:drawing>
      </w:r>
    </w:p>
    <w:p w14:paraId="3469A9B6" w14:textId="5C50E1BB" w:rsidR="00B127EF" w:rsidRPr="008E6E0D" w:rsidRDefault="00B127EF" w:rsidP="00B127EF">
      <w:pPr>
        <w:spacing w:before="100" w:beforeAutospacing="1" w:after="100" w:afterAutospacing="1" w:line="360" w:lineRule="auto"/>
        <w:jc w:val="both"/>
        <w:rPr>
          <w:i/>
          <w:sz w:val="20"/>
          <w:szCs w:val="20"/>
        </w:rPr>
      </w:pPr>
      <w:r w:rsidRPr="008E6E0D">
        <w:rPr>
          <w:b/>
          <w:i/>
          <w:sz w:val="20"/>
          <w:szCs w:val="20"/>
        </w:rPr>
        <w:t>Supplementary Figure 5.</w:t>
      </w:r>
      <w:r w:rsidR="00E01612">
        <w:rPr>
          <w:i/>
          <w:sz w:val="20"/>
          <w:szCs w:val="20"/>
        </w:rPr>
        <w:t xml:space="preserve"> Manhattan plot of</w:t>
      </w:r>
      <w:r w:rsidRPr="008E6E0D">
        <w:rPr>
          <w:i/>
          <w:sz w:val="20"/>
          <w:szCs w:val="20"/>
        </w:rPr>
        <w:t xml:space="preserve"> sepsis 28-day survival association study</w:t>
      </w:r>
      <w:r w:rsidR="00E01612">
        <w:rPr>
          <w:i/>
          <w:sz w:val="20"/>
          <w:szCs w:val="20"/>
        </w:rPr>
        <w:t xml:space="preserve"> </w:t>
      </w:r>
      <w:r w:rsidR="00E01612" w:rsidRPr="00E01612">
        <w:rPr>
          <w:i/>
          <w:sz w:val="20"/>
          <w:szCs w:val="20"/>
        </w:rPr>
        <w:t>results at the HLA region</w:t>
      </w:r>
      <w:r w:rsidRPr="008E6E0D">
        <w:rPr>
          <w:i/>
          <w:sz w:val="20"/>
          <w:szCs w:val="20"/>
        </w:rPr>
        <w:t xml:space="preserve">. </w:t>
      </w:r>
      <w:r w:rsidR="003E3D1B">
        <w:rPr>
          <w:i/>
          <w:sz w:val="20"/>
          <w:szCs w:val="20"/>
        </w:rPr>
        <w:t>Highlighted</w:t>
      </w:r>
      <w:r w:rsidR="00E01612">
        <w:rPr>
          <w:i/>
          <w:sz w:val="20"/>
          <w:szCs w:val="20"/>
        </w:rPr>
        <w:t xml:space="preserve"> i</w:t>
      </w:r>
      <w:r w:rsidRPr="008E6E0D">
        <w:rPr>
          <w:i/>
          <w:sz w:val="20"/>
          <w:szCs w:val="20"/>
        </w:rPr>
        <w:t>n blu</w:t>
      </w:r>
      <w:r w:rsidR="003E3D1B">
        <w:rPr>
          <w:i/>
          <w:sz w:val="20"/>
          <w:szCs w:val="20"/>
        </w:rPr>
        <w:t>e are</w:t>
      </w:r>
      <w:r w:rsidRPr="008E6E0D">
        <w:rPr>
          <w:i/>
          <w:sz w:val="20"/>
          <w:szCs w:val="20"/>
        </w:rPr>
        <w:t xml:space="preserve"> the classical HLA alleles results</w:t>
      </w:r>
      <w:r w:rsidR="003E3D1B">
        <w:rPr>
          <w:i/>
          <w:sz w:val="20"/>
          <w:szCs w:val="20"/>
        </w:rPr>
        <w:t>,</w:t>
      </w:r>
      <w:r w:rsidRPr="008E6E0D">
        <w:rPr>
          <w:i/>
          <w:sz w:val="20"/>
          <w:szCs w:val="20"/>
        </w:rPr>
        <w:t xml:space="preserve"> in purple the amino acids results</w:t>
      </w:r>
      <w:r w:rsidR="003E3D1B">
        <w:rPr>
          <w:i/>
          <w:sz w:val="20"/>
          <w:szCs w:val="20"/>
        </w:rPr>
        <w:t>,</w:t>
      </w:r>
      <w:r w:rsidRPr="008E6E0D">
        <w:rPr>
          <w:i/>
          <w:sz w:val="20"/>
          <w:szCs w:val="20"/>
        </w:rPr>
        <w:t xml:space="preserve"> and in grey the GWAS results of the SNPs (chr6: 28,477,797-33,448,354). Horizontal lines indicate the significance threshold for the different tests: In blue</w:t>
      </w:r>
      <w:r w:rsidR="00F4261D">
        <w:rPr>
          <w:i/>
          <w:sz w:val="20"/>
          <w:szCs w:val="20"/>
        </w:rPr>
        <w:t>,</w:t>
      </w:r>
      <w:r w:rsidRPr="008E6E0D">
        <w:rPr>
          <w:i/>
          <w:sz w:val="20"/>
          <w:szCs w:val="20"/>
        </w:rPr>
        <w:t xml:space="preserve"> the threshold for classical HLA alleles p=2.49x10</w:t>
      </w:r>
      <w:r w:rsidRPr="008E6E0D">
        <w:rPr>
          <w:i/>
          <w:sz w:val="20"/>
          <w:szCs w:val="20"/>
          <w:vertAlign w:val="superscript"/>
        </w:rPr>
        <w:t>-4</w:t>
      </w:r>
      <w:r w:rsidRPr="008E6E0D">
        <w:rPr>
          <w:i/>
          <w:sz w:val="20"/>
          <w:szCs w:val="20"/>
        </w:rPr>
        <w:t>; and in purple</w:t>
      </w:r>
      <w:r w:rsidR="00F4261D">
        <w:rPr>
          <w:i/>
          <w:sz w:val="20"/>
          <w:szCs w:val="20"/>
        </w:rPr>
        <w:t>,</w:t>
      </w:r>
      <w:r w:rsidRPr="008E6E0D">
        <w:rPr>
          <w:i/>
          <w:sz w:val="20"/>
          <w:szCs w:val="20"/>
        </w:rPr>
        <w:t xml:space="preserve"> the threshold for amino acids p=4.83x10</w:t>
      </w:r>
      <w:r w:rsidRPr="008E6E0D">
        <w:rPr>
          <w:i/>
          <w:sz w:val="20"/>
          <w:szCs w:val="20"/>
          <w:vertAlign w:val="superscript"/>
        </w:rPr>
        <w:t>-5</w:t>
      </w:r>
      <w:r w:rsidRPr="008E6E0D">
        <w:rPr>
          <w:i/>
          <w:sz w:val="20"/>
          <w:szCs w:val="20"/>
        </w:rPr>
        <w:t>. The x-axis shows genomic position and y-axis represents the significance</w:t>
      </w:r>
      <w:r w:rsidR="00E01612">
        <w:rPr>
          <w:i/>
          <w:sz w:val="20"/>
          <w:szCs w:val="20"/>
        </w:rPr>
        <w:t xml:space="preserve"> (-log10[p-value])</w:t>
      </w:r>
      <w:r w:rsidR="00E01612">
        <w:rPr>
          <w:sz w:val="20"/>
          <w:szCs w:val="20"/>
        </w:rPr>
        <w:t xml:space="preserve">. </w:t>
      </w:r>
      <w:r w:rsidRPr="008E6E0D">
        <w:rPr>
          <w:i/>
          <w:sz w:val="20"/>
          <w:szCs w:val="20"/>
        </w:rPr>
        <w:t>The association results were represented using t</w:t>
      </w:r>
      <w:r w:rsidR="00487681">
        <w:rPr>
          <w:i/>
          <w:sz w:val="20"/>
          <w:szCs w:val="20"/>
        </w:rPr>
        <w:t>he HLA Analysis Tool-Kit (HATK)</w:t>
      </w:r>
      <w:r w:rsidRPr="008E6E0D">
        <w:rPr>
          <w:i/>
          <w:sz w:val="20"/>
          <w:szCs w:val="20"/>
        </w:rPr>
        <w:fldChar w:fldCharType="begin" w:fldLock="1"/>
      </w:r>
      <w:r w:rsidR="00487681">
        <w:rPr>
          <w:i/>
          <w:sz w:val="20"/>
          <w:szCs w:val="20"/>
        </w:rPr>
        <w:instrText>ADDIN CSL_CITATION {"citationItems":[{"id":"ITEM-1","itemData":{"DOI":"10.1093/bioinformatics/btaa684","ISSN":"1367-4803","abstract":"SUMMARY Fine-mapping human leukocyte antigen (HLA) genes involved in disease susceptibility to individual alleles or amino acid residues has been challenging. Using information regarding HLA alleles obtained from HLA typing, HLA imputation, or HLA inference, our software expands the alleles to amino acid sequences using the most recent IMGT/HLA database, and prepares a dataset suitable for fine-mapping analysis. Our software also provides useful functionalities such as various association tests, visualization tools, and nomenclature conversion. AVAILABILITY https://github.com/WansonChoi/HATK.","author":[{"dropping-particle":"","family":"Choi","given":"Wanson","non-dropping-particle":"","parse-names":false,"suffix":""},{"dropping-particle":"","family":"Luo","given":"Yang","non-dropping-particle":"","parse-names":false,"suffix":""},{"dropping-particle":"","family":"Raychaudhuri","given":"Soumya","non-dropping-particle":"","parse-names":false,"suffix":""},{"dropping-particle":"","family":"Han","given":"Buhm","non-dropping-particle":"","parse-names":false,"suffix":""}],"container-title":"Bioinformatics","id":"ITEM-1","issue":"July 2020","issued":{"date-parts":[["2020"]]},"page":"416-418","title":"HATK: HLA analysis toolkit","type":"article-journal","volume":"37"},"uris":["http://www.mendeley.com/documents/?uuid=209a4fd0-185d-4f35-a7ef-2b736fece2fc"]}],"mendeley":{"formattedCitation":"&lt;sup&gt;30&lt;/sup&gt;","manualFormatting":"34","plainTextFormattedCitation":"30","previouslyFormattedCitation":"&lt;sup&gt;33&lt;/sup&gt;"},"properties":{"noteIndex":0},"schema":"https://github.com/citation-style-language/schema/raw/master/csl-citation.json"}</w:instrText>
      </w:r>
      <w:r w:rsidRPr="008E6E0D">
        <w:rPr>
          <w:i/>
          <w:sz w:val="20"/>
          <w:szCs w:val="20"/>
        </w:rPr>
        <w:fldChar w:fldCharType="separate"/>
      </w:r>
      <w:r w:rsidR="000C5871" w:rsidRPr="000C5871">
        <w:rPr>
          <w:noProof/>
          <w:sz w:val="20"/>
          <w:szCs w:val="20"/>
          <w:vertAlign w:val="superscript"/>
        </w:rPr>
        <w:t>3</w:t>
      </w:r>
      <w:r w:rsidR="00487681">
        <w:rPr>
          <w:noProof/>
          <w:sz w:val="20"/>
          <w:szCs w:val="20"/>
          <w:vertAlign w:val="superscript"/>
        </w:rPr>
        <w:t>4</w:t>
      </w:r>
      <w:r w:rsidRPr="008E6E0D">
        <w:rPr>
          <w:i/>
          <w:sz w:val="20"/>
          <w:szCs w:val="20"/>
        </w:rPr>
        <w:fldChar w:fldCharType="end"/>
      </w:r>
      <w:r w:rsidRPr="008E6E0D">
        <w:rPr>
          <w:i/>
          <w:sz w:val="20"/>
          <w:szCs w:val="20"/>
        </w:rPr>
        <w:t>.</w:t>
      </w:r>
    </w:p>
    <w:p w14:paraId="490CBFC0" w14:textId="44D7AC7D" w:rsidR="004232E3" w:rsidRPr="008E6E0D" w:rsidRDefault="004232E3" w:rsidP="004232E3">
      <w:pPr>
        <w:spacing w:before="100" w:beforeAutospacing="1" w:after="100" w:afterAutospacing="1" w:line="360" w:lineRule="auto"/>
        <w:jc w:val="both"/>
        <w:rPr>
          <w:i/>
          <w:sz w:val="20"/>
          <w:szCs w:val="20"/>
        </w:rPr>
      </w:pPr>
    </w:p>
    <w:p w14:paraId="21010078" w14:textId="3E7BB2E4" w:rsidR="005B40DD" w:rsidRPr="008E6E0D" w:rsidRDefault="005B40DD" w:rsidP="004232E3">
      <w:pPr>
        <w:spacing w:before="100" w:beforeAutospacing="1" w:after="100" w:afterAutospacing="1" w:line="360" w:lineRule="auto"/>
        <w:jc w:val="both"/>
        <w:rPr>
          <w:i/>
          <w:sz w:val="20"/>
          <w:szCs w:val="20"/>
        </w:rPr>
      </w:pPr>
    </w:p>
    <w:p w14:paraId="0709950D" w14:textId="01E776D8" w:rsidR="005B40DD" w:rsidRPr="008E6E0D" w:rsidRDefault="005B40DD" w:rsidP="004232E3">
      <w:pPr>
        <w:spacing w:before="100" w:beforeAutospacing="1" w:after="100" w:afterAutospacing="1" w:line="360" w:lineRule="auto"/>
        <w:jc w:val="both"/>
        <w:rPr>
          <w:i/>
          <w:sz w:val="20"/>
          <w:szCs w:val="20"/>
        </w:rPr>
      </w:pPr>
    </w:p>
    <w:p w14:paraId="27C6EB73" w14:textId="77777777" w:rsidR="005B40DD" w:rsidRPr="008E6E0D" w:rsidRDefault="005B40DD" w:rsidP="004232E3">
      <w:pPr>
        <w:spacing w:before="100" w:beforeAutospacing="1" w:after="100" w:afterAutospacing="1" w:line="360" w:lineRule="auto"/>
        <w:jc w:val="both"/>
        <w:rPr>
          <w:i/>
          <w:sz w:val="20"/>
          <w:szCs w:val="20"/>
        </w:rPr>
      </w:pPr>
    </w:p>
    <w:p w14:paraId="2A96E213" w14:textId="09E70546" w:rsidR="009E4C55" w:rsidRPr="008E6E0D" w:rsidRDefault="009F7366" w:rsidP="00E039CA">
      <w:pPr>
        <w:jc w:val="center"/>
        <w:rPr>
          <w:i/>
          <w:sz w:val="20"/>
          <w:szCs w:val="20"/>
        </w:rPr>
      </w:pPr>
      <w:r w:rsidRPr="009F7366">
        <w:rPr>
          <w:snapToGrid w:val="0"/>
          <w:color w:val="000000"/>
          <w:w w:val="0"/>
          <w:sz w:val="0"/>
          <w:szCs w:val="0"/>
          <w:u w:color="000000"/>
          <w:bdr w:val="none" w:sz="0" w:space="0" w:color="000000"/>
          <w:shd w:val="clear" w:color="000000" w:fill="000000"/>
          <w:lang w:val="x-none" w:eastAsia="x-none" w:bidi="x-none"/>
        </w:rPr>
        <w:lastRenderedPageBreak/>
        <w:t xml:space="preserve"> </w:t>
      </w:r>
      <w:r w:rsidRPr="009F7366">
        <w:rPr>
          <w:i/>
          <w:noProof/>
          <w:sz w:val="20"/>
          <w:szCs w:val="20"/>
        </w:rPr>
        <w:drawing>
          <wp:inline distT="0" distB="0" distL="0" distR="0" wp14:anchorId="7D1738B4" wp14:editId="4AAF99C3">
            <wp:extent cx="5400040" cy="4051591"/>
            <wp:effectExtent l="0" t="0" r="0" b="6350"/>
            <wp:docPr id="3" name="Imagen 3" descr="C:\Users\Tamara\Dropbox\TAMARA\Papers\Sepsis_survival_GWAS\_Manuscript\Old\Suplementary Figures sepsis survival GW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a\Dropbox\TAMARA\Papers\Sepsis_survival_GWAS\_Manuscript\Old\Suplementary Figures sepsis survival GWAS.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051591"/>
                    </a:xfrm>
                    <a:prstGeom prst="rect">
                      <a:avLst/>
                    </a:prstGeom>
                    <a:noFill/>
                    <a:ln>
                      <a:noFill/>
                    </a:ln>
                  </pic:spPr>
                </pic:pic>
              </a:graphicData>
            </a:graphic>
          </wp:inline>
        </w:drawing>
      </w:r>
    </w:p>
    <w:p w14:paraId="7DE29D64" w14:textId="5F9D859A" w:rsidR="00870991" w:rsidRPr="008E6E0D" w:rsidRDefault="009E4C55" w:rsidP="0064785E">
      <w:pPr>
        <w:spacing w:before="100" w:beforeAutospacing="1" w:after="100" w:afterAutospacing="1" w:line="360" w:lineRule="auto"/>
        <w:jc w:val="both"/>
        <w:rPr>
          <w:i/>
          <w:iCs/>
          <w:sz w:val="20"/>
          <w:szCs w:val="20"/>
        </w:rPr>
      </w:pPr>
      <w:r w:rsidRPr="008E6E0D">
        <w:rPr>
          <w:b/>
          <w:i/>
          <w:sz w:val="20"/>
          <w:szCs w:val="20"/>
        </w:rPr>
        <w:t>Supplem</w:t>
      </w:r>
      <w:r w:rsidR="0006280E" w:rsidRPr="008E6E0D">
        <w:rPr>
          <w:b/>
          <w:i/>
          <w:sz w:val="20"/>
          <w:szCs w:val="20"/>
        </w:rPr>
        <w:t>entary Figure 6.</w:t>
      </w:r>
      <w:r w:rsidRPr="008E6E0D">
        <w:rPr>
          <w:b/>
          <w:i/>
          <w:sz w:val="20"/>
          <w:szCs w:val="20"/>
        </w:rPr>
        <w:t xml:space="preserve"> </w:t>
      </w:r>
      <w:r w:rsidRPr="00134670">
        <w:rPr>
          <w:bCs/>
          <w:i/>
          <w:iCs/>
          <w:sz w:val="20"/>
          <w:szCs w:val="20"/>
        </w:rPr>
        <w:t>Boxplot of SAMD9 gene expression values in GSE32707.</w:t>
      </w:r>
      <w:r w:rsidRPr="008E6E0D">
        <w:rPr>
          <w:b/>
          <w:bCs/>
          <w:i/>
          <w:iCs/>
          <w:sz w:val="20"/>
          <w:szCs w:val="20"/>
        </w:rPr>
        <w:t xml:space="preserve"> </w:t>
      </w:r>
      <w:r w:rsidRPr="008E6E0D">
        <w:rPr>
          <w:i/>
          <w:iCs/>
          <w:sz w:val="20"/>
          <w:szCs w:val="20"/>
        </w:rPr>
        <w:t>Significance was calculated by two-sample t-test.</w:t>
      </w:r>
    </w:p>
    <w:p w14:paraId="391B551D" w14:textId="689D1026" w:rsidR="005B40DD" w:rsidRPr="008E6E0D" w:rsidRDefault="005B40DD" w:rsidP="0064785E">
      <w:pPr>
        <w:spacing w:before="100" w:beforeAutospacing="1" w:after="100" w:afterAutospacing="1" w:line="360" w:lineRule="auto"/>
        <w:jc w:val="both"/>
        <w:rPr>
          <w:i/>
          <w:iCs/>
          <w:sz w:val="20"/>
          <w:szCs w:val="20"/>
        </w:rPr>
      </w:pPr>
    </w:p>
    <w:p w14:paraId="6C81811B" w14:textId="3F42D9F3" w:rsidR="005B40DD" w:rsidRPr="008E6E0D" w:rsidRDefault="005B40DD" w:rsidP="0064785E">
      <w:pPr>
        <w:spacing w:before="100" w:beforeAutospacing="1" w:after="100" w:afterAutospacing="1" w:line="360" w:lineRule="auto"/>
        <w:jc w:val="both"/>
        <w:rPr>
          <w:i/>
          <w:iCs/>
          <w:sz w:val="20"/>
          <w:szCs w:val="20"/>
        </w:rPr>
      </w:pPr>
    </w:p>
    <w:p w14:paraId="02B023E9" w14:textId="3A5E52F3" w:rsidR="005B40DD" w:rsidRPr="008E6E0D" w:rsidRDefault="005B40DD" w:rsidP="0064785E">
      <w:pPr>
        <w:spacing w:before="100" w:beforeAutospacing="1" w:after="100" w:afterAutospacing="1" w:line="360" w:lineRule="auto"/>
        <w:jc w:val="both"/>
        <w:rPr>
          <w:i/>
          <w:iCs/>
          <w:sz w:val="20"/>
          <w:szCs w:val="20"/>
        </w:rPr>
      </w:pPr>
    </w:p>
    <w:p w14:paraId="4FA0FBB0" w14:textId="6DE45D63" w:rsidR="005B40DD" w:rsidRPr="008E6E0D" w:rsidRDefault="005B40DD" w:rsidP="0064785E">
      <w:pPr>
        <w:spacing w:before="100" w:beforeAutospacing="1" w:after="100" w:afterAutospacing="1" w:line="360" w:lineRule="auto"/>
        <w:jc w:val="both"/>
        <w:rPr>
          <w:i/>
          <w:iCs/>
          <w:sz w:val="20"/>
          <w:szCs w:val="20"/>
        </w:rPr>
      </w:pPr>
    </w:p>
    <w:p w14:paraId="2839E07C" w14:textId="0D2C69C1" w:rsidR="005B40DD" w:rsidRPr="008E6E0D" w:rsidRDefault="005B40DD" w:rsidP="0064785E">
      <w:pPr>
        <w:spacing w:before="100" w:beforeAutospacing="1" w:after="100" w:afterAutospacing="1" w:line="360" w:lineRule="auto"/>
        <w:jc w:val="both"/>
        <w:rPr>
          <w:i/>
          <w:iCs/>
          <w:sz w:val="20"/>
          <w:szCs w:val="20"/>
        </w:rPr>
      </w:pPr>
    </w:p>
    <w:p w14:paraId="7BE1DB24" w14:textId="77777777" w:rsidR="005B40DD" w:rsidRPr="008E6E0D" w:rsidRDefault="005B40DD" w:rsidP="0064785E">
      <w:pPr>
        <w:spacing w:before="100" w:beforeAutospacing="1" w:after="100" w:afterAutospacing="1" w:line="360" w:lineRule="auto"/>
        <w:jc w:val="both"/>
        <w:rPr>
          <w:i/>
          <w:sz w:val="20"/>
          <w:szCs w:val="20"/>
        </w:rPr>
      </w:pPr>
    </w:p>
    <w:p w14:paraId="62A40E7F" w14:textId="34432C6D" w:rsidR="00870991" w:rsidRPr="008E6E0D" w:rsidRDefault="00DC6FF5" w:rsidP="00315463">
      <w:pPr>
        <w:spacing w:after="160" w:line="259" w:lineRule="auto"/>
        <w:rPr>
          <w:b/>
          <w:sz w:val="20"/>
          <w:szCs w:val="20"/>
        </w:rPr>
      </w:pPr>
      <w:r w:rsidRPr="008E6E0D">
        <w:rPr>
          <w:b/>
          <w:i/>
          <w:noProof/>
          <w:sz w:val="20"/>
          <w:szCs w:val="20"/>
          <w:highlight w:val="yellow"/>
        </w:rPr>
        <w:lastRenderedPageBreak/>
        <mc:AlternateContent>
          <mc:Choice Requires="wps">
            <w:drawing>
              <wp:anchor distT="0" distB="0" distL="114300" distR="114300" simplePos="0" relativeHeight="251674624" behindDoc="0" locked="0" layoutInCell="1" allowOverlap="1" wp14:anchorId="100C334F" wp14:editId="5C8877DF">
                <wp:simplePos x="0" y="0"/>
                <wp:positionH relativeFrom="column">
                  <wp:posOffset>1230601</wp:posOffset>
                </wp:positionH>
                <wp:positionV relativeFrom="paragraph">
                  <wp:posOffset>1591546</wp:posOffset>
                </wp:positionV>
                <wp:extent cx="325755" cy="3238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CD11BB" w14:textId="49D3CC12" w:rsidR="002253CB" w:rsidRPr="00DC6FF5" w:rsidRDefault="002253CB" w:rsidP="00DC6FF5">
                            <w:pPr>
                              <w:jc w:val="center"/>
                              <w:rPr>
                                <w:rFonts w:ascii="Arial" w:hAnsi="Arial" w:cs="Arial"/>
                                <w:lang w:val="es-ES"/>
                              </w:rPr>
                            </w:pPr>
                            <w:r>
                              <w:rPr>
                                <w:rFonts w:ascii="Arial" w:hAnsi="Arial" w:cs="Arial"/>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C334F" id="Cuadro de texto 13" o:spid="_x0000_s1032" type="#_x0000_t202" style="position:absolute;margin-left:96.9pt;margin-top:125.3pt;width:25.6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" filled="f" stroked="f">
                <v:textbox>
                  <w:txbxContent>
                    <w:p w14:paraId="31CD11BB" w14:textId="49D3CC12" w:rsidR="002253CB" w:rsidRPr="00DC6FF5" w:rsidRDefault="002253CB" w:rsidP="00DC6FF5">
                      <w:pPr>
                        <w:jc w:val="center"/>
                        <w:rPr>
                          <w:rFonts w:ascii="Arial" w:hAnsi="Arial" w:cs="Arial"/>
                          <w:lang w:val="es-ES"/>
                        </w:rPr>
                      </w:pPr>
                      <w:r>
                        <w:rPr>
                          <w:rFonts w:ascii="Arial" w:hAnsi="Arial" w:cs="Arial"/>
                          <w:lang w:val="es-ES"/>
                        </w:rPr>
                        <w:t>C</w:t>
                      </w:r>
                    </w:p>
                  </w:txbxContent>
                </v:textbox>
              </v:shape>
            </w:pict>
          </mc:Fallback>
        </mc:AlternateContent>
      </w:r>
      <w:r w:rsidRPr="008E6E0D">
        <w:rPr>
          <w:b/>
          <w:i/>
          <w:noProof/>
          <w:sz w:val="20"/>
          <w:szCs w:val="20"/>
          <w:highlight w:val="yellow"/>
        </w:rPr>
        <mc:AlternateContent>
          <mc:Choice Requires="wps">
            <w:drawing>
              <wp:anchor distT="0" distB="0" distL="114300" distR="114300" simplePos="0" relativeHeight="251672576" behindDoc="0" locked="0" layoutInCell="1" allowOverlap="1" wp14:anchorId="2A590A54" wp14:editId="41632CE2">
                <wp:simplePos x="0" y="0"/>
                <wp:positionH relativeFrom="column">
                  <wp:posOffset>2766222</wp:posOffset>
                </wp:positionH>
                <wp:positionV relativeFrom="paragraph">
                  <wp:posOffset>-158750</wp:posOffset>
                </wp:positionV>
                <wp:extent cx="325755" cy="323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293E47" w14:textId="6A01D43C" w:rsidR="002253CB" w:rsidRPr="00DC6FF5" w:rsidRDefault="002253CB" w:rsidP="00DC6FF5">
                            <w:pPr>
                              <w:jc w:val="center"/>
                              <w:rPr>
                                <w:rFonts w:ascii="Arial" w:hAnsi="Arial" w:cs="Arial"/>
                                <w:lang w:val="es-ES"/>
                              </w:rPr>
                            </w:pPr>
                            <w:r>
                              <w:rPr>
                                <w:rFonts w:ascii="Arial" w:hAnsi="Arial" w:cs="Arial"/>
                                <w:lang w:val="es-ES"/>
                              </w:rPr>
                              <w:t>B</w:t>
                            </w:r>
                            <w:r w:rsidRPr="00DC6FF5">
                              <w:rPr>
                                <w:rFonts w:ascii="Arial" w:hAnsi="Arial" w:cs="Arial"/>
                                <w:noProof/>
                              </w:rPr>
                              <w:drawing>
                                <wp:inline distT="0" distB="0" distL="0" distR="0" wp14:anchorId="09AF626A" wp14:editId="615F97EE">
                                  <wp:extent cx="142875" cy="1428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90A54" id="Cuadro de texto 11" o:spid="_x0000_s1033" type="#_x0000_t202" style="position:absolute;margin-left:217.8pt;margin-top:-12.5pt;width:25.65pt;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" filled="f" stroked="f">
                <v:textbox>
                  <w:txbxContent>
                    <w:p w14:paraId="61293E47" w14:textId="6A01D43C" w:rsidR="002253CB" w:rsidRPr="00DC6FF5" w:rsidRDefault="002253CB" w:rsidP="00DC6FF5">
                      <w:pPr>
                        <w:jc w:val="center"/>
                        <w:rPr>
                          <w:rFonts w:ascii="Arial" w:hAnsi="Arial" w:cs="Arial"/>
                          <w:lang w:val="es-ES"/>
                        </w:rPr>
                      </w:pPr>
                      <w:r>
                        <w:rPr>
                          <w:rFonts w:ascii="Arial" w:hAnsi="Arial" w:cs="Arial"/>
                          <w:lang w:val="es-ES"/>
                        </w:rPr>
                        <w:t>B</w:t>
                      </w:r>
                      <w:r w:rsidRPr="00DC6FF5">
                        <w:rPr>
                          <w:rFonts w:ascii="Arial" w:hAnsi="Arial" w:cs="Arial"/>
                          <w:noProof/>
                        </w:rPr>
                        <w:drawing>
                          <wp:inline distT="0" distB="0" distL="0" distR="0" wp14:anchorId="09AF626A" wp14:editId="615F97EE">
                            <wp:extent cx="142875" cy="1428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shape>
            </w:pict>
          </mc:Fallback>
        </mc:AlternateContent>
      </w:r>
      <w:r w:rsidRPr="008E6E0D">
        <w:rPr>
          <w:b/>
          <w:i/>
          <w:noProof/>
          <w:sz w:val="20"/>
          <w:szCs w:val="20"/>
          <w:highlight w:val="yellow"/>
        </w:rPr>
        <mc:AlternateContent>
          <mc:Choice Requires="wps">
            <w:drawing>
              <wp:anchor distT="0" distB="0" distL="114300" distR="114300" simplePos="0" relativeHeight="251670528" behindDoc="0" locked="0" layoutInCell="1" allowOverlap="1" wp14:anchorId="1166C04E" wp14:editId="5702BE2C">
                <wp:simplePos x="0" y="0"/>
                <wp:positionH relativeFrom="column">
                  <wp:posOffset>78740</wp:posOffset>
                </wp:positionH>
                <wp:positionV relativeFrom="paragraph">
                  <wp:posOffset>-164938</wp:posOffset>
                </wp:positionV>
                <wp:extent cx="325755" cy="323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2575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5F7600" w14:textId="77777777" w:rsidR="002253CB" w:rsidRPr="00371583" w:rsidRDefault="002253CB" w:rsidP="00DC6FF5">
                            <w:pPr>
                              <w:jc w:val="center"/>
                              <w:rPr>
                                <w:rFonts w:ascii="Arial" w:hAnsi="Arial" w:cs="Arial"/>
                              </w:rPr>
                            </w:pPr>
                            <w:r w:rsidRPr="00371583">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6C04E" id="Cuadro de texto 8" o:spid="_x0000_s1034" type="#_x0000_t202" style="position:absolute;margin-left:6.2pt;margin-top:-13pt;width:25.65pt;height: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" filled="f" stroked="f">
                <v:textbox>
                  <w:txbxContent>
                    <w:p w14:paraId="155F7600" w14:textId="77777777" w:rsidR="002253CB" w:rsidRPr="00371583" w:rsidRDefault="002253CB" w:rsidP="00DC6FF5">
                      <w:pPr>
                        <w:jc w:val="center"/>
                        <w:rPr>
                          <w:rFonts w:ascii="Arial" w:hAnsi="Arial" w:cs="Arial"/>
                        </w:rPr>
                      </w:pPr>
                      <w:r w:rsidRPr="00371583">
                        <w:rPr>
                          <w:rFonts w:ascii="Arial" w:hAnsi="Arial" w:cs="Arial"/>
                        </w:rPr>
                        <w:t>A</w:t>
                      </w:r>
                    </w:p>
                  </w:txbxContent>
                </v:textbox>
              </v:shape>
            </w:pict>
          </mc:Fallback>
        </mc:AlternateContent>
      </w:r>
      <w:r w:rsidR="006670D8" w:rsidRPr="008E6E0D">
        <w:rPr>
          <w:b/>
          <w:noProof/>
          <w:sz w:val="20"/>
          <w:szCs w:val="20"/>
        </w:rPr>
        <w:drawing>
          <wp:inline distT="0" distB="0" distL="0" distR="0" wp14:anchorId="3BDCB5E3" wp14:editId="43BA7B3F">
            <wp:extent cx="5400040" cy="3091580"/>
            <wp:effectExtent l="0" t="0" r="0" b="0"/>
            <wp:docPr id="55" name="Imagen 55" descr="C:\Users\Tamara\Dropbox\TAMARA\Papers\Sepsis_survival_GWAS\_Manuscript\Suplementary Figures sepsis survival GWAS3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mara\Dropbox\TAMARA\Papers\Sepsis_survival_GWAS\_Manuscript\Suplementary Figures sepsis survival GWAS3 shor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3091580"/>
                    </a:xfrm>
                    <a:prstGeom prst="rect">
                      <a:avLst/>
                    </a:prstGeom>
                    <a:noFill/>
                    <a:ln>
                      <a:noFill/>
                    </a:ln>
                  </pic:spPr>
                </pic:pic>
              </a:graphicData>
            </a:graphic>
          </wp:inline>
        </w:drawing>
      </w:r>
    </w:p>
    <w:p w14:paraId="0A792844" w14:textId="469E7066" w:rsidR="006426B3" w:rsidRPr="008E6E0D" w:rsidRDefault="006426B3" w:rsidP="006426B3">
      <w:pPr>
        <w:spacing w:before="100" w:beforeAutospacing="1" w:after="100" w:afterAutospacing="1" w:line="360" w:lineRule="auto"/>
        <w:jc w:val="both"/>
        <w:rPr>
          <w:i/>
          <w:sz w:val="20"/>
          <w:szCs w:val="20"/>
        </w:rPr>
      </w:pPr>
      <w:r w:rsidRPr="008E6E0D">
        <w:rPr>
          <w:b/>
          <w:i/>
          <w:sz w:val="20"/>
          <w:szCs w:val="20"/>
        </w:rPr>
        <w:t>Supplementary Figure 7.</w:t>
      </w:r>
      <w:r w:rsidRPr="008E6E0D">
        <w:rPr>
          <w:i/>
          <w:sz w:val="20"/>
          <w:szCs w:val="20"/>
        </w:rPr>
        <w:t xml:space="preserve"> Polygenic risk score (PRS) model fitting and strength of association in the GEN-SEP patients with available mortality data at 28 days after sepsis diagnosis using the Cox regression p-values. The x-axis shows the threshold p-value used for selecting the variants to be included in the risk score model. The y-axis shows the significance (−log10 (p-value)) for the association of the risk score models with</w:t>
      </w:r>
      <w:r w:rsidR="00AE0760">
        <w:rPr>
          <w:i/>
          <w:sz w:val="20"/>
          <w:szCs w:val="20"/>
        </w:rPr>
        <w:t xml:space="preserve"> </w:t>
      </w:r>
      <w:r w:rsidRPr="008E6E0D">
        <w:rPr>
          <w:i/>
          <w:sz w:val="20"/>
          <w:szCs w:val="20"/>
        </w:rPr>
        <w:t>28-day survival for each threshold used.</w:t>
      </w:r>
      <w:r w:rsidR="009F7078" w:rsidRPr="009F7078">
        <w:rPr>
          <w:i/>
          <w:sz w:val="20"/>
          <w:szCs w:val="20"/>
        </w:rPr>
        <w:t xml:space="preserve"> </w:t>
      </w:r>
      <w:r w:rsidR="009F7078" w:rsidRPr="008E6E0D">
        <w:rPr>
          <w:i/>
          <w:sz w:val="20"/>
          <w:szCs w:val="20"/>
        </w:rPr>
        <w:t>Horizontal lines indicate the significance threshold</w:t>
      </w:r>
      <w:r w:rsidR="009F7078">
        <w:rPr>
          <w:i/>
          <w:sz w:val="20"/>
          <w:szCs w:val="20"/>
        </w:rPr>
        <w:t>.</w:t>
      </w:r>
      <w:r w:rsidRPr="008E6E0D">
        <w:rPr>
          <w:i/>
          <w:sz w:val="20"/>
          <w:szCs w:val="20"/>
        </w:rPr>
        <w:t xml:space="preserve"> A) All-inclusive PRS model fitting. B) PRS models fitting excluding variants (+/- 500 kb) linked to sepsis risk based on candidate gene studies (see </w:t>
      </w:r>
      <w:r w:rsidRPr="008E6E0D">
        <w:rPr>
          <w:b/>
          <w:i/>
          <w:sz w:val="20"/>
          <w:szCs w:val="20"/>
        </w:rPr>
        <w:t>Table S2</w:t>
      </w:r>
      <w:r w:rsidRPr="008E6E0D">
        <w:rPr>
          <w:i/>
          <w:sz w:val="20"/>
          <w:szCs w:val="20"/>
        </w:rPr>
        <w:t xml:space="preserve">). C) </w:t>
      </w:r>
      <w:r w:rsidR="00AE0760">
        <w:rPr>
          <w:i/>
          <w:sz w:val="20"/>
          <w:szCs w:val="20"/>
        </w:rPr>
        <w:t>PRS</w:t>
      </w:r>
      <w:r w:rsidRPr="008E6E0D">
        <w:rPr>
          <w:i/>
          <w:sz w:val="20"/>
          <w:szCs w:val="20"/>
        </w:rPr>
        <w:t xml:space="preserve"> model fitting excluding the variants (and +/- 500 kb proxies) of sepsis mortality genes (FER, VPS13A, and CISH) described in previous GWAS.</w:t>
      </w:r>
    </w:p>
    <w:p w14:paraId="42051343" w14:textId="77777777" w:rsidR="003947D9" w:rsidRPr="008E6E0D" w:rsidRDefault="003947D9" w:rsidP="00315463">
      <w:pPr>
        <w:spacing w:after="160" w:line="259" w:lineRule="auto"/>
        <w:rPr>
          <w:b/>
          <w:sz w:val="20"/>
          <w:szCs w:val="20"/>
        </w:rPr>
      </w:pPr>
    </w:p>
    <w:p w14:paraId="47CAC589" w14:textId="77777777" w:rsidR="0064785E" w:rsidRPr="008E6E0D" w:rsidRDefault="0064785E" w:rsidP="00315463">
      <w:pPr>
        <w:spacing w:after="160" w:line="259" w:lineRule="auto"/>
        <w:rPr>
          <w:b/>
          <w:sz w:val="20"/>
          <w:szCs w:val="20"/>
        </w:rPr>
      </w:pPr>
    </w:p>
    <w:p w14:paraId="758FB084" w14:textId="77777777" w:rsidR="0064785E" w:rsidRPr="008E6E0D" w:rsidRDefault="0064785E" w:rsidP="00315463">
      <w:pPr>
        <w:spacing w:after="160" w:line="259" w:lineRule="auto"/>
        <w:rPr>
          <w:b/>
          <w:sz w:val="20"/>
          <w:szCs w:val="20"/>
        </w:rPr>
      </w:pPr>
    </w:p>
    <w:p w14:paraId="04F6F918" w14:textId="77777777" w:rsidR="0064785E" w:rsidRPr="008E6E0D" w:rsidRDefault="0064785E" w:rsidP="00315463">
      <w:pPr>
        <w:spacing w:after="160" w:line="259" w:lineRule="auto"/>
        <w:rPr>
          <w:b/>
          <w:sz w:val="20"/>
          <w:szCs w:val="20"/>
        </w:rPr>
      </w:pPr>
    </w:p>
    <w:p w14:paraId="5ECCC3E9" w14:textId="77777777" w:rsidR="0064785E" w:rsidRPr="008E6E0D" w:rsidRDefault="0064785E" w:rsidP="00315463">
      <w:pPr>
        <w:spacing w:after="160" w:line="259" w:lineRule="auto"/>
        <w:rPr>
          <w:b/>
          <w:sz w:val="20"/>
          <w:szCs w:val="20"/>
        </w:rPr>
      </w:pPr>
    </w:p>
    <w:p w14:paraId="2D9DAF92" w14:textId="77777777" w:rsidR="0064785E" w:rsidRPr="008E6E0D" w:rsidRDefault="0064785E" w:rsidP="00315463">
      <w:pPr>
        <w:spacing w:after="160" w:line="259" w:lineRule="auto"/>
        <w:rPr>
          <w:b/>
          <w:sz w:val="20"/>
          <w:szCs w:val="20"/>
        </w:rPr>
      </w:pPr>
    </w:p>
    <w:p w14:paraId="666470B5" w14:textId="77777777" w:rsidR="0064785E" w:rsidRPr="008E6E0D" w:rsidRDefault="0064785E" w:rsidP="00315463">
      <w:pPr>
        <w:spacing w:after="160" w:line="259" w:lineRule="auto"/>
        <w:rPr>
          <w:b/>
          <w:sz w:val="20"/>
          <w:szCs w:val="20"/>
        </w:rPr>
      </w:pPr>
    </w:p>
    <w:p w14:paraId="05BA6068" w14:textId="77777777" w:rsidR="0064785E" w:rsidRPr="008E6E0D" w:rsidRDefault="0064785E" w:rsidP="00315463">
      <w:pPr>
        <w:spacing w:after="160" w:line="259" w:lineRule="auto"/>
        <w:rPr>
          <w:b/>
          <w:sz w:val="20"/>
          <w:szCs w:val="20"/>
        </w:rPr>
      </w:pPr>
    </w:p>
    <w:p w14:paraId="6242B9CC" w14:textId="77777777" w:rsidR="0064785E" w:rsidRPr="008E6E0D" w:rsidRDefault="0064785E" w:rsidP="00315463">
      <w:pPr>
        <w:spacing w:after="160" w:line="259" w:lineRule="auto"/>
        <w:rPr>
          <w:b/>
          <w:sz w:val="20"/>
          <w:szCs w:val="20"/>
        </w:rPr>
      </w:pPr>
    </w:p>
    <w:p w14:paraId="5FDC2D64" w14:textId="77777777" w:rsidR="0064785E" w:rsidRPr="008E6E0D" w:rsidRDefault="0064785E" w:rsidP="00315463">
      <w:pPr>
        <w:spacing w:after="160" w:line="259" w:lineRule="auto"/>
        <w:rPr>
          <w:b/>
          <w:sz w:val="20"/>
          <w:szCs w:val="20"/>
        </w:rPr>
      </w:pPr>
    </w:p>
    <w:p w14:paraId="7BDE0157" w14:textId="77777777" w:rsidR="0064785E" w:rsidRPr="008E6E0D" w:rsidRDefault="0064785E" w:rsidP="00315463">
      <w:pPr>
        <w:spacing w:after="160" w:line="259" w:lineRule="auto"/>
        <w:rPr>
          <w:b/>
          <w:sz w:val="20"/>
          <w:szCs w:val="20"/>
        </w:rPr>
      </w:pPr>
    </w:p>
    <w:p w14:paraId="35A1805D" w14:textId="77777777" w:rsidR="0064785E" w:rsidRPr="008E6E0D" w:rsidRDefault="0064785E" w:rsidP="00315463">
      <w:pPr>
        <w:spacing w:after="160" w:line="259" w:lineRule="auto"/>
        <w:rPr>
          <w:b/>
          <w:sz w:val="20"/>
          <w:szCs w:val="20"/>
        </w:rPr>
      </w:pPr>
    </w:p>
    <w:p w14:paraId="44AFF48C" w14:textId="6CF2EEEE" w:rsidR="0064785E" w:rsidRPr="008E6E0D" w:rsidRDefault="0064785E" w:rsidP="00315463">
      <w:pPr>
        <w:spacing w:after="160" w:line="259" w:lineRule="auto"/>
        <w:rPr>
          <w:b/>
          <w:sz w:val="20"/>
          <w:szCs w:val="20"/>
        </w:rPr>
      </w:pPr>
    </w:p>
    <w:p w14:paraId="7FEFDD1A" w14:textId="77777777" w:rsidR="006249CF" w:rsidRPr="008E6E0D" w:rsidRDefault="006249CF" w:rsidP="00315463">
      <w:pPr>
        <w:spacing w:after="160" w:line="259" w:lineRule="auto"/>
        <w:rPr>
          <w:b/>
          <w:szCs w:val="20"/>
        </w:rPr>
      </w:pPr>
    </w:p>
    <w:p w14:paraId="73B20358" w14:textId="14D30EEA" w:rsidR="00893694" w:rsidRPr="008E6E0D" w:rsidRDefault="001A73C7" w:rsidP="00315463">
      <w:pPr>
        <w:spacing w:after="160" w:line="259" w:lineRule="auto"/>
        <w:rPr>
          <w:b/>
          <w:szCs w:val="20"/>
        </w:rPr>
      </w:pPr>
      <w:r w:rsidRPr="008E6E0D">
        <w:rPr>
          <w:b/>
          <w:szCs w:val="20"/>
        </w:rPr>
        <w:lastRenderedPageBreak/>
        <w:t xml:space="preserve">Supplementary </w:t>
      </w:r>
      <w:r w:rsidR="008C3F62" w:rsidRPr="008E6E0D">
        <w:rPr>
          <w:b/>
          <w:szCs w:val="20"/>
        </w:rPr>
        <w:t>Tables</w:t>
      </w:r>
    </w:p>
    <w:p w14:paraId="56325635" w14:textId="77777777" w:rsidR="00171F47" w:rsidRPr="008E6E0D" w:rsidRDefault="00171F47" w:rsidP="00315463">
      <w:pPr>
        <w:spacing w:after="160" w:line="259" w:lineRule="auto"/>
        <w:rPr>
          <w:b/>
          <w:sz w:val="20"/>
          <w:szCs w:val="20"/>
        </w:rPr>
      </w:pPr>
    </w:p>
    <w:tbl>
      <w:tblPr>
        <w:tblW w:w="7330" w:type="dxa"/>
        <w:jc w:val="center"/>
        <w:tblCellMar>
          <w:left w:w="70" w:type="dxa"/>
          <w:right w:w="70" w:type="dxa"/>
        </w:tblCellMar>
        <w:tblLook w:val="04A0" w:firstRow="1" w:lastRow="0" w:firstColumn="1" w:lastColumn="0" w:noHBand="0" w:noVBand="1"/>
      </w:tblPr>
      <w:tblGrid>
        <w:gridCol w:w="2657"/>
        <w:gridCol w:w="1771"/>
        <w:gridCol w:w="2012"/>
        <w:gridCol w:w="890"/>
      </w:tblGrid>
      <w:tr w:rsidR="00633330" w:rsidRPr="008E6E0D" w14:paraId="740F46F8" w14:textId="77777777" w:rsidTr="006249CF">
        <w:trPr>
          <w:trHeight w:val="347"/>
          <w:jc w:val="center"/>
        </w:trPr>
        <w:tc>
          <w:tcPr>
            <w:tcW w:w="7330" w:type="dxa"/>
            <w:gridSpan w:val="4"/>
            <w:tcBorders>
              <w:top w:val="single" w:sz="4" w:space="0" w:color="auto"/>
              <w:left w:val="nil"/>
              <w:bottom w:val="single" w:sz="4" w:space="0" w:color="auto"/>
              <w:right w:val="nil"/>
            </w:tcBorders>
            <w:shd w:val="clear" w:color="auto" w:fill="auto"/>
            <w:vAlign w:val="center"/>
            <w:hideMark/>
          </w:tcPr>
          <w:p w14:paraId="318C7272" w14:textId="4EB5A976" w:rsidR="00633330" w:rsidRPr="008E6E0D" w:rsidRDefault="00633330" w:rsidP="00DF0344">
            <w:pPr>
              <w:rPr>
                <w:b/>
                <w:bCs/>
                <w:sz w:val="16"/>
                <w:szCs w:val="16"/>
                <w:lang w:eastAsia="es-ES"/>
              </w:rPr>
            </w:pPr>
            <w:r w:rsidRPr="008E6E0D">
              <w:rPr>
                <w:b/>
                <w:bCs/>
                <w:sz w:val="16"/>
                <w:szCs w:val="16"/>
                <w:lang w:eastAsia="es-ES"/>
              </w:rPr>
              <w:t>Table S1. Relevant demographic and clinical features of cases and controls used for the GWAS of sepsis risk after quality controls.</w:t>
            </w:r>
          </w:p>
        </w:tc>
      </w:tr>
      <w:tr w:rsidR="00633330" w:rsidRPr="008E6E0D" w14:paraId="456C2D6A" w14:textId="77777777" w:rsidTr="006249CF">
        <w:trPr>
          <w:trHeight w:val="173"/>
          <w:jc w:val="center"/>
        </w:trPr>
        <w:tc>
          <w:tcPr>
            <w:tcW w:w="2657" w:type="dxa"/>
            <w:tcBorders>
              <w:top w:val="nil"/>
              <w:left w:val="nil"/>
              <w:bottom w:val="single" w:sz="4" w:space="0" w:color="auto"/>
              <w:right w:val="nil"/>
            </w:tcBorders>
            <w:shd w:val="clear" w:color="auto" w:fill="auto"/>
            <w:noWrap/>
            <w:vAlign w:val="center"/>
            <w:hideMark/>
          </w:tcPr>
          <w:p w14:paraId="092283D8" w14:textId="77777777" w:rsidR="00633330" w:rsidRPr="008E6E0D" w:rsidRDefault="00633330" w:rsidP="00DF0344">
            <w:pPr>
              <w:jc w:val="center"/>
              <w:rPr>
                <w:sz w:val="16"/>
                <w:szCs w:val="16"/>
                <w:lang w:eastAsia="es-ES"/>
              </w:rPr>
            </w:pPr>
            <w:r w:rsidRPr="008E6E0D">
              <w:rPr>
                <w:sz w:val="16"/>
                <w:szCs w:val="16"/>
                <w:lang w:eastAsia="es-ES"/>
              </w:rPr>
              <w:t> </w:t>
            </w:r>
          </w:p>
        </w:tc>
        <w:tc>
          <w:tcPr>
            <w:tcW w:w="1771" w:type="dxa"/>
            <w:tcBorders>
              <w:top w:val="nil"/>
              <w:left w:val="nil"/>
              <w:bottom w:val="single" w:sz="4" w:space="0" w:color="auto"/>
              <w:right w:val="nil"/>
            </w:tcBorders>
            <w:shd w:val="clear" w:color="auto" w:fill="auto"/>
            <w:noWrap/>
            <w:vAlign w:val="center"/>
            <w:hideMark/>
          </w:tcPr>
          <w:p w14:paraId="0C28B0BE" w14:textId="77777777" w:rsidR="00633330" w:rsidRPr="008E6E0D" w:rsidRDefault="00633330" w:rsidP="00DF0344">
            <w:pPr>
              <w:jc w:val="center"/>
              <w:rPr>
                <w:b/>
                <w:bCs/>
                <w:sz w:val="16"/>
                <w:szCs w:val="16"/>
                <w:lang w:eastAsia="es-ES"/>
              </w:rPr>
            </w:pPr>
            <w:r w:rsidRPr="008E6E0D">
              <w:rPr>
                <w:b/>
                <w:bCs/>
                <w:sz w:val="16"/>
                <w:szCs w:val="16"/>
                <w:lang w:eastAsia="es-ES"/>
              </w:rPr>
              <w:t>Cases (N = 832)</w:t>
            </w:r>
          </w:p>
        </w:tc>
        <w:tc>
          <w:tcPr>
            <w:tcW w:w="2012" w:type="dxa"/>
            <w:tcBorders>
              <w:top w:val="nil"/>
              <w:left w:val="nil"/>
              <w:bottom w:val="single" w:sz="4" w:space="0" w:color="auto"/>
              <w:right w:val="nil"/>
            </w:tcBorders>
            <w:shd w:val="clear" w:color="auto" w:fill="auto"/>
            <w:noWrap/>
            <w:vAlign w:val="center"/>
            <w:hideMark/>
          </w:tcPr>
          <w:p w14:paraId="10111024" w14:textId="56710C9C" w:rsidR="00633330" w:rsidRPr="008E6E0D" w:rsidRDefault="00633330" w:rsidP="00DF0344">
            <w:pPr>
              <w:jc w:val="center"/>
              <w:rPr>
                <w:b/>
                <w:bCs/>
                <w:sz w:val="16"/>
                <w:szCs w:val="16"/>
                <w:lang w:eastAsia="es-ES"/>
              </w:rPr>
            </w:pPr>
            <w:r w:rsidRPr="008E6E0D">
              <w:rPr>
                <w:b/>
                <w:bCs/>
                <w:sz w:val="16"/>
                <w:szCs w:val="16"/>
                <w:lang w:eastAsia="es-ES"/>
              </w:rPr>
              <w:t>Controls (N = 1</w:t>
            </w:r>
            <w:r w:rsidR="00C273AF" w:rsidRPr="008E6E0D">
              <w:rPr>
                <w:b/>
                <w:bCs/>
                <w:sz w:val="16"/>
                <w:szCs w:val="16"/>
                <w:lang w:eastAsia="es-ES"/>
              </w:rPr>
              <w:t>,</w:t>
            </w:r>
            <w:r w:rsidRPr="008E6E0D">
              <w:rPr>
                <w:b/>
                <w:bCs/>
                <w:sz w:val="16"/>
                <w:szCs w:val="16"/>
                <w:lang w:eastAsia="es-ES"/>
              </w:rPr>
              <w:t>443)</w:t>
            </w:r>
          </w:p>
        </w:tc>
        <w:tc>
          <w:tcPr>
            <w:tcW w:w="889" w:type="dxa"/>
            <w:tcBorders>
              <w:top w:val="nil"/>
              <w:left w:val="nil"/>
              <w:bottom w:val="single" w:sz="4" w:space="0" w:color="auto"/>
              <w:right w:val="nil"/>
            </w:tcBorders>
            <w:shd w:val="clear" w:color="auto" w:fill="auto"/>
            <w:noWrap/>
            <w:vAlign w:val="center"/>
            <w:hideMark/>
          </w:tcPr>
          <w:p w14:paraId="79A4E182" w14:textId="77777777" w:rsidR="00633330" w:rsidRPr="008E6E0D" w:rsidRDefault="00633330" w:rsidP="00DF0344">
            <w:pPr>
              <w:jc w:val="center"/>
              <w:rPr>
                <w:b/>
                <w:bCs/>
                <w:i/>
                <w:iCs/>
                <w:sz w:val="16"/>
                <w:szCs w:val="16"/>
                <w:lang w:eastAsia="es-ES"/>
              </w:rPr>
            </w:pPr>
            <w:r w:rsidRPr="008E6E0D">
              <w:rPr>
                <w:b/>
                <w:bCs/>
                <w:i/>
                <w:iCs/>
                <w:sz w:val="16"/>
                <w:szCs w:val="16"/>
                <w:lang w:eastAsia="es-ES"/>
              </w:rPr>
              <w:t>p</w:t>
            </w:r>
            <w:r w:rsidRPr="008E6E0D">
              <w:rPr>
                <w:b/>
                <w:bCs/>
                <w:sz w:val="16"/>
                <w:szCs w:val="16"/>
                <w:lang w:eastAsia="es-ES"/>
              </w:rPr>
              <w:t>-value*</w:t>
            </w:r>
          </w:p>
        </w:tc>
      </w:tr>
      <w:tr w:rsidR="00633330" w:rsidRPr="008E6E0D" w14:paraId="52088F98"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621718A4" w14:textId="5ABF7A59" w:rsidR="00633330" w:rsidRPr="008E6E0D" w:rsidRDefault="0066763E" w:rsidP="00DF0344">
            <w:pPr>
              <w:rPr>
                <w:color w:val="000000"/>
                <w:sz w:val="16"/>
                <w:szCs w:val="16"/>
                <w:lang w:eastAsia="es-ES"/>
              </w:rPr>
            </w:pPr>
            <w:r w:rsidRPr="008E6E0D">
              <w:rPr>
                <w:color w:val="000000"/>
                <w:sz w:val="16"/>
                <w:szCs w:val="16"/>
                <w:lang w:eastAsia="es-ES"/>
              </w:rPr>
              <w:t>Sex</w:t>
            </w:r>
            <w:r w:rsidR="00633330" w:rsidRPr="008E6E0D">
              <w:rPr>
                <w:color w:val="000000"/>
                <w:sz w:val="16"/>
                <w:szCs w:val="16"/>
                <w:lang w:eastAsia="es-ES"/>
              </w:rPr>
              <w:t>, % male (N)</w:t>
            </w:r>
          </w:p>
        </w:tc>
        <w:tc>
          <w:tcPr>
            <w:tcW w:w="1771" w:type="dxa"/>
            <w:tcBorders>
              <w:top w:val="nil"/>
              <w:left w:val="nil"/>
              <w:bottom w:val="nil"/>
              <w:right w:val="nil"/>
            </w:tcBorders>
            <w:shd w:val="clear" w:color="auto" w:fill="auto"/>
            <w:vAlign w:val="center"/>
            <w:hideMark/>
          </w:tcPr>
          <w:p w14:paraId="2B194351" w14:textId="77777777" w:rsidR="00633330" w:rsidRPr="008E6E0D" w:rsidRDefault="00633330" w:rsidP="00DF0344">
            <w:pPr>
              <w:jc w:val="center"/>
              <w:rPr>
                <w:color w:val="000000"/>
                <w:sz w:val="16"/>
                <w:szCs w:val="16"/>
                <w:lang w:eastAsia="es-ES"/>
              </w:rPr>
            </w:pPr>
            <w:r w:rsidRPr="008E6E0D">
              <w:rPr>
                <w:color w:val="000000"/>
                <w:sz w:val="16"/>
                <w:szCs w:val="16"/>
                <w:lang w:eastAsia="es-ES"/>
              </w:rPr>
              <w:t>63 (524)</w:t>
            </w:r>
          </w:p>
        </w:tc>
        <w:tc>
          <w:tcPr>
            <w:tcW w:w="2012" w:type="dxa"/>
            <w:tcBorders>
              <w:top w:val="nil"/>
              <w:left w:val="nil"/>
              <w:bottom w:val="nil"/>
              <w:right w:val="nil"/>
            </w:tcBorders>
            <w:shd w:val="clear" w:color="auto" w:fill="auto"/>
            <w:vAlign w:val="center"/>
            <w:hideMark/>
          </w:tcPr>
          <w:p w14:paraId="033837F2" w14:textId="77777777" w:rsidR="00633330" w:rsidRPr="008E6E0D" w:rsidRDefault="00633330" w:rsidP="00DF0344">
            <w:pPr>
              <w:jc w:val="center"/>
              <w:rPr>
                <w:sz w:val="16"/>
                <w:szCs w:val="16"/>
                <w:lang w:eastAsia="es-ES"/>
              </w:rPr>
            </w:pPr>
            <w:r w:rsidRPr="008E6E0D">
              <w:rPr>
                <w:sz w:val="16"/>
                <w:szCs w:val="16"/>
                <w:lang w:eastAsia="es-ES"/>
              </w:rPr>
              <w:t>49 (703)</w:t>
            </w:r>
          </w:p>
        </w:tc>
        <w:tc>
          <w:tcPr>
            <w:tcW w:w="889" w:type="dxa"/>
            <w:tcBorders>
              <w:top w:val="nil"/>
              <w:left w:val="nil"/>
              <w:bottom w:val="nil"/>
              <w:right w:val="nil"/>
            </w:tcBorders>
            <w:shd w:val="clear" w:color="auto" w:fill="auto"/>
            <w:noWrap/>
            <w:vAlign w:val="center"/>
            <w:hideMark/>
          </w:tcPr>
          <w:p w14:paraId="1EC6F743" w14:textId="77777777" w:rsidR="00633330" w:rsidRPr="008E6E0D" w:rsidRDefault="00633330" w:rsidP="00DF0344">
            <w:pPr>
              <w:jc w:val="center"/>
              <w:rPr>
                <w:sz w:val="16"/>
                <w:szCs w:val="16"/>
                <w:lang w:eastAsia="es-ES"/>
              </w:rPr>
            </w:pPr>
            <w:r w:rsidRPr="008E6E0D">
              <w:rPr>
                <w:sz w:val="16"/>
                <w:szCs w:val="16"/>
                <w:lang w:eastAsia="es-ES"/>
              </w:rPr>
              <w:t>&lt; 0.0001</w:t>
            </w:r>
          </w:p>
        </w:tc>
      </w:tr>
      <w:tr w:rsidR="00633330" w:rsidRPr="008E6E0D" w14:paraId="234D0456"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2D79AB49" w14:textId="77777777" w:rsidR="00633330" w:rsidRPr="008E6E0D" w:rsidRDefault="00633330" w:rsidP="00DF0344">
            <w:pPr>
              <w:rPr>
                <w:sz w:val="16"/>
                <w:szCs w:val="16"/>
                <w:lang w:eastAsia="es-ES"/>
              </w:rPr>
            </w:pPr>
            <w:r w:rsidRPr="008E6E0D">
              <w:rPr>
                <w:sz w:val="16"/>
                <w:szCs w:val="16"/>
                <w:lang w:eastAsia="es-ES"/>
              </w:rPr>
              <w:t>Age, mean years ± SD</w:t>
            </w:r>
          </w:p>
        </w:tc>
        <w:tc>
          <w:tcPr>
            <w:tcW w:w="1771" w:type="dxa"/>
            <w:tcBorders>
              <w:top w:val="nil"/>
              <w:left w:val="nil"/>
              <w:bottom w:val="nil"/>
              <w:right w:val="nil"/>
            </w:tcBorders>
            <w:shd w:val="clear" w:color="auto" w:fill="auto"/>
            <w:vAlign w:val="center"/>
            <w:hideMark/>
          </w:tcPr>
          <w:p w14:paraId="2FACED08" w14:textId="77777777" w:rsidR="00633330" w:rsidRPr="008E6E0D" w:rsidRDefault="00633330" w:rsidP="00DF0344">
            <w:pPr>
              <w:jc w:val="center"/>
              <w:rPr>
                <w:color w:val="000000"/>
                <w:sz w:val="16"/>
                <w:szCs w:val="16"/>
                <w:lang w:eastAsia="es-ES"/>
              </w:rPr>
            </w:pPr>
            <w:r w:rsidRPr="008E6E0D">
              <w:rPr>
                <w:color w:val="000000"/>
                <w:sz w:val="16"/>
                <w:szCs w:val="16"/>
                <w:lang w:eastAsia="es-ES"/>
              </w:rPr>
              <w:t>63 ± 15</w:t>
            </w:r>
          </w:p>
        </w:tc>
        <w:tc>
          <w:tcPr>
            <w:tcW w:w="2012" w:type="dxa"/>
            <w:tcBorders>
              <w:top w:val="nil"/>
              <w:left w:val="nil"/>
              <w:bottom w:val="nil"/>
              <w:right w:val="nil"/>
            </w:tcBorders>
            <w:shd w:val="clear" w:color="auto" w:fill="auto"/>
            <w:vAlign w:val="center"/>
            <w:hideMark/>
          </w:tcPr>
          <w:p w14:paraId="180E19C2" w14:textId="77777777" w:rsidR="00633330" w:rsidRPr="008E6E0D" w:rsidRDefault="00633330" w:rsidP="00DF0344">
            <w:pPr>
              <w:jc w:val="center"/>
              <w:rPr>
                <w:sz w:val="16"/>
                <w:szCs w:val="16"/>
                <w:lang w:eastAsia="es-ES"/>
              </w:rPr>
            </w:pPr>
            <w:r w:rsidRPr="008E6E0D">
              <w:rPr>
                <w:sz w:val="16"/>
                <w:szCs w:val="16"/>
                <w:lang w:eastAsia="es-ES"/>
              </w:rPr>
              <w:t>47 ± 14</w:t>
            </w:r>
          </w:p>
        </w:tc>
        <w:tc>
          <w:tcPr>
            <w:tcW w:w="889" w:type="dxa"/>
            <w:tcBorders>
              <w:top w:val="nil"/>
              <w:left w:val="nil"/>
              <w:bottom w:val="nil"/>
              <w:right w:val="nil"/>
            </w:tcBorders>
            <w:shd w:val="clear" w:color="auto" w:fill="auto"/>
            <w:noWrap/>
            <w:vAlign w:val="center"/>
            <w:hideMark/>
          </w:tcPr>
          <w:p w14:paraId="6FFEF6C0" w14:textId="77777777" w:rsidR="00633330" w:rsidRPr="008E6E0D" w:rsidRDefault="00633330" w:rsidP="00DF0344">
            <w:pPr>
              <w:jc w:val="center"/>
              <w:rPr>
                <w:sz w:val="16"/>
                <w:szCs w:val="16"/>
                <w:lang w:eastAsia="es-ES"/>
              </w:rPr>
            </w:pPr>
            <w:r w:rsidRPr="008E6E0D">
              <w:rPr>
                <w:sz w:val="16"/>
                <w:szCs w:val="16"/>
                <w:lang w:eastAsia="es-ES"/>
              </w:rPr>
              <w:t>&lt; 0.0001</w:t>
            </w:r>
          </w:p>
        </w:tc>
      </w:tr>
      <w:tr w:rsidR="00633330" w:rsidRPr="008E6E0D" w14:paraId="4413FABF"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5CAC0FF6" w14:textId="77777777" w:rsidR="00633330" w:rsidRPr="008E6E0D" w:rsidRDefault="00633330" w:rsidP="00DF0344">
            <w:pPr>
              <w:rPr>
                <w:sz w:val="16"/>
                <w:szCs w:val="16"/>
                <w:lang w:eastAsia="es-ES"/>
              </w:rPr>
            </w:pPr>
            <w:r w:rsidRPr="008E6E0D">
              <w:rPr>
                <w:sz w:val="16"/>
                <w:szCs w:val="16"/>
                <w:lang w:eastAsia="es-ES"/>
              </w:rPr>
              <w:t>BMI, mean kg/m2 ± SD</w:t>
            </w:r>
          </w:p>
        </w:tc>
        <w:tc>
          <w:tcPr>
            <w:tcW w:w="1771" w:type="dxa"/>
            <w:tcBorders>
              <w:top w:val="nil"/>
              <w:left w:val="nil"/>
              <w:bottom w:val="nil"/>
              <w:right w:val="nil"/>
            </w:tcBorders>
            <w:shd w:val="clear" w:color="auto" w:fill="auto"/>
            <w:vAlign w:val="center"/>
            <w:hideMark/>
          </w:tcPr>
          <w:p w14:paraId="4FED3D76" w14:textId="77777777" w:rsidR="00633330" w:rsidRPr="008E6E0D" w:rsidRDefault="00633330" w:rsidP="00DF0344">
            <w:pPr>
              <w:jc w:val="center"/>
              <w:rPr>
                <w:sz w:val="16"/>
                <w:szCs w:val="16"/>
                <w:lang w:eastAsia="es-ES"/>
              </w:rPr>
            </w:pPr>
            <w:r w:rsidRPr="008E6E0D">
              <w:rPr>
                <w:sz w:val="16"/>
                <w:szCs w:val="16"/>
                <w:lang w:eastAsia="es-ES"/>
              </w:rPr>
              <w:t>28 ± 6</w:t>
            </w:r>
          </w:p>
        </w:tc>
        <w:tc>
          <w:tcPr>
            <w:tcW w:w="2012" w:type="dxa"/>
            <w:tcBorders>
              <w:top w:val="nil"/>
              <w:left w:val="nil"/>
              <w:bottom w:val="nil"/>
              <w:right w:val="nil"/>
            </w:tcBorders>
            <w:shd w:val="clear" w:color="auto" w:fill="auto"/>
            <w:vAlign w:val="center"/>
            <w:hideMark/>
          </w:tcPr>
          <w:p w14:paraId="5B5BC3B0"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6A6F1F63"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5A7EB9CC"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4D874CCC" w14:textId="77777777" w:rsidR="00633330" w:rsidRPr="008E6E0D" w:rsidRDefault="00633330" w:rsidP="00DF0344">
            <w:pPr>
              <w:rPr>
                <w:sz w:val="16"/>
                <w:szCs w:val="16"/>
                <w:lang w:eastAsia="es-ES"/>
              </w:rPr>
            </w:pPr>
            <w:r w:rsidRPr="008E6E0D">
              <w:rPr>
                <w:sz w:val="16"/>
                <w:szCs w:val="16"/>
                <w:lang w:eastAsia="es-ES"/>
              </w:rPr>
              <w:t>SAPS, mean ± SD</w:t>
            </w:r>
          </w:p>
        </w:tc>
        <w:tc>
          <w:tcPr>
            <w:tcW w:w="1771" w:type="dxa"/>
            <w:tcBorders>
              <w:top w:val="nil"/>
              <w:left w:val="nil"/>
              <w:bottom w:val="nil"/>
              <w:right w:val="nil"/>
            </w:tcBorders>
            <w:shd w:val="clear" w:color="auto" w:fill="auto"/>
            <w:vAlign w:val="center"/>
            <w:hideMark/>
          </w:tcPr>
          <w:p w14:paraId="5A9A1F06" w14:textId="77777777" w:rsidR="00633330" w:rsidRPr="008E6E0D" w:rsidRDefault="00633330" w:rsidP="00DF0344">
            <w:pPr>
              <w:jc w:val="center"/>
              <w:rPr>
                <w:sz w:val="16"/>
                <w:szCs w:val="16"/>
                <w:lang w:eastAsia="es-ES"/>
              </w:rPr>
            </w:pPr>
            <w:r w:rsidRPr="008E6E0D">
              <w:rPr>
                <w:sz w:val="16"/>
                <w:szCs w:val="16"/>
                <w:lang w:eastAsia="es-ES"/>
              </w:rPr>
              <w:t>47 ± 15</w:t>
            </w:r>
          </w:p>
        </w:tc>
        <w:tc>
          <w:tcPr>
            <w:tcW w:w="2012" w:type="dxa"/>
            <w:tcBorders>
              <w:top w:val="nil"/>
              <w:left w:val="nil"/>
              <w:bottom w:val="nil"/>
              <w:right w:val="nil"/>
            </w:tcBorders>
            <w:shd w:val="clear" w:color="auto" w:fill="auto"/>
            <w:vAlign w:val="center"/>
            <w:hideMark/>
          </w:tcPr>
          <w:p w14:paraId="65A51F1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0AA797FF"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5FDE45FA"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4AAAAEBC" w14:textId="77777777" w:rsidR="00633330" w:rsidRPr="008E6E0D" w:rsidRDefault="00633330" w:rsidP="00DF0344">
            <w:pPr>
              <w:rPr>
                <w:sz w:val="16"/>
                <w:szCs w:val="16"/>
                <w:lang w:eastAsia="es-ES"/>
              </w:rPr>
            </w:pPr>
            <w:r w:rsidRPr="008E6E0D">
              <w:rPr>
                <w:sz w:val="16"/>
                <w:szCs w:val="16"/>
                <w:lang w:eastAsia="es-ES"/>
              </w:rPr>
              <w:t>APACHE II (8h), mean ± SD</w:t>
            </w:r>
          </w:p>
        </w:tc>
        <w:tc>
          <w:tcPr>
            <w:tcW w:w="1771" w:type="dxa"/>
            <w:tcBorders>
              <w:top w:val="nil"/>
              <w:left w:val="nil"/>
              <w:bottom w:val="nil"/>
              <w:right w:val="nil"/>
            </w:tcBorders>
            <w:shd w:val="clear" w:color="auto" w:fill="auto"/>
            <w:vAlign w:val="center"/>
            <w:hideMark/>
          </w:tcPr>
          <w:p w14:paraId="10FE4428" w14:textId="77777777" w:rsidR="00633330" w:rsidRPr="008E6E0D" w:rsidRDefault="00633330" w:rsidP="00DF0344">
            <w:pPr>
              <w:jc w:val="center"/>
              <w:rPr>
                <w:sz w:val="16"/>
                <w:szCs w:val="16"/>
                <w:lang w:eastAsia="es-ES"/>
              </w:rPr>
            </w:pPr>
            <w:r w:rsidRPr="008E6E0D">
              <w:rPr>
                <w:sz w:val="16"/>
                <w:szCs w:val="16"/>
                <w:lang w:eastAsia="es-ES"/>
              </w:rPr>
              <w:t>20 ± 7</w:t>
            </w:r>
          </w:p>
        </w:tc>
        <w:tc>
          <w:tcPr>
            <w:tcW w:w="2012" w:type="dxa"/>
            <w:tcBorders>
              <w:top w:val="nil"/>
              <w:left w:val="nil"/>
              <w:bottom w:val="nil"/>
              <w:right w:val="nil"/>
            </w:tcBorders>
            <w:shd w:val="clear" w:color="auto" w:fill="auto"/>
            <w:vAlign w:val="center"/>
            <w:hideMark/>
          </w:tcPr>
          <w:p w14:paraId="05896E8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0462DDA9"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62F194B1"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6D2F80C1" w14:textId="77777777" w:rsidR="00633330" w:rsidRPr="008E6E0D" w:rsidRDefault="00633330" w:rsidP="00DF0344">
            <w:pPr>
              <w:rPr>
                <w:sz w:val="16"/>
                <w:szCs w:val="16"/>
                <w:lang w:eastAsia="es-ES"/>
              </w:rPr>
            </w:pPr>
            <w:r w:rsidRPr="008E6E0D">
              <w:rPr>
                <w:sz w:val="16"/>
                <w:szCs w:val="16"/>
                <w:lang w:eastAsia="es-ES"/>
              </w:rPr>
              <w:t>SOFA, mean ± SD</w:t>
            </w:r>
          </w:p>
        </w:tc>
        <w:tc>
          <w:tcPr>
            <w:tcW w:w="1771" w:type="dxa"/>
            <w:tcBorders>
              <w:top w:val="nil"/>
              <w:left w:val="nil"/>
              <w:bottom w:val="nil"/>
              <w:right w:val="nil"/>
            </w:tcBorders>
            <w:shd w:val="clear" w:color="auto" w:fill="auto"/>
            <w:vAlign w:val="center"/>
            <w:hideMark/>
          </w:tcPr>
          <w:p w14:paraId="526B4C65" w14:textId="77777777" w:rsidR="00633330" w:rsidRPr="008E6E0D" w:rsidRDefault="00633330" w:rsidP="00DF0344">
            <w:pPr>
              <w:jc w:val="center"/>
              <w:rPr>
                <w:sz w:val="16"/>
                <w:szCs w:val="16"/>
                <w:lang w:eastAsia="es-ES"/>
              </w:rPr>
            </w:pPr>
            <w:r w:rsidRPr="008E6E0D">
              <w:rPr>
                <w:sz w:val="16"/>
                <w:szCs w:val="16"/>
                <w:lang w:eastAsia="es-ES"/>
              </w:rPr>
              <w:t>8 ± 4</w:t>
            </w:r>
          </w:p>
        </w:tc>
        <w:tc>
          <w:tcPr>
            <w:tcW w:w="2012" w:type="dxa"/>
            <w:tcBorders>
              <w:top w:val="nil"/>
              <w:left w:val="nil"/>
              <w:bottom w:val="nil"/>
              <w:right w:val="nil"/>
            </w:tcBorders>
            <w:shd w:val="clear" w:color="auto" w:fill="auto"/>
            <w:vAlign w:val="center"/>
            <w:hideMark/>
          </w:tcPr>
          <w:p w14:paraId="795EA843"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3F6A0FEC"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1EA0826B"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68E240D6" w14:textId="77777777" w:rsidR="00633330" w:rsidRPr="008E6E0D" w:rsidRDefault="00633330" w:rsidP="00DF0344">
            <w:pPr>
              <w:rPr>
                <w:color w:val="000000"/>
                <w:sz w:val="16"/>
                <w:szCs w:val="16"/>
                <w:lang w:eastAsia="es-ES"/>
              </w:rPr>
            </w:pPr>
            <w:r w:rsidRPr="008E6E0D">
              <w:rPr>
                <w:color w:val="000000"/>
                <w:sz w:val="16"/>
                <w:szCs w:val="16"/>
                <w:lang w:eastAsia="es-ES"/>
              </w:rPr>
              <w:t>Comorbidities</w:t>
            </w:r>
            <w:r w:rsidRPr="008E6E0D">
              <w:rPr>
                <w:color w:val="000000"/>
                <w:sz w:val="16"/>
                <w:szCs w:val="16"/>
                <w:vertAlign w:val="superscript"/>
                <w:lang w:eastAsia="es-ES"/>
              </w:rPr>
              <w:t>$</w:t>
            </w:r>
            <w:r w:rsidRPr="008E6E0D">
              <w:rPr>
                <w:color w:val="000000"/>
                <w:sz w:val="16"/>
                <w:szCs w:val="16"/>
                <w:lang w:eastAsia="es-ES"/>
              </w:rPr>
              <w:t>, % (N)</w:t>
            </w:r>
          </w:p>
        </w:tc>
        <w:tc>
          <w:tcPr>
            <w:tcW w:w="1771" w:type="dxa"/>
            <w:tcBorders>
              <w:top w:val="nil"/>
              <w:left w:val="nil"/>
              <w:bottom w:val="nil"/>
              <w:right w:val="nil"/>
            </w:tcBorders>
            <w:shd w:val="clear" w:color="auto" w:fill="auto"/>
            <w:vAlign w:val="center"/>
            <w:hideMark/>
          </w:tcPr>
          <w:p w14:paraId="4ADE3938" w14:textId="77777777" w:rsidR="00633330" w:rsidRPr="008E6E0D" w:rsidRDefault="00633330" w:rsidP="00DF0344">
            <w:pPr>
              <w:jc w:val="center"/>
              <w:rPr>
                <w:sz w:val="16"/>
                <w:szCs w:val="16"/>
                <w:lang w:eastAsia="es-ES"/>
              </w:rPr>
            </w:pPr>
            <w:r w:rsidRPr="008E6E0D">
              <w:rPr>
                <w:sz w:val="16"/>
                <w:szCs w:val="16"/>
                <w:lang w:eastAsia="es-ES"/>
              </w:rPr>
              <w:t>46 (326)</w:t>
            </w:r>
          </w:p>
        </w:tc>
        <w:tc>
          <w:tcPr>
            <w:tcW w:w="2012" w:type="dxa"/>
            <w:tcBorders>
              <w:top w:val="nil"/>
              <w:left w:val="nil"/>
              <w:bottom w:val="nil"/>
              <w:right w:val="nil"/>
            </w:tcBorders>
            <w:shd w:val="clear" w:color="auto" w:fill="auto"/>
            <w:vAlign w:val="center"/>
            <w:hideMark/>
          </w:tcPr>
          <w:p w14:paraId="4A45ED43"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77AC0DF6"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09A3F314"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0EB7F3A7" w14:textId="77777777" w:rsidR="00633330" w:rsidRPr="008E6E0D" w:rsidRDefault="00633330" w:rsidP="00DF0344">
            <w:pPr>
              <w:rPr>
                <w:color w:val="000000"/>
                <w:sz w:val="16"/>
                <w:szCs w:val="16"/>
                <w:lang w:eastAsia="es-ES"/>
              </w:rPr>
            </w:pPr>
            <w:r w:rsidRPr="008E6E0D">
              <w:rPr>
                <w:color w:val="000000"/>
                <w:sz w:val="16"/>
                <w:szCs w:val="16"/>
                <w:lang w:eastAsia="es-ES"/>
              </w:rPr>
              <w:t>ARDS, % (N)</w:t>
            </w:r>
          </w:p>
        </w:tc>
        <w:tc>
          <w:tcPr>
            <w:tcW w:w="1771" w:type="dxa"/>
            <w:tcBorders>
              <w:top w:val="nil"/>
              <w:left w:val="nil"/>
              <w:bottom w:val="nil"/>
              <w:right w:val="nil"/>
            </w:tcBorders>
            <w:shd w:val="clear" w:color="auto" w:fill="auto"/>
            <w:vAlign w:val="center"/>
            <w:hideMark/>
          </w:tcPr>
          <w:p w14:paraId="420B0AA9" w14:textId="77777777" w:rsidR="00633330" w:rsidRPr="008E6E0D" w:rsidRDefault="00633330" w:rsidP="00DF0344">
            <w:pPr>
              <w:jc w:val="center"/>
              <w:rPr>
                <w:sz w:val="16"/>
                <w:szCs w:val="16"/>
                <w:lang w:eastAsia="es-ES"/>
              </w:rPr>
            </w:pPr>
            <w:r w:rsidRPr="008E6E0D">
              <w:rPr>
                <w:sz w:val="16"/>
                <w:szCs w:val="16"/>
                <w:lang w:eastAsia="es-ES"/>
              </w:rPr>
              <w:t>38 (318)</w:t>
            </w:r>
          </w:p>
        </w:tc>
        <w:tc>
          <w:tcPr>
            <w:tcW w:w="2012" w:type="dxa"/>
            <w:tcBorders>
              <w:top w:val="nil"/>
              <w:left w:val="nil"/>
              <w:bottom w:val="nil"/>
              <w:right w:val="nil"/>
            </w:tcBorders>
            <w:shd w:val="clear" w:color="auto" w:fill="auto"/>
            <w:vAlign w:val="center"/>
            <w:hideMark/>
          </w:tcPr>
          <w:p w14:paraId="3CA4C9B0"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18DA4C0B"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25271EE9"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71B0F8C4" w14:textId="77777777" w:rsidR="00633330" w:rsidRPr="008E6E0D" w:rsidRDefault="00633330" w:rsidP="00DF0344">
            <w:pPr>
              <w:rPr>
                <w:sz w:val="16"/>
                <w:szCs w:val="16"/>
                <w:lang w:eastAsia="es-ES"/>
              </w:rPr>
            </w:pPr>
            <w:r w:rsidRPr="008E6E0D">
              <w:rPr>
                <w:sz w:val="16"/>
                <w:szCs w:val="16"/>
                <w:lang w:eastAsia="es-ES"/>
              </w:rPr>
              <w:t>Hospital mortality, % (N)</w:t>
            </w:r>
          </w:p>
        </w:tc>
        <w:tc>
          <w:tcPr>
            <w:tcW w:w="1771" w:type="dxa"/>
            <w:tcBorders>
              <w:top w:val="nil"/>
              <w:left w:val="nil"/>
              <w:bottom w:val="nil"/>
              <w:right w:val="nil"/>
            </w:tcBorders>
            <w:shd w:val="clear" w:color="auto" w:fill="auto"/>
            <w:vAlign w:val="center"/>
            <w:hideMark/>
          </w:tcPr>
          <w:p w14:paraId="2D446161" w14:textId="77777777" w:rsidR="00633330" w:rsidRPr="008E6E0D" w:rsidRDefault="00633330" w:rsidP="00DF0344">
            <w:pPr>
              <w:jc w:val="center"/>
              <w:rPr>
                <w:sz w:val="16"/>
                <w:szCs w:val="16"/>
                <w:lang w:eastAsia="es-ES"/>
              </w:rPr>
            </w:pPr>
            <w:r w:rsidRPr="008E6E0D">
              <w:rPr>
                <w:sz w:val="16"/>
                <w:szCs w:val="16"/>
                <w:lang w:eastAsia="es-ES"/>
              </w:rPr>
              <w:t>35 (287)</w:t>
            </w:r>
          </w:p>
        </w:tc>
        <w:tc>
          <w:tcPr>
            <w:tcW w:w="2012" w:type="dxa"/>
            <w:tcBorders>
              <w:top w:val="nil"/>
              <w:left w:val="nil"/>
              <w:bottom w:val="nil"/>
              <w:right w:val="nil"/>
            </w:tcBorders>
            <w:shd w:val="clear" w:color="auto" w:fill="auto"/>
            <w:vAlign w:val="center"/>
            <w:hideMark/>
          </w:tcPr>
          <w:p w14:paraId="3358888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667B598B"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16616132"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68D99C52" w14:textId="77777777" w:rsidR="00633330" w:rsidRPr="008E6E0D" w:rsidRDefault="00633330" w:rsidP="00DF0344">
            <w:pPr>
              <w:rPr>
                <w:sz w:val="16"/>
                <w:szCs w:val="16"/>
                <w:lang w:eastAsia="es-ES"/>
              </w:rPr>
            </w:pPr>
            <w:r w:rsidRPr="008E6E0D">
              <w:rPr>
                <w:sz w:val="16"/>
                <w:szCs w:val="16"/>
                <w:lang w:eastAsia="es-ES"/>
              </w:rPr>
              <w:t>ICU mortality, % (N)</w:t>
            </w:r>
          </w:p>
        </w:tc>
        <w:tc>
          <w:tcPr>
            <w:tcW w:w="1771" w:type="dxa"/>
            <w:tcBorders>
              <w:top w:val="nil"/>
              <w:left w:val="nil"/>
              <w:bottom w:val="nil"/>
              <w:right w:val="nil"/>
            </w:tcBorders>
            <w:shd w:val="clear" w:color="auto" w:fill="auto"/>
            <w:vAlign w:val="center"/>
            <w:hideMark/>
          </w:tcPr>
          <w:p w14:paraId="7F4EE128" w14:textId="77777777" w:rsidR="00633330" w:rsidRPr="008E6E0D" w:rsidRDefault="00633330" w:rsidP="00DF0344">
            <w:pPr>
              <w:jc w:val="center"/>
              <w:rPr>
                <w:sz w:val="16"/>
                <w:szCs w:val="16"/>
                <w:lang w:eastAsia="es-ES"/>
              </w:rPr>
            </w:pPr>
            <w:r w:rsidRPr="008E6E0D">
              <w:rPr>
                <w:sz w:val="16"/>
                <w:szCs w:val="16"/>
                <w:lang w:eastAsia="es-ES"/>
              </w:rPr>
              <w:t>28 (228)</w:t>
            </w:r>
          </w:p>
        </w:tc>
        <w:tc>
          <w:tcPr>
            <w:tcW w:w="2012" w:type="dxa"/>
            <w:tcBorders>
              <w:top w:val="nil"/>
              <w:left w:val="nil"/>
              <w:bottom w:val="nil"/>
              <w:right w:val="nil"/>
            </w:tcBorders>
            <w:shd w:val="clear" w:color="auto" w:fill="auto"/>
            <w:vAlign w:val="center"/>
            <w:hideMark/>
          </w:tcPr>
          <w:p w14:paraId="1020C6E7"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547B39B3"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70AE3D5E"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30DA747C" w14:textId="77777777" w:rsidR="00633330" w:rsidRPr="008E6E0D" w:rsidRDefault="00633330" w:rsidP="00DF0344">
            <w:pPr>
              <w:rPr>
                <w:sz w:val="16"/>
                <w:szCs w:val="16"/>
                <w:lang w:eastAsia="es-ES"/>
              </w:rPr>
            </w:pPr>
            <w:r w:rsidRPr="008E6E0D">
              <w:rPr>
                <w:sz w:val="16"/>
                <w:szCs w:val="16"/>
                <w:lang w:eastAsia="es-ES"/>
              </w:rPr>
              <w:t>Days in Hospital, mean ± SD</w:t>
            </w:r>
          </w:p>
        </w:tc>
        <w:tc>
          <w:tcPr>
            <w:tcW w:w="1771" w:type="dxa"/>
            <w:tcBorders>
              <w:top w:val="nil"/>
              <w:left w:val="nil"/>
              <w:bottom w:val="nil"/>
              <w:right w:val="nil"/>
            </w:tcBorders>
            <w:shd w:val="clear" w:color="auto" w:fill="auto"/>
            <w:vAlign w:val="center"/>
            <w:hideMark/>
          </w:tcPr>
          <w:p w14:paraId="47B3912A" w14:textId="77777777" w:rsidR="00633330" w:rsidRPr="008E6E0D" w:rsidRDefault="00633330" w:rsidP="00DF0344">
            <w:pPr>
              <w:jc w:val="center"/>
              <w:rPr>
                <w:sz w:val="16"/>
                <w:szCs w:val="16"/>
                <w:lang w:eastAsia="es-ES"/>
              </w:rPr>
            </w:pPr>
            <w:r w:rsidRPr="008E6E0D">
              <w:rPr>
                <w:sz w:val="16"/>
                <w:szCs w:val="16"/>
                <w:lang w:eastAsia="es-ES"/>
              </w:rPr>
              <w:t>38 ± 50</w:t>
            </w:r>
          </w:p>
        </w:tc>
        <w:tc>
          <w:tcPr>
            <w:tcW w:w="2012" w:type="dxa"/>
            <w:tcBorders>
              <w:top w:val="nil"/>
              <w:left w:val="nil"/>
              <w:bottom w:val="nil"/>
              <w:right w:val="nil"/>
            </w:tcBorders>
            <w:shd w:val="clear" w:color="auto" w:fill="auto"/>
            <w:vAlign w:val="center"/>
            <w:hideMark/>
          </w:tcPr>
          <w:p w14:paraId="4ED4C31C"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534DF49E"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677C07D5"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67753588" w14:textId="77777777" w:rsidR="00633330" w:rsidRPr="008E6E0D" w:rsidRDefault="00633330" w:rsidP="00DF0344">
            <w:pPr>
              <w:rPr>
                <w:sz w:val="16"/>
                <w:szCs w:val="16"/>
                <w:lang w:eastAsia="es-ES"/>
              </w:rPr>
            </w:pPr>
            <w:r w:rsidRPr="008E6E0D">
              <w:rPr>
                <w:sz w:val="16"/>
                <w:szCs w:val="16"/>
                <w:lang w:eastAsia="es-ES"/>
              </w:rPr>
              <w:t>Days in ICU, mean ± SD</w:t>
            </w:r>
          </w:p>
        </w:tc>
        <w:tc>
          <w:tcPr>
            <w:tcW w:w="1771" w:type="dxa"/>
            <w:tcBorders>
              <w:top w:val="nil"/>
              <w:left w:val="nil"/>
              <w:bottom w:val="nil"/>
              <w:right w:val="nil"/>
            </w:tcBorders>
            <w:shd w:val="clear" w:color="auto" w:fill="auto"/>
            <w:vAlign w:val="center"/>
            <w:hideMark/>
          </w:tcPr>
          <w:p w14:paraId="1693A250" w14:textId="77777777" w:rsidR="00633330" w:rsidRPr="008E6E0D" w:rsidRDefault="00633330" w:rsidP="00DF0344">
            <w:pPr>
              <w:jc w:val="center"/>
              <w:rPr>
                <w:sz w:val="16"/>
                <w:szCs w:val="16"/>
                <w:lang w:eastAsia="es-ES"/>
              </w:rPr>
            </w:pPr>
            <w:r w:rsidRPr="008E6E0D">
              <w:rPr>
                <w:sz w:val="16"/>
                <w:szCs w:val="16"/>
                <w:lang w:eastAsia="es-ES"/>
              </w:rPr>
              <w:t>17 ± 24</w:t>
            </w:r>
          </w:p>
        </w:tc>
        <w:tc>
          <w:tcPr>
            <w:tcW w:w="2012" w:type="dxa"/>
            <w:tcBorders>
              <w:top w:val="nil"/>
              <w:left w:val="nil"/>
              <w:bottom w:val="nil"/>
              <w:right w:val="nil"/>
            </w:tcBorders>
            <w:shd w:val="clear" w:color="auto" w:fill="auto"/>
            <w:vAlign w:val="center"/>
            <w:hideMark/>
          </w:tcPr>
          <w:p w14:paraId="38C68CD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3416BDCC"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3CE01158" w14:textId="77777777" w:rsidTr="006249CF">
        <w:trPr>
          <w:trHeight w:val="173"/>
          <w:jc w:val="center"/>
        </w:trPr>
        <w:tc>
          <w:tcPr>
            <w:tcW w:w="2657" w:type="dxa"/>
            <w:tcBorders>
              <w:top w:val="nil"/>
              <w:left w:val="nil"/>
              <w:bottom w:val="nil"/>
              <w:right w:val="nil"/>
            </w:tcBorders>
            <w:shd w:val="clear" w:color="auto" w:fill="auto"/>
            <w:vAlign w:val="center"/>
            <w:hideMark/>
          </w:tcPr>
          <w:p w14:paraId="1C457695" w14:textId="77777777" w:rsidR="00633330" w:rsidRPr="008E6E0D" w:rsidRDefault="00633330" w:rsidP="00DF0344">
            <w:pPr>
              <w:rPr>
                <w:color w:val="000000"/>
                <w:sz w:val="16"/>
                <w:szCs w:val="16"/>
                <w:lang w:eastAsia="es-ES"/>
              </w:rPr>
            </w:pPr>
            <w:r w:rsidRPr="008E6E0D">
              <w:rPr>
                <w:color w:val="000000"/>
                <w:sz w:val="16"/>
                <w:szCs w:val="16"/>
                <w:lang w:eastAsia="es-ES"/>
              </w:rPr>
              <w:t>Sepsis of pulmonary origin, % (N)</w:t>
            </w:r>
          </w:p>
        </w:tc>
        <w:tc>
          <w:tcPr>
            <w:tcW w:w="1771" w:type="dxa"/>
            <w:tcBorders>
              <w:top w:val="nil"/>
              <w:left w:val="nil"/>
              <w:bottom w:val="nil"/>
              <w:right w:val="nil"/>
            </w:tcBorders>
            <w:shd w:val="clear" w:color="auto" w:fill="auto"/>
            <w:vAlign w:val="center"/>
            <w:hideMark/>
          </w:tcPr>
          <w:p w14:paraId="2FE303CD" w14:textId="77777777" w:rsidR="00633330" w:rsidRPr="008E6E0D" w:rsidRDefault="00633330" w:rsidP="00DF0344">
            <w:pPr>
              <w:jc w:val="center"/>
              <w:rPr>
                <w:sz w:val="16"/>
                <w:szCs w:val="16"/>
                <w:lang w:eastAsia="es-ES"/>
              </w:rPr>
            </w:pPr>
            <w:r w:rsidRPr="008E6E0D">
              <w:rPr>
                <w:sz w:val="16"/>
                <w:szCs w:val="16"/>
                <w:lang w:eastAsia="es-ES"/>
              </w:rPr>
              <w:t>35 (264)</w:t>
            </w:r>
          </w:p>
        </w:tc>
        <w:tc>
          <w:tcPr>
            <w:tcW w:w="2012" w:type="dxa"/>
            <w:tcBorders>
              <w:top w:val="nil"/>
              <w:left w:val="nil"/>
              <w:bottom w:val="nil"/>
              <w:right w:val="nil"/>
            </w:tcBorders>
            <w:shd w:val="clear" w:color="auto" w:fill="auto"/>
            <w:vAlign w:val="center"/>
            <w:hideMark/>
          </w:tcPr>
          <w:p w14:paraId="3315A8D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60FBF482"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5DDF1D52"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7B0628F1" w14:textId="77777777" w:rsidR="00633330" w:rsidRPr="008E6E0D" w:rsidRDefault="00633330" w:rsidP="00DF0344">
            <w:pPr>
              <w:rPr>
                <w:color w:val="000000"/>
                <w:sz w:val="16"/>
                <w:szCs w:val="16"/>
                <w:lang w:eastAsia="es-ES"/>
              </w:rPr>
            </w:pPr>
            <w:r w:rsidRPr="008E6E0D">
              <w:rPr>
                <w:color w:val="000000"/>
                <w:sz w:val="16"/>
                <w:szCs w:val="16"/>
                <w:lang w:eastAsia="es-ES"/>
              </w:rPr>
              <w:t>Pathogen, % (N)</w:t>
            </w:r>
          </w:p>
        </w:tc>
        <w:tc>
          <w:tcPr>
            <w:tcW w:w="1771" w:type="dxa"/>
            <w:tcBorders>
              <w:top w:val="nil"/>
              <w:left w:val="nil"/>
              <w:bottom w:val="nil"/>
              <w:right w:val="nil"/>
            </w:tcBorders>
            <w:shd w:val="clear" w:color="auto" w:fill="auto"/>
            <w:vAlign w:val="center"/>
            <w:hideMark/>
          </w:tcPr>
          <w:p w14:paraId="365DACCC" w14:textId="77777777" w:rsidR="00633330" w:rsidRPr="008E6E0D" w:rsidRDefault="00633330" w:rsidP="00DF0344">
            <w:pPr>
              <w:rPr>
                <w:color w:val="000000"/>
                <w:sz w:val="16"/>
                <w:szCs w:val="16"/>
                <w:lang w:eastAsia="es-ES"/>
              </w:rPr>
            </w:pPr>
          </w:p>
        </w:tc>
        <w:tc>
          <w:tcPr>
            <w:tcW w:w="2012" w:type="dxa"/>
            <w:tcBorders>
              <w:top w:val="nil"/>
              <w:left w:val="nil"/>
              <w:bottom w:val="nil"/>
              <w:right w:val="nil"/>
            </w:tcBorders>
            <w:shd w:val="clear" w:color="auto" w:fill="auto"/>
            <w:vAlign w:val="center"/>
            <w:hideMark/>
          </w:tcPr>
          <w:p w14:paraId="42BAE2B4" w14:textId="77777777" w:rsidR="00633330" w:rsidRPr="008E6E0D" w:rsidRDefault="00633330" w:rsidP="00DF0344">
            <w:pPr>
              <w:jc w:val="center"/>
              <w:rPr>
                <w:sz w:val="16"/>
                <w:szCs w:val="16"/>
                <w:lang w:eastAsia="es-ES"/>
              </w:rPr>
            </w:pPr>
          </w:p>
        </w:tc>
        <w:tc>
          <w:tcPr>
            <w:tcW w:w="889" w:type="dxa"/>
            <w:tcBorders>
              <w:top w:val="nil"/>
              <w:left w:val="nil"/>
              <w:bottom w:val="nil"/>
              <w:right w:val="nil"/>
            </w:tcBorders>
            <w:shd w:val="clear" w:color="auto" w:fill="auto"/>
            <w:vAlign w:val="center"/>
            <w:hideMark/>
          </w:tcPr>
          <w:p w14:paraId="1697F001" w14:textId="77777777" w:rsidR="00633330" w:rsidRPr="008E6E0D" w:rsidRDefault="00633330" w:rsidP="00DF0344">
            <w:pPr>
              <w:jc w:val="center"/>
              <w:rPr>
                <w:sz w:val="16"/>
                <w:szCs w:val="16"/>
                <w:lang w:eastAsia="es-ES"/>
              </w:rPr>
            </w:pPr>
          </w:p>
        </w:tc>
      </w:tr>
      <w:tr w:rsidR="00633330" w:rsidRPr="008E6E0D" w14:paraId="5F0FE8CC"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5374AD27" w14:textId="77777777" w:rsidR="00633330" w:rsidRPr="008E6E0D" w:rsidRDefault="00633330" w:rsidP="00DF0344">
            <w:pPr>
              <w:rPr>
                <w:color w:val="000000"/>
                <w:sz w:val="16"/>
                <w:szCs w:val="16"/>
                <w:lang w:eastAsia="es-ES"/>
              </w:rPr>
            </w:pPr>
            <w:r w:rsidRPr="008E6E0D">
              <w:rPr>
                <w:color w:val="000000"/>
                <w:sz w:val="16"/>
                <w:szCs w:val="16"/>
                <w:lang w:eastAsia="es-ES"/>
              </w:rPr>
              <w:t xml:space="preserve">      Gram-positive</w:t>
            </w:r>
          </w:p>
        </w:tc>
        <w:tc>
          <w:tcPr>
            <w:tcW w:w="1771" w:type="dxa"/>
            <w:tcBorders>
              <w:top w:val="nil"/>
              <w:left w:val="nil"/>
              <w:bottom w:val="nil"/>
              <w:right w:val="nil"/>
            </w:tcBorders>
            <w:shd w:val="clear" w:color="auto" w:fill="auto"/>
            <w:vAlign w:val="center"/>
            <w:hideMark/>
          </w:tcPr>
          <w:p w14:paraId="3E238D41" w14:textId="77777777" w:rsidR="00633330" w:rsidRPr="008E6E0D" w:rsidRDefault="00633330" w:rsidP="00DF0344">
            <w:pPr>
              <w:jc w:val="center"/>
              <w:rPr>
                <w:sz w:val="16"/>
                <w:szCs w:val="16"/>
                <w:lang w:eastAsia="es-ES"/>
              </w:rPr>
            </w:pPr>
            <w:r w:rsidRPr="008E6E0D">
              <w:rPr>
                <w:sz w:val="16"/>
                <w:szCs w:val="16"/>
                <w:lang w:eastAsia="es-ES"/>
              </w:rPr>
              <w:t>26 (150)</w:t>
            </w:r>
          </w:p>
        </w:tc>
        <w:tc>
          <w:tcPr>
            <w:tcW w:w="2012" w:type="dxa"/>
            <w:tcBorders>
              <w:top w:val="nil"/>
              <w:left w:val="nil"/>
              <w:bottom w:val="nil"/>
              <w:right w:val="nil"/>
            </w:tcBorders>
            <w:shd w:val="clear" w:color="auto" w:fill="auto"/>
            <w:vAlign w:val="center"/>
            <w:hideMark/>
          </w:tcPr>
          <w:p w14:paraId="74EED984"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0A1B942B"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36D1F8B2"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0062B646" w14:textId="77777777" w:rsidR="00633330" w:rsidRPr="008E6E0D" w:rsidRDefault="00633330" w:rsidP="00DF0344">
            <w:pPr>
              <w:rPr>
                <w:color w:val="000000"/>
                <w:sz w:val="16"/>
                <w:szCs w:val="16"/>
                <w:lang w:eastAsia="es-ES"/>
              </w:rPr>
            </w:pPr>
            <w:r w:rsidRPr="008E6E0D">
              <w:rPr>
                <w:color w:val="000000"/>
                <w:sz w:val="16"/>
                <w:szCs w:val="16"/>
                <w:lang w:eastAsia="es-ES"/>
              </w:rPr>
              <w:t xml:space="preserve">      Gram-negative</w:t>
            </w:r>
          </w:p>
        </w:tc>
        <w:tc>
          <w:tcPr>
            <w:tcW w:w="1771" w:type="dxa"/>
            <w:tcBorders>
              <w:top w:val="nil"/>
              <w:left w:val="nil"/>
              <w:bottom w:val="nil"/>
              <w:right w:val="nil"/>
            </w:tcBorders>
            <w:shd w:val="clear" w:color="auto" w:fill="auto"/>
            <w:vAlign w:val="center"/>
            <w:hideMark/>
          </w:tcPr>
          <w:p w14:paraId="65F75EF0" w14:textId="77777777" w:rsidR="00633330" w:rsidRPr="008E6E0D" w:rsidRDefault="00633330" w:rsidP="00DF0344">
            <w:pPr>
              <w:jc w:val="center"/>
              <w:rPr>
                <w:sz w:val="16"/>
                <w:szCs w:val="16"/>
                <w:lang w:eastAsia="es-ES"/>
              </w:rPr>
            </w:pPr>
            <w:r w:rsidRPr="008E6E0D">
              <w:rPr>
                <w:sz w:val="16"/>
                <w:szCs w:val="16"/>
                <w:lang w:eastAsia="es-ES"/>
              </w:rPr>
              <w:t>37 (209)</w:t>
            </w:r>
          </w:p>
        </w:tc>
        <w:tc>
          <w:tcPr>
            <w:tcW w:w="2012" w:type="dxa"/>
            <w:tcBorders>
              <w:top w:val="nil"/>
              <w:left w:val="nil"/>
              <w:bottom w:val="nil"/>
              <w:right w:val="nil"/>
            </w:tcBorders>
            <w:shd w:val="clear" w:color="auto" w:fill="auto"/>
            <w:vAlign w:val="center"/>
            <w:hideMark/>
          </w:tcPr>
          <w:p w14:paraId="5E021047"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10375C05"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6D075AB8" w14:textId="77777777" w:rsidTr="006249CF">
        <w:trPr>
          <w:trHeight w:val="173"/>
          <w:jc w:val="center"/>
        </w:trPr>
        <w:tc>
          <w:tcPr>
            <w:tcW w:w="2657" w:type="dxa"/>
            <w:tcBorders>
              <w:top w:val="nil"/>
              <w:left w:val="nil"/>
              <w:bottom w:val="nil"/>
              <w:right w:val="nil"/>
            </w:tcBorders>
            <w:shd w:val="clear" w:color="auto" w:fill="auto"/>
            <w:noWrap/>
            <w:vAlign w:val="center"/>
            <w:hideMark/>
          </w:tcPr>
          <w:p w14:paraId="303E8614" w14:textId="77777777" w:rsidR="00633330" w:rsidRPr="008E6E0D" w:rsidRDefault="00633330" w:rsidP="00DF0344">
            <w:pPr>
              <w:rPr>
                <w:color w:val="000000"/>
                <w:sz w:val="16"/>
                <w:szCs w:val="16"/>
                <w:lang w:eastAsia="es-ES"/>
              </w:rPr>
            </w:pPr>
            <w:r w:rsidRPr="008E6E0D">
              <w:rPr>
                <w:color w:val="000000"/>
                <w:sz w:val="16"/>
                <w:szCs w:val="16"/>
                <w:lang w:eastAsia="es-ES"/>
              </w:rPr>
              <w:t xml:space="preserve">      Others</w:t>
            </w:r>
            <w:r w:rsidRPr="008E6E0D">
              <w:rPr>
                <w:color w:val="000000"/>
                <w:sz w:val="16"/>
                <w:szCs w:val="16"/>
                <w:vertAlign w:val="superscript"/>
                <w:lang w:eastAsia="es-ES"/>
              </w:rPr>
              <w:t>+</w:t>
            </w:r>
          </w:p>
        </w:tc>
        <w:tc>
          <w:tcPr>
            <w:tcW w:w="1771" w:type="dxa"/>
            <w:tcBorders>
              <w:top w:val="nil"/>
              <w:left w:val="nil"/>
              <w:bottom w:val="nil"/>
              <w:right w:val="nil"/>
            </w:tcBorders>
            <w:shd w:val="clear" w:color="auto" w:fill="auto"/>
            <w:vAlign w:val="center"/>
            <w:hideMark/>
          </w:tcPr>
          <w:p w14:paraId="69AA76B1" w14:textId="77777777" w:rsidR="00633330" w:rsidRPr="008E6E0D" w:rsidRDefault="00633330" w:rsidP="00DF0344">
            <w:pPr>
              <w:jc w:val="center"/>
              <w:rPr>
                <w:sz w:val="16"/>
                <w:szCs w:val="16"/>
                <w:lang w:eastAsia="es-ES"/>
              </w:rPr>
            </w:pPr>
            <w:r w:rsidRPr="008E6E0D">
              <w:rPr>
                <w:sz w:val="16"/>
                <w:szCs w:val="16"/>
                <w:lang w:eastAsia="es-ES"/>
              </w:rPr>
              <w:t>28 (158)</w:t>
            </w:r>
          </w:p>
        </w:tc>
        <w:tc>
          <w:tcPr>
            <w:tcW w:w="2012" w:type="dxa"/>
            <w:tcBorders>
              <w:top w:val="nil"/>
              <w:left w:val="nil"/>
              <w:bottom w:val="nil"/>
              <w:right w:val="nil"/>
            </w:tcBorders>
            <w:shd w:val="clear" w:color="auto" w:fill="auto"/>
            <w:vAlign w:val="center"/>
            <w:hideMark/>
          </w:tcPr>
          <w:p w14:paraId="4B9864CD" w14:textId="77777777" w:rsidR="00633330" w:rsidRPr="008E6E0D" w:rsidRDefault="00633330" w:rsidP="00DF0344">
            <w:pPr>
              <w:jc w:val="center"/>
              <w:rPr>
                <w:sz w:val="16"/>
                <w:szCs w:val="16"/>
                <w:lang w:eastAsia="es-ES"/>
              </w:rPr>
            </w:pPr>
            <w:r w:rsidRPr="008E6E0D">
              <w:rPr>
                <w:sz w:val="16"/>
                <w:szCs w:val="16"/>
                <w:lang w:eastAsia="es-ES"/>
              </w:rPr>
              <w:t>NA</w:t>
            </w:r>
          </w:p>
        </w:tc>
        <w:tc>
          <w:tcPr>
            <w:tcW w:w="889" w:type="dxa"/>
            <w:tcBorders>
              <w:top w:val="nil"/>
              <w:left w:val="nil"/>
              <w:bottom w:val="nil"/>
              <w:right w:val="nil"/>
            </w:tcBorders>
            <w:shd w:val="clear" w:color="auto" w:fill="auto"/>
            <w:vAlign w:val="center"/>
            <w:hideMark/>
          </w:tcPr>
          <w:p w14:paraId="305FFA05" w14:textId="77777777" w:rsidR="00633330" w:rsidRPr="008E6E0D" w:rsidRDefault="00633330" w:rsidP="00DF0344">
            <w:pPr>
              <w:jc w:val="center"/>
              <w:rPr>
                <w:sz w:val="16"/>
                <w:szCs w:val="16"/>
                <w:lang w:eastAsia="es-ES"/>
              </w:rPr>
            </w:pPr>
            <w:r w:rsidRPr="008E6E0D">
              <w:rPr>
                <w:sz w:val="16"/>
                <w:szCs w:val="16"/>
                <w:lang w:eastAsia="es-ES"/>
              </w:rPr>
              <w:t>NA</w:t>
            </w:r>
          </w:p>
        </w:tc>
      </w:tr>
      <w:tr w:rsidR="00633330" w:rsidRPr="008E6E0D" w14:paraId="2B51A07E" w14:textId="77777777" w:rsidTr="006249CF">
        <w:trPr>
          <w:trHeight w:val="184"/>
          <w:jc w:val="center"/>
        </w:trPr>
        <w:tc>
          <w:tcPr>
            <w:tcW w:w="7330" w:type="dxa"/>
            <w:gridSpan w:val="4"/>
            <w:tcBorders>
              <w:top w:val="single" w:sz="4" w:space="0" w:color="auto"/>
              <w:left w:val="nil"/>
              <w:bottom w:val="single" w:sz="4" w:space="0" w:color="auto"/>
              <w:right w:val="nil"/>
            </w:tcBorders>
            <w:shd w:val="clear" w:color="auto" w:fill="auto"/>
            <w:vAlign w:val="center"/>
            <w:hideMark/>
          </w:tcPr>
          <w:p w14:paraId="4E303AEE" w14:textId="1A0F7FB8" w:rsidR="00633330" w:rsidRPr="008E6E0D" w:rsidRDefault="00633330" w:rsidP="0066763E">
            <w:pPr>
              <w:rPr>
                <w:sz w:val="16"/>
                <w:szCs w:val="16"/>
                <w:lang w:eastAsia="es-ES"/>
              </w:rPr>
            </w:pPr>
            <w:r w:rsidRPr="008E6E0D">
              <w:rPr>
                <w:sz w:val="16"/>
                <w:szCs w:val="16"/>
                <w:lang w:eastAsia="es-ES"/>
              </w:rPr>
              <w:t>*</w:t>
            </w:r>
            <w:r w:rsidR="0066763E" w:rsidRPr="008E6E0D">
              <w:rPr>
                <w:sz w:val="16"/>
                <w:szCs w:val="16"/>
                <w:lang w:eastAsia="es-ES"/>
              </w:rPr>
              <w:t>Sex</w:t>
            </w:r>
            <w:r w:rsidRPr="008E6E0D">
              <w:rPr>
                <w:sz w:val="16"/>
                <w:szCs w:val="16"/>
                <w:lang w:eastAsia="es-ES"/>
              </w:rPr>
              <w:t xml:space="preserve"> comparison was assessed by a chi-square test. Age was compared using the Mann–Whitney U-test. </w:t>
            </w:r>
            <w:r w:rsidRPr="008E6E0D">
              <w:rPr>
                <w:sz w:val="16"/>
                <w:szCs w:val="16"/>
                <w:lang w:eastAsia="es-ES"/>
              </w:rPr>
              <w:br/>
            </w:r>
            <w:r w:rsidRPr="008E6E0D">
              <w:rPr>
                <w:sz w:val="16"/>
                <w:szCs w:val="16"/>
                <w:vertAlign w:val="superscript"/>
                <w:lang w:eastAsia="es-ES"/>
              </w:rPr>
              <w:t>$</w:t>
            </w:r>
            <w:r w:rsidRPr="008E6E0D">
              <w:rPr>
                <w:sz w:val="16"/>
                <w:szCs w:val="16"/>
                <w:lang w:eastAsia="es-ES"/>
              </w:rPr>
              <w:t xml:space="preserve">Comorbidities include cancer, age &gt;80 years, hepatopathy, valvular disease, immunodeficiency, severe brain damage, morbid obesity, chronic disease, autoimmune disease, pregnancy, myopathy, pneumonia, and serious recurrent infections. </w:t>
            </w:r>
            <w:r w:rsidRPr="008E6E0D">
              <w:rPr>
                <w:sz w:val="16"/>
                <w:szCs w:val="16"/>
                <w:lang w:eastAsia="es-ES"/>
              </w:rPr>
              <w:br/>
            </w:r>
            <w:r w:rsidRPr="008E6E0D">
              <w:rPr>
                <w:sz w:val="16"/>
                <w:szCs w:val="16"/>
                <w:vertAlign w:val="superscript"/>
                <w:lang w:eastAsia="es-ES"/>
              </w:rPr>
              <w:t>+</w:t>
            </w:r>
            <w:r w:rsidRPr="008E6E0D">
              <w:rPr>
                <w:sz w:val="16"/>
                <w:szCs w:val="16"/>
                <w:lang w:eastAsia="es-ES"/>
              </w:rPr>
              <w:t>Others include both (Gram-positive and Gram-negative), fungi, virus and polymicrobial.</w:t>
            </w:r>
            <w:r w:rsidRPr="008E6E0D">
              <w:rPr>
                <w:sz w:val="16"/>
                <w:szCs w:val="16"/>
                <w:lang w:eastAsia="es-ES"/>
              </w:rPr>
              <w:br/>
              <w:t>APACHE II, Acute Physiology and Chronic Health Evaluation II; ARDS, Acute Respiratory Distress Syndrome; BMI, Body Mass Index; ICU, Intensive Care Unit; SAPS, Simplified Acute Physiology Score II;</w:t>
            </w:r>
            <w:r w:rsidRPr="008E6E0D">
              <w:rPr>
                <w:bCs/>
                <w:sz w:val="16"/>
                <w:szCs w:val="16"/>
                <w:lang w:eastAsia="es-ES"/>
              </w:rPr>
              <w:t xml:space="preserve"> SOFA, Sequential Organ Failure Assessment.</w:t>
            </w:r>
          </w:p>
        </w:tc>
      </w:tr>
    </w:tbl>
    <w:p w14:paraId="501F9911" w14:textId="5E8E3497" w:rsidR="008B5790" w:rsidRPr="008E6E0D" w:rsidRDefault="008B5790" w:rsidP="00315463">
      <w:pPr>
        <w:spacing w:after="160" w:line="259" w:lineRule="auto"/>
        <w:rPr>
          <w:b/>
          <w:sz w:val="20"/>
          <w:szCs w:val="20"/>
        </w:rPr>
      </w:pPr>
    </w:p>
    <w:p w14:paraId="06445854" w14:textId="6422226B" w:rsidR="0017579A" w:rsidRPr="008E6E0D" w:rsidRDefault="0017579A" w:rsidP="00315463">
      <w:pPr>
        <w:spacing w:after="160" w:line="259" w:lineRule="auto"/>
        <w:rPr>
          <w:b/>
          <w:sz w:val="20"/>
          <w:szCs w:val="20"/>
        </w:rPr>
      </w:pPr>
    </w:p>
    <w:p w14:paraId="0C8F43AF" w14:textId="6F2437C2" w:rsidR="00171F47" w:rsidRPr="008E6E0D" w:rsidRDefault="00171F47" w:rsidP="00315463">
      <w:pPr>
        <w:spacing w:after="160" w:line="259" w:lineRule="auto"/>
        <w:rPr>
          <w:b/>
          <w:sz w:val="20"/>
          <w:szCs w:val="20"/>
        </w:rPr>
      </w:pPr>
    </w:p>
    <w:p w14:paraId="5B7C0D9A" w14:textId="4122BE2A" w:rsidR="00171F47" w:rsidRPr="008E6E0D" w:rsidRDefault="00171F47" w:rsidP="00315463">
      <w:pPr>
        <w:spacing w:after="160" w:line="259" w:lineRule="auto"/>
        <w:rPr>
          <w:b/>
          <w:sz w:val="20"/>
          <w:szCs w:val="20"/>
        </w:rPr>
      </w:pPr>
    </w:p>
    <w:p w14:paraId="6CE61657" w14:textId="51F3F394" w:rsidR="00171F47" w:rsidRPr="008E6E0D" w:rsidRDefault="00171F47" w:rsidP="00315463">
      <w:pPr>
        <w:spacing w:after="160" w:line="259" w:lineRule="auto"/>
        <w:rPr>
          <w:b/>
          <w:sz w:val="20"/>
          <w:szCs w:val="20"/>
        </w:rPr>
      </w:pPr>
    </w:p>
    <w:p w14:paraId="16D444DE" w14:textId="6862B2CA" w:rsidR="00171F47" w:rsidRPr="008E6E0D" w:rsidRDefault="00171F47" w:rsidP="00315463">
      <w:pPr>
        <w:spacing w:after="160" w:line="259" w:lineRule="auto"/>
        <w:rPr>
          <w:b/>
          <w:sz w:val="20"/>
          <w:szCs w:val="20"/>
        </w:rPr>
      </w:pPr>
    </w:p>
    <w:p w14:paraId="2D71EDCA" w14:textId="06BC2246" w:rsidR="00171F47" w:rsidRPr="008E6E0D" w:rsidRDefault="00171F47" w:rsidP="00315463">
      <w:pPr>
        <w:spacing w:after="160" w:line="259" w:lineRule="auto"/>
        <w:rPr>
          <w:b/>
          <w:sz w:val="20"/>
          <w:szCs w:val="20"/>
        </w:rPr>
      </w:pPr>
    </w:p>
    <w:p w14:paraId="7A7B7A45" w14:textId="6E0E94A9" w:rsidR="00171F47" w:rsidRPr="008E6E0D" w:rsidRDefault="00171F47" w:rsidP="00315463">
      <w:pPr>
        <w:spacing w:after="160" w:line="259" w:lineRule="auto"/>
        <w:rPr>
          <w:b/>
          <w:sz w:val="20"/>
          <w:szCs w:val="20"/>
        </w:rPr>
      </w:pPr>
    </w:p>
    <w:p w14:paraId="406A114E" w14:textId="4026A531" w:rsidR="00171F47" w:rsidRPr="008E6E0D" w:rsidRDefault="00171F47" w:rsidP="00315463">
      <w:pPr>
        <w:spacing w:after="160" w:line="259" w:lineRule="auto"/>
        <w:rPr>
          <w:b/>
          <w:sz w:val="20"/>
          <w:szCs w:val="20"/>
        </w:rPr>
      </w:pPr>
    </w:p>
    <w:p w14:paraId="259C2A0F" w14:textId="73065272" w:rsidR="00171F47" w:rsidRPr="008E6E0D" w:rsidRDefault="00171F47" w:rsidP="00315463">
      <w:pPr>
        <w:spacing w:after="160" w:line="259" w:lineRule="auto"/>
        <w:rPr>
          <w:b/>
          <w:sz w:val="20"/>
          <w:szCs w:val="20"/>
        </w:rPr>
      </w:pPr>
    </w:p>
    <w:p w14:paraId="5495C6D0" w14:textId="10F90CE1" w:rsidR="00171F47" w:rsidRPr="008E6E0D" w:rsidRDefault="00171F47" w:rsidP="00315463">
      <w:pPr>
        <w:spacing w:after="160" w:line="259" w:lineRule="auto"/>
        <w:rPr>
          <w:b/>
          <w:sz w:val="20"/>
          <w:szCs w:val="20"/>
        </w:rPr>
      </w:pPr>
    </w:p>
    <w:p w14:paraId="3D6FDC1F" w14:textId="075C5693" w:rsidR="00171F47" w:rsidRPr="008E6E0D" w:rsidRDefault="00171F47" w:rsidP="00315463">
      <w:pPr>
        <w:spacing w:after="160" w:line="259" w:lineRule="auto"/>
        <w:rPr>
          <w:b/>
          <w:sz w:val="20"/>
          <w:szCs w:val="20"/>
        </w:rPr>
      </w:pPr>
    </w:p>
    <w:p w14:paraId="7C71F98D" w14:textId="3B7F803F" w:rsidR="00171F47" w:rsidRPr="008E6E0D" w:rsidRDefault="00171F47" w:rsidP="00315463">
      <w:pPr>
        <w:spacing w:after="160" w:line="259" w:lineRule="auto"/>
        <w:rPr>
          <w:b/>
          <w:sz w:val="20"/>
          <w:szCs w:val="20"/>
        </w:rPr>
      </w:pPr>
    </w:p>
    <w:p w14:paraId="2567CBA0" w14:textId="19FB91B1" w:rsidR="00171F47" w:rsidRPr="008E6E0D" w:rsidRDefault="00171F47" w:rsidP="00315463">
      <w:pPr>
        <w:spacing w:after="160" w:line="259" w:lineRule="auto"/>
        <w:rPr>
          <w:b/>
          <w:sz w:val="20"/>
          <w:szCs w:val="20"/>
        </w:rPr>
      </w:pPr>
    </w:p>
    <w:p w14:paraId="63110199" w14:textId="1E7743AB" w:rsidR="00171F47" w:rsidRPr="008E6E0D" w:rsidRDefault="00171F47" w:rsidP="00315463">
      <w:pPr>
        <w:spacing w:after="160" w:line="259" w:lineRule="auto"/>
        <w:rPr>
          <w:b/>
          <w:sz w:val="20"/>
          <w:szCs w:val="20"/>
        </w:rPr>
      </w:pPr>
    </w:p>
    <w:p w14:paraId="606BBEFA" w14:textId="208A5E14" w:rsidR="00171F47" w:rsidRPr="008E6E0D" w:rsidRDefault="00171F47" w:rsidP="00315463">
      <w:pPr>
        <w:spacing w:after="160" w:line="259" w:lineRule="auto"/>
        <w:rPr>
          <w:b/>
          <w:sz w:val="20"/>
          <w:szCs w:val="20"/>
        </w:rPr>
      </w:pPr>
    </w:p>
    <w:p w14:paraId="7747F643" w14:textId="4F9CA17F" w:rsidR="00171F47" w:rsidRPr="008E6E0D" w:rsidRDefault="00171F47" w:rsidP="00315463">
      <w:pPr>
        <w:spacing w:after="160" w:line="259" w:lineRule="auto"/>
        <w:rPr>
          <w:b/>
          <w:sz w:val="20"/>
          <w:szCs w:val="20"/>
        </w:rPr>
      </w:pPr>
    </w:p>
    <w:p w14:paraId="46EC5370" w14:textId="7349C268" w:rsidR="006249CF" w:rsidRPr="008E6E0D" w:rsidRDefault="006249CF" w:rsidP="00315463">
      <w:pPr>
        <w:spacing w:after="160" w:line="259" w:lineRule="auto"/>
        <w:rPr>
          <w:b/>
          <w:sz w:val="20"/>
          <w:szCs w:val="20"/>
        </w:rPr>
      </w:pPr>
    </w:p>
    <w:p w14:paraId="6FB3FE00" w14:textId="77777777" w:rsidR="006249CF" w:rsidRPr="008E6E0D" w:rsidRDefault="006249CF" w:rsidP="00315463">
      <w:pPr>
        <w:spacing w:after="160" w:line="259" w:lineRule="auto"/>
        <w:rPr>
          <w:b/>
          <w:sz w:val="20"/>
          <w:szCs w:val="20"/>
        </w:rPr>
      </w:pPr>
    </w:p>
    <w:tbl>
      <w:tblPr>
        <w:tblStyle w:val="Tablaconcuadrcula"/>
        <w:tblW w:w="9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1359"/>
        <w:gridCol w:w="2026"/>
        <w:gridCol w:w="2424"/>
        <w:gridCol w:w="2390"/>
      </w:tblGrid>
      <w:tr w:rsidR="00FA6A7B" w:rsidRPr="008E6E0D" w14:paraId="25278D41" w14:textId="77777777" w:rsidTr="006249CF">
        <w:trPr>
          <w:trHeight w:val="117"/>
          <w:jc w:val="center"/>
        </w:trPr>
        <w:tc>
          <w:tcPr>
            <w:tcW w:w="9306" w:type="dxa"/>
            <w:gridSpan w:val="5"/>
            <w:tcBorders>
              <w:top w:val="single" w:sz="4" w:space="0" w:color="auto"/>
              <w:bottom w:val="single" w:sz="4" w:space="0" w:color="auto"/>
            </w:tcBorders>
            <w:vAlign w:val="center"/>
          </w:tcPr>
          <w:p w14:paraId="2D620A08" w14:textId="77777777" w:rsidR="00FA6A7B" w:rsidRPr="008E6E0D" w:rsidRDefault="00FA6A7B" w:rsidP="004019B7">
            <w:pPr>
              <w:rPr>
                <w:color w:val="000000"/>
                <w:sz w:val="16"/>
                <w:szCs w:val="16"/>
                <w:lang w:eastAsia="es-ES"/>
              </w:rPr>
            </w:pPr>
            <w:r w:rsidRPr="008E6E0D">
              <w:rPr>
                <w:b/>
                <w:color w:val="000000"/>
                <w:sz w:val="16"/>
                <w:szCs w:val="16"/>
                <w:lang w:eastAsia="es-ES"/>
              </w:rPr>
              <w:lastRenderedPageBreak/>
              <w:t>Table S2.</w:t>
            </w:r>
            <w:r w:rsidRPr="008E6E0D">
              <w:rPr>
                <w:color w:val="000000"/>
                <w:sz w:val="16"/>
                <w:szCs w:val="16"/>
                <w:lang w:eastAsia="es-ES"/>
              </w:rPr>
              <w:t xml:space="preserve"> </w:t>
            </w:r>
            <w:r w:rsidRPr="008E6E0D">
              <w:rPr>
                <w:b/>
                <w:bCs/>
                <w:color w:val="000000"/>
                <w:sz w:val="16"/>
                <w:szCs w:val="16"/>
                <w:lang w:eastAsia="es-ES"/>
              </w:rPr>
              <w:t>Previous candidate genes associated with sepsis risk obtained from the Public Health Genomics and Precision Health Knowledge Base (v6.2.3) database.</w:t>
            </w:r>
          </w:p>
        </w:tc>
      </w:tr>
      <w:tr w:rsidR="00FA6A7B" w:rsidRPr="008E6E0D" w14:paraId="25466457" w14:textId="77777777" w:rsidTr="006249CF">
        <w:trPr>
          <w:trHeight w:val="96"/>
          <w:jc w:val="center"/>
        </w:trPr>
        <w:tc>
          <w:tcPr>
            <w:tcW w:w="1107" w:type="dxa"/>
            <w:tcBorders>
              <w:top w:val="single" w:sz="4" w:space="0" w:color="auto"/>
              <w:bottom w:val="single" w:sz="4" w:space="0" w:color="auto"/>
            </w:tcBorders>
            <w:vAlign w:val="center"/>
          </w:tcPr>
          <w:p w14:paraId="7962C0DD" w14:textId="77777777" w:rsidR="00FA6A7B" w:rsidRPr="008E6E0D" w:rsidRDefault="00FA6A7B" w:rsidP="00EE03FC">
            <w:pPr>
              <w:rPr>
                <w:b/>
                <w:color w:val="000000"/>
                <w:sz w:val="16"/>
                <w:szCs w:val="16"/>
                <w:lang w:eastAsia="es-ES"/>
              </w:rPr>
            </w:pPr>
            <w:r w:rsidRPr="008E6E0D">
              <w:rPr>
                <w:b/>
                <w:color w:val="000000"/>
                <w:sz w:val="16"/>
                <w:szCs w:val="16"/>
                <w:lang w:eastAsia="es-ES"/>
              </w:rPr>
              <w:t>Associated Gene</w:t>
            </w:r>
          </w:p>
        </w:tc>
        <w:tc>
          <w:tcPr>
            <w:tcW w:w="1359" w:type="dxa"/>
            <w:tcBorders>
              <w:top w:val="single" w:sz="4" w:space="0" w:color="auto"/>
              <w:bottom w:val="single" w:sz="4" w:space="0" w:color="auto"/>
            </w:tcBorders>
            <w:vAlign w:val="center"/>
          </w:tcPr>
          <w:p w14:paraId="5C8DDEB6" w14:textId="6CDA9820" w:rsidR="00FA6A7B" w:rsidRPr="008E6E0D" w:rsidRDefault="00FA6A7B" w:rsidP="004019B7">
            <w:pPr>
              <w:jc w:val="center"/>
              <w:rPr>
                <w:b/>
                <w:color w:val="000000"/>
                <w:sz w:val="16"/>
                <w:szCs w:val="16"/>
                <w:lang w:eastAsia="es-ES"/>
              </w:rPr>
            </w:pPr>
            <w:r w:rsidRPr="008E6E0D">
              <w:rPr>
                <w:b/>
                <w:color w:val="000000"/>
                <w:sz w:val="16"/>
                <w:szCs w:val="16"/>
                <w:lang w:eastAsia="es-ES"/>
              </w:rPr>
              <w:t>Total Publications</w:t>
            </w:r>
          </w:p>
        </w:tc>
        <w:tc>
          <w:tcPr>
            <w:tcW w:w="2026" w:type="dxa"/>
            <w:tcBorders>
              <w:top w:val="single" w:sz="4" w:space="0" w:color="auto"/>
              <w:bottom w:val="single" w:sz="4" w:space="0" w:color="auto"/>
            </w:tcBorders>
            <w:vAlign w:val="center"/>
          </w:tcPr>
          <w:p w14:paraId="49A5D2D8" w14:textId="323AEA42" w:rsidR="00FA6A7B" w:rsidRPr="008E6E0D" w:rsidRDefault="00EE03FC" w:rsidP="004019B7">
            <w:pPr>
              <w:jc w:val="center"/>
              <w:rPr>
                <w:b/>
                <w:color w:val="000000"/>
                <w:sz w:val="16"/>
                <w:szCs w:val="16"/>
                <w:lang w:eastAsia="es-ES"/>
              </w:rPr>
            </w:pPr>
            <w:r w:rsidRPr="008E6E0D">
              <w:rPr>
                <w:b/>
                <w:color w:val="000000"/>
                <w:sz w:val="16"/>
                <w:szCs w:val="16"/>
                <w:lang w:eastAsia="es-ES"/>
              </w:rPr>
              <w:t>Gene</w:t>
            </w:r>
            <w:r w:rsidR="00FA6A7B" w:rsidRPr="008E6E0D">
              <w:rPr>
                <w:b/>
                <w:color w:val="000000"/>
                <w:sz w:val="16"/>
                <w:szCs w:val="16"/>
                <w:lang w:eastAsia="es-ES"/>
              </w:rPr>
              <w:t xml:space="preserve"> name</w:t>
            </w:r>
          </w:p>
        </w:tc>
        <w:tc>
          <w:tcPr>
            <w:tcW w:w="2424" w:type="dxa"/>
            <w:tcBorders>
              <w:top w:val="single" w:sz="4" w:space="0" w:color="auto"/>
              <w:bottom w:val="single" w:sz="4" w:space="0" w:color="auto"/>
            </w:tcBorders>
            <w:vAlign w:val="center"/>
          </w:tcPr>
          <w:p w14:paraId="7996836E" w14:textId="4D12FF57" w:rsidR="00FA6A7B" w:rsidRPr="008E6E0D" w:rsidRDefault="00FA6A7B" w:rsidP="004019B7">
            <w:pPr>
              <w:jc w:val="center"/>
              <w:rPr>
                <w:b/>
                <w:color w:val="000000"/>
                <w:sz w:val="16"/>
                <w:szCs w:val="16"/>
                <w:lang w:eastAsia="es-ES"/>
              </w:rPr>
            </w:pPr>
            <w:r w:rsidRPr="008E6E0D">
              <w:rPr>
                <w:b/>
                <w:color w:val="000000"/>
                <w:sz w:val="16"/>
                <w:szCs w:val="16"/>
                <w:lang w:eastAsia="es-ES"/>
              </w:rPr>
              <w:t xml:space="preserve">Genomic </w:t>
            </w:r>
            <w:r w:rsidR="003D4F2C" w:rsidRPr="008E6E0D">
              <w:rPr>
                <w:b/>
                <w:color w:val="000000"/>
                <w:sz w:val="16"/>
                <w:szCs w:val="16"/>
                <w:lang w:eastAsia="es-ES"/>
              </w:rPr>
              <w:t>l</w:t>
            </w:r>
            <w:r w:rsidRPr="008E6E0D">
              <w:rPr>
                <w:b/>
                <w:color w:val="000000"/>
                <w:sz w:val="16"/>
                <w:szCs w:val="16"/>
                <w:lang w:eastAsia="es-ES"/>
              </w:rPr>
              <w:t>ocations (GRCh37/hg19)</w:t>
            </w:r>
          </w:p>
        </w:tc>
        <w:tc>
          <w:tcPr>
            <w:tcW w:w="2388" w:type="dxa"/>
            <w:tcBorders>
              <w:top w:val="single" w:sz="4" w:space="0" w:color="auto"/>
              <w:bottom w:val="single" w:sz="4" w:space="0" w:color="auto"/>
            </w:tcBorders>
            <w:vAlign w:val="center"/>
          </w:tcPr>
          <w:p w14:paraId="1E3D006F" w14:textId="77777777" w:rsidR="00FA6A7B" w:rsidRPr="008E6E0D" w:rsidRDefault="00FA6A7B" w:rsidP="004019B7">
            <w:pPr>
              <w:jc w:val="center"/>
              <w:rPr>
                <w:b/>
                <w:color w:val="000000"/>
                <w:sz w:val="16"/>
                <w:szCs w:val="16"/>
                <w:lang w:eastAsia="es-ES"/>
              </w:rPr>
            </w:pPr>
            <w:r w:rsidRPr="008E6E0D">
              <w:rPr>
                <w:b/>
                <w:color w:val="000000"/>
                <w:sz w:val="16"/>
                <w:szCs w:val="16"/>
                <w:lang w:eastAsia="es-ES"/>
              </w:rPr>
              <w:t>Position +/- 500 kb</w:t>
            </w:r>
          </w:p>
        </w:tc>
      </w:tr>
      <w:tr w:rsidR="00FA6A7B" w:rsidRPr="008E6E0D" w14:paraId="2AA2973B" w14:textId="77777777" w:rsidTr="006249CF">
        <w:trPr>
          <w:trHeight w:val="109"/>
          <w:jc w:val="center"/>
        </w:trPr>
        <w:tc>
          <w:tcPr>
            <w:tcW w:w="1107" w:type="dxa"/>
            <w:tcBorders>
              <w:top w:val="single" w:sz="4" w:space="0" w:color="auto"/>
            </w:tcBorders>
            <w:vAlign w:val="center"/>
          </w:tcPr>
          <w:p w14:paraId="1884120F" w14:textId="77777777" w:rsidR="00FA6A7B" w:rsidRPr="008E6E0D" w:rsidRDefault="00FA6A7B" w:rsidP="004019B7">
            <w:pPr>
              <w:rPr>
                <w:i/>
                <w:color w:val="000000"/>
                <w:sz w:val="16"/>
                <w:szCs w:val="16"/>
                <w:lang w:eastAsia="es-ES"/>
              </w:rPr>
            </w:pPr>
            <w:r w:rsidRPr="008E6E0D">
              <w:rPr>
                <w:i/>
                <w:color w:val="000000"/>
                <w:sz w:val="16"/>
                <w:szCs w:val="16"/>
                <w:lang w:eastAsia="es-ES"/>
              </w:rPr>
              <w:t>TNF</w:t>
            </w:r>
          </w:p>
        </w:tc>
        <w:tc>
          <w:tcPr>
            <w:tcW w:w="1359" w:type="dxa"/>
            <w:tcBorders>
              <w:top w:val="single" w:sz="4" w:space="0" w:color="auto"/>
            </w:tcBorders>
            <w:vAlign w:val="center"/>
          </w:tcPr>
          <w:p w14:paraId="1DB5829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102</w:t>
            </w:r>
          </w:p>
        </w:tc>
        <w:tc>
          <w:tcPr>
            <w:tcW w:w="2026" w:type="dxa"/>
            <w:tcBorders>
              <w:top w:val="single" w:sz="4" w:space="0" w:color="auto"/>
            </w:tcBorders>
            <w:vAlign w:val="center"/>
          </w:tcPr>
          <w:p w14:paraId="5760D7F1" w14:textId="77777777" w:rsidR="00FA6A7B" w:rsidRPr="008E6E0D" w:rsidRDefault="00FA6A7B" w:rsidP="004019B7">
            <w:pPr>
              <w:jc w:val="center"/>
              <w:rPr>
                <w:color w:val="000000"/>
                <w:sz w:val="16"/>
                <w:szCs w:val="16"/>
                <w:lang w:eastAsia="es-ES"/>
              </w:rPr>
            </w:pPr>
            <w:r w:rsidRPr="008E6E0D">
              <w:rPr>
                <w:color w:val="000000"/>
                <w:sz w:val="16"/>
                <w:szCs w:val="16"/>
                <w:lang w:eastAsia="es-ES"/>
              </w:rPr>
              <w:t>Tumour Necrosis Factor</w:t>
            </w:r>
          </w:p>
        </w:tc>
        <w:tc>
          <w:tcPr>
            <w:tcW w:w="2424" w:type="dxa"/>
            <w:tcBorders>
              <w:top w:val="single" w:sz="4" w:space="0" w:color="auto"/>
            </w:tcBorders>
            <w:vAlign w:val="center"/>
          </w:tcPr>
          <w:p w14:paraId="39490BA6"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chr6:31,543,344-31,546,113</w:t>
            </w:r>
          </w:p>
        </w:tc>
        <w:tc>
          <w:tcPr>
            <w:tcW w:w="2388" w:type="dxa"/>
            <w:tcBorders>
              <w:top w:val="single" w:sz="4" w:space="0" w:color="auto"/>
            </w:tcBorders>
            <w:vAlign w:val="center"/>
          </w:tcPr>
          <w:p w14:paraId="4250A3A4"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chr6:31,043,344-32046113</w:t>
            </w:r>
          </w:p>
        </w:tc>
      </w:tr>
      <w:tr w:rsidR="00FA6A7B" w:rsidRPr="008E6E0D" w14:paraId="0CA1CB62" w14:textId="77777777" w:rsidTr="006249CF">
        <w:trPr>
          <w:trHeight w:val="114"/>
          <w:jc w:val="center"/>
        </w:trPr>
        <w:tc>
          <w:tcPr>
            <w:tcW w:w="1107" w:type="dxa"/>
            <w:vAlign w:val="center"/>
          </w:tcPr>
          <w:p w14:paraId="3A90854E" w14:textId="77777777" w:rsidR="00FA6A7B" w:rsidRPr="008E6E0D" w:rsidRDefault="00FA6A7B" w:rsidP="004019B7">
            <w:pPr>
              <w:rPr>
                <w:i/>
                <w:color w:val="000000"/>
                <w:sz w:val="16"/>
                <w:szCs w:val="16"/>
                <w:lang w:eastAsia="es-ES"/>
              </w:rPr>
            </w:pPr>
            <w:r w:rsidRPr="008E6E0D">
              <w:rPr>
                <w:i/>
                <w:color w:val="000000"/>
                <w:sz w:val="16"/>
                <w:szCs w:val="16"/>
                <w:lang w:eastAsia="es-ES"/>
              </w:rPr>
              <w:t>IL6</w:t>
            </w:r>
          </w:p>
        </w:tc>
        <w:tc>
          <w:tcPr>
            <w:tcW w:w="1359" w:type="dxa"/>
            <w:vAlign w:val="center"/>
          </w:tcPr>
          <w:p w14:paraId="5556D721" w14:textId="77777777" w:rsidR="00FA6A7B" w:rsidRPr="008E6E0D" w:rsidRDefault="00FA6A7B" w:rsidP="004019B7">
            <w:pPr>
              <w:jc w:val="center"/>
              <w:rPr>
                <w:color w:val="000000"/>
                <w:sz w:val="16"/>
                <w:szCs w:val="16"/>
                <w:lang w:eastAsia="es-ES"/>
              </w:rPr>
            </w:pPr>
            <w:r w:rsidRPr="008E6E0D">
              <w:rPr>
                <w:color w:val="000000"/>
                <w:sz w:val="16"/>
                <w:szCs w:val="16"/>
                <w:lang w:eastAsia="es-ES"/>
              </w:rPr>
              <w:t>65</w:t>
            </w:r>
          </w:p>
        </w:tc>
        <w:tc>
          <w:tcPr>
            <w:tcW w:w="2026" w:type="dxa"/>
            <w:vAlign w:val="center"/>
          </w:tcPr>
          <w:p w14:paraId="7F87E600" w14:textId="77777777" w:rsidR="00FA6A7B" w:rsidRPr="008E6E0D" w:rsidRDefault="00FA6A7B" w:rsidP="004019B7">
            <w:pPr>
              <w:jc w:val="center"/>
              <w:rPr>
                <w:color w:val="000000"/>
                <w:sz w:val="16"/>
                <w:szCs w:val="16"/>
                <w:lang w:eastAsia="es-ES"/>
              </w:rPr>
            </w:pPr>
            <w:r w:rsidRPr="008E6E0D">
              <w:rPr>
                <w:color w:val="000000"/>
                <w:sz w:val="16"/>
                <w:szCs w:val="16"/>
                <w:lang w:eastAsia="es-ES"/>
              </w:rPr>
              <w:t>Interleukin 6</w:t>
            </w:r>
          </w:p>
        </w:tc>
        <w:tc>
          <w:tcPr>
            <w:tcW w:w="2424" w:type="dxa"/>
            <w:vAlign w:val="center"/>
          </w:tcPr>
          <w:p w14:paraId="1B8F861D"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chr7:22,765,503-22,771,621</w:t>
            </w:r>
          </w:p>
        </w:tc>
        <w:tc>
          <w:tcPr>
            <w:tcW w:w="2388" w:type="dxa"/>
            <w:vAlign w:val="center"/>
          </w:tcPr>
          <w:p w14:paraId="6C18C09A"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chr7:22,265,503-23,271,621</w:t>
            </w:r>
          </w:p>
        </w:tc>
      </w:tr>
      <w:tr w:rsidR="00FA6A7B" w:rsidRPr="008E6E0D" w14:paraId="340E5F33" w14:textId="77777777" w:rsidTr="006249CF">
        <w:trPr>
          <w:trHeight w:val="109"/>
          <w:jc w:val="center"/>
        </w:trPr>
        <w:tc>
          <w:tcPr>
            <w:tcW w:w="1107" w:type="dxa"/>
            <w:vAlign w:val="center"/>
          </w:tcPr>
          <w:p w14:paraId="360436C2" w14:textId="77777777" w:rsidR="00FA6A7B" w:rsidRPr="008E6E0D" w:rsidRDefault="00FA6A7B" w:rsidP="004019B7">
            <w:pPr>
              <w:rPr>
                <w:i/>
                <w:color w:val="000000"/>
                <w:sz w:val="16"/>
                <w:szCs w:val="16"/>
                <w:lang w:eastAsia="es-ES"/>
              </w:rPr>
            </w:pPr>
            <w:r w:rsidRPr="008E6E0D">
              <w:rPr>
                <w:i/>
                <w:color w:val="000000"/>
                <w:sz w:val="16"/>
                <w:szCs w:val="16"/>
                <w:lang w:eastAsia="es-ES"/>
              </w:rPr>
              <w:t>IL10</w:t>
            </w:r>
          </w:p>
        </w:tc>
        <w:tc>
          <w:tcPr>
            <w:tcW w:w="1359" w:type="dxa"/>
            <w:vAlign w:val="center"/>
          </w:tcPr>
          <w:p w14:paraId="5AB5873E" w14:textId="77777777" w:rsidR="00FA6A7B" w:rsidRPr="008E6E0D" w:rsidRDefault="00FA6A7B" w:rsidP="004019B7">
            <w:pPr>
              <w:jc w:val="center"/>
              <w:rPr>
                <w:color w:val="000000"/>
                <w:sz w:val="16"/>
                <w:szCs w:val="16"/>
                <w:lang w:eastAsia="es-ES"/>
              </w:rPr>
            </w:pPr>
            <w:r w:rsidRPr="008E6E0D">
              <w:rPr>
                <w:color w:val="000000"/>
                <w:sz w:val="16"/>
                <w:szCs w:val="16"/>
                <w:lang w:eastAsia="es-ES"/>
              </w:rPr>
              <w:t>60</w:t>
            </w:r>
          </w:p>
        </w:tc>
        <w:tc>
          <w:tcPr>
            <w:tcW w:w="2026" w:type="dxa"/>
            <w:vAlign w:val="center"/>
          </w:tcPr>
          <w:p w14:paraId="01123C67" w14:textId="77777777" w:rsidR="00FA6A7B" w:rsidRPr="008E6E0D" w:rsidRDefault="00FA6A7B" w:rsidP="004019B7">
            <w:pPr>
              <w:jc w:val="center"/>
              <w:rPr>
                <w:color w:val="000000"/>
                <w:sz w:val="16"/>
                <w:szCs w:val="16"/>
                <w:lang w:eastAsia="es-ES"/>
              </w:rPr>
            </w:pPr>
            <w:r w:rsidRPr="008E6E0D">
              <w:rPr>
                <w:color w:val="000000"/>
                <w:sz w:val="16"/>
                <w:szCs w:val="16"/>
                <w:lang w:eastAsia="es-ES"/>
              </w:rPr>
              <w:t>Interleukin 10</w:t>
            </w:r>
          </w:p>
        </w:tc>
        <w:tc>
          <w:tcPr>
            <w:tcW w:w="2424" w:type="dxa"/>
            <w:vAlign w:val="center"/>
          </w:tcPr>
          <w:p w14:paraId="33A3FDF5"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chr1:206,940,947-206,945,839</w:t>
            </w:r>
          </w:p>
        </w:tc>
        <w:tc>
          <w:tcPr>
            <w:tcW w:w="2388" w:type="dxa"/>
            <w:vAlign w:val="center"/>
          </w:tcPr>
          <w:p w14:paraId="35525ED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chr1:206,440,947-210,445,839</w:t>
            </w:r>
          </w:p>
        </w:tc>
      </w:tr>
      <w:tr w:rsidR="00FA6A7B" w:rsidRPr="008E6E0D" w14:paraId="27571477" w14:textId="77777777" w:rsidTr="006249CF">
        <w:trPr>
          <w:trHeight w:val="63"/>
          <w:jc w:val="center"/>
        </w:trPr>
        <w:tc>
          <w:tcPr>
            <w:tcW w:w="1107" w:type="dxa"/>
            <w:vAlign w:val="center"/>
          </w:tcPr>
          <w:p w14:paraId="266702FB" w14:textId="77777777" w:rsidR="00FA6A7B" w:rsidRPr="008E6E0D" w:rsidRDefault="00FA6A7B" w:rsidP="004019B7">
            <w:pPr>
              <w:rPr>
                <w:i/>
                <w:color w:val="000000"/>
                <w:sz w:val="16"/>
                <w:szCs w:val="16"/>
                <w:lang w:eastAsia="es-ES"/>
              </w:rPr>
            </w:pPr>
            <w:r w:rsidRPr="008E6E0D">
              <w:rPr>
                <w:i/>
                <w:color w:val="000000"/>
                <w:sz w:val="16"/>
                <w:szCs w:val="16"/>
                <w:lang w:eastAsia="es-ES"/>
              </w:rPr>
              <w:t>TLR4</w:t>
            </w:r>
          </w:p>
        </w:tc>
        <w:tc>
          <w:tcPr>
            <w:tcW w:w="1359" w:type="dxa"/>
            <w:vAlign w:val="center"/>
          </w:tcPr>
          <w:p w14:paraId="58EA120A" w14:textId="77777777" w:rsidR="00FA6A7B" w:rsidRPr="008E6E0D" w:rsidRDefault="00FA6A7B" w:rsidP="004019B7">
            <w:pPr>
              <w:jc w:val="center"/>
              <w:rPr>
                <w:color w:val="000000"/>
                <w:sz w:val="16"/>
                <w:szCs w:val="16"/>
                <w:lang w:eastAsia="es-ES"/>
              </w:rPr>
            </w:pPr>
            <w:r w:rsidRPr="008E6E0D">
              <w:rPr>
                <w:color w:val="000000"/>
                <w:sz w:val="16"/>
                <w:szCs w:val="16"/>
                <w:lang w:eastAsia="es-ES"/>
              </w:rPr>
              <w:t>53</w:t>
            </w:r>
          </w:p>
        </w:tc>
        <w:tc>
          <w:tcPr>
            <w:tcW w:w="2026" w:type="dxa"/>
            <w:vAlign w:val="center"/>
          </w:tcPr>
          <w:p w14:paraId="26C2EA54" w14:textId="77777777" w:rsidR="00FA6A7B" w:rsidRPr="008E6E0D" w:rsidRDefault="00FA6A7B" w:rsidP="004019B7">
            <w:pPr>
              <w:jc w:val="center"/>
              <w:rPr>
                <w:color w:val="000000"/>
                <w:sz w:val="16"/>
                <w:szCs w:val="16"/>
                <w:lang w:eastAsia="es-ES"/>
              </w:rPr>
            </w:pPr>
            <w:r w:rsidRPr="008E6E0D">
              <w:rPr>
                <w:color w:val="000000"/>
                <w:sz w:val="16"/>
                <w:szCs w:val="16"/>
                <w:lang w:eastAsia="es-ES"/>
              </w:rPr>
              <w:t>Toll Like Receptor 4</w:t>
            </w:r>
          </w:p>
        </w:tc>
        <w:tc>
          <w:tcPr>
            <w:tcW w:w="2424" w:type="dxa"/>
            <w:vAlign w:val="center"/>
          </w:tcPr>
          <w:p w14:paraId="1EA46ED6"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chr9:120,466,460-120,479,768</w:t>
            </w:r>
          </w:p>
        </w:tc>
        <w:tc>
          <w:tcPr>
            <w:tcW w:w="2388" w:type="dxa"/>
            <w:vAlign w:val="center"/>
          </w:tcPr>
          <w:p w14:paraId="253CC4D0"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chr9:119,966,460-120,979,768</w:t>
            </w:r>
          </w:p>
        </w:tc>
      </w:tr>
      <w:tr w:rsidR="00FA6A7B" w:rsidRPr="008E6E0D" w14:paraId="41884728" w14:textId="77777777" w:rsidTr="006249CF">
        <w:trPr>
          <w:trHeight w:val="109"/>
          <w:jc w:val="center"/>
        </w:trPr>
        <w:tc>
          <w:tcPr>
            <w:tcW w:w="1107" w:type="dxa"/>
            <w:vAlign w:val="center"/>
          </w:tcPr>
          <w:p w14:paraId="52B8D5D9" w14:textId="77777777" w:rsidR="00FA6A7B" w:rsidRPr="008E6E0D" w:rsidRDefault="00FA6A7B" w:rsidP="004019B7">
            <w:pPr>
              <w:rPr>
                <w:i/>
                <w:color w:val="000000"/>
                <w:sz w:val="16"/>
                <w:szCs w:val="16"/>
                <w:lang w:eastAsia="es-ES"/>
              </w:rPr>
            </w:pPr>
            <w:r w:rsidRPr="008E6E0D">
              <w:rPr>
                <w:i/>
                <w:color w:val="000000"/>
                <w:sz w:val="16"/>
                <w:szCs w:val="16"/>
                <w:lang w:eastAsia="es-ES"/>
              </w:rPr>
              <w:t>CD14</w:t>
            </w:r>
          </w:p>
        </w:tc>
        <w:tc>
          <w:tcPr>
            <w:tcW w:w="1359" w:type="dxa"/>
            <w:vAlign w:val="center"/>
          </w:tcPr>
          <w:p w14:paraId="17F0BDA7" w14:textId="77777777" w:rsidR="00FA6A7B" w:rsidRPr="008E6E0D" w:rsidRDefault="00FA6A7B" w:rsidP="004019B7">
            <w:pPr>
              <w:jc w:val="center"/>
              <w:rPr>
                <w:color w:val="000000"/>
                <w:sz w:val="16"/>
                <w:szCs w:val="16"/>
                <w:lang w:eastAsia="es-ES"/>
              </w:rPr>
            </w:pPr>
            <w:r w:rsidRPr="008E6E0D">
              <w:rPr>
                <w:color w:val="000000"/>
                <w:sz w:val="16"/>
                <w:szCs w:val="16"/>
                <w:lang w:eastAsia="es-ES"/>
              </w:rPr>
              <w:t>42</w:t>
            </w:r>
          </w:p>
        </w:tc>
        <w:tc>
          <w:tcPr>
            <w:tcW w:w="2026" w:type="dxa"/>
            <w:vAlign w:val="center"/>
          </w:tcPr>
          <w:p w14:paraId="09A85EA7" w14:textId="77777777" w:rsidR="00FA6A7B" w:rsidRPr="008E6E0D" w:rsidRDefault="00FA6A7B" w:rsidP="004019B7">
            <w:pPr>
              <w:jc w:val="center"/>
              <w:rPr>
                <w:color w:val="000000"/>
                <w:sz w:val="16"/>
                <w:szCs w:val="16"/>
                <w:lang w:eastAsia="es-ES"/>
              </w:rPr>
            </w:pPr>
            <w:r w:rsidRPr="008E6E0D">
              <w:rPr>
                <w:color w:val="000000"/>
                <w:sz w:val="16"/>
                <w:szCs w:val="16"/>
                <w:lang w:eastAsia="es-ES"/>
              </w:rPr>
              <w:t>Monocyte Differentiation Antigen CD14</w:t>
            </w:r>
          </w:p>
        </w:tc>
        <w:tc>
          <w:tcPr>
            <w:tcW w:w="2424" w:type="dxa"/>
            <w:vAlign w:val="center"/>
          </w:tcPr>
          <w:p w14:paraId="1B43DBE0"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chr5:140,011,313-140,013,286</w:t>
            </w:r>
          </w:p>
        </w:tc>
        <w:tc>
          <w:tcPr>
            <w:tcW w:w="2388" w:type="dxa"/>
            <w:vAlign w:val="center"/>
          </w:tcPr>
          <w:p w14:paraId="1556E47D"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chr5:139,511,313-140,513,286</w:t>
            </w:r>
          </w:p>
        </w:tc>
      </w:tr>
      <w:tr w:rsidR="00FA6A7B" w:rsidRPr="008E6E0D" w14:paraId="5407C938" w14:textId="77777777" w:rsidTr="006249CF">
        <w:trPr>
          <w:trHeight w:val="45"/>
          <w:jc w:val="center"/>
        </w:trPr>
        <w:tc>
          <w:tcPr>
            <w:tcW w:w="1107" w:type="dxa"/>
            <w:vAlign w:val="center"/>
          </w:tcPr>
          <w:p w14:paraId="241EA8C4" w14:textId="77777777" w:rsidR="00FA6A7B" w:rsidRPr="008E6E0D" w:rsidRDefault="00FA6A7B" w:rsidP="004019B7">
            <w:pPr>
              <w:rPr>
                <w:i/>
                <w:color w:val="000000"/>
                <w:sz w:val="16"/>
                <w:szCs w:val="16"/>
                <w:lang w:eastAsia="es-ES"/>
              </w:rPr>
            </w:pPr>
            <w:r w:rsidRPr="008E6E0D">
              <w:rPr>
                <w:i/>
                <w:color w:val="000000"/>
                <w:sz w:val="16"/>
                <w:szCs w:val="16"/>
                <w:lang w:eastAsia="es-ES"/>
              </w:rPr>
              <w:t>MBL2</w:t>
            </w:r>
          </w:p>
        </w:tc>
        <w:tc>
          <w:tcPr>
            <w:tcW w:w="1359" w:type="dxa"/>
            <w:vAlign w:val="center"/>
          </w:tcPr>
          <w:p w14:paraId="473D3BD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41</w:t>
            </w:r>
          </w:p>
        </w:tc>
        <w:tc>
          <w:tcPr>
            <w:tcW w:w="2026" w:type="dxa"/>
            <w:vAlign w:val="center"/>
          </w:tcPr>
          <w:p w14:paraId="132EBD98" w14:textId="77777777" w:rsidR="00FA6A7B" w:rsidRPr="008E6E0D" w:rsidRDefault="00FA6A7B" w:rsidP="004019B7">
            <w:pPr>
              <w:jc w:val="center"/>
              <w:rPr>
                <w:color w:val="000000"/>
                <w:sz w:val="16"/>
                <w:szCs w:val="16"/>
                <w:lang w:eastAsia="es-ES"/>
              </w:rPr>
            </w:pPr>
            <w:r w:rsidRPr="008E6E0D">
              <w:rPr>
                <w:color w:val="000000"/>
                <w:sz w:val="16"/>
                <w:szCs w:val="16"/>
                <w:lang w:eastAsia="es-ES"/>
              </w:rPr>
              <w:t>Mannose Binding Lectin 2</w:t>
            </w:r>
          </w:p>
        </w:tc>
        <w:tc>
          <w:tcPr>
            <w:tcW w:w="2424" w:type="dxa"/>
            <w:vAlign w:val="center"/>
          </w:tcPr>
          <w:p w14:paraId="032C330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chr10:54,525,140-54,531,460</w:t>
            </w:r>
          </w:p>
        </w:tc>
        <w:tc>
          <w:tcPr>
            <w:tcW w:w="2388" w:type="dxa"/>
            <w:vAlign w:val="center"/>
          </w:tcPr>
          <w:p w14:paraId="51AF7AD3"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chr10:54,025,140-55,031,460</w:t>
            </w:r>
          </w:p>
        </w:tc>
      </w:tr>
      <w:tr w:rsidR="00FA6A7B" w:rsidRPr="008E6E0D" w14:paraId="76D3A833" w14:textId="77777777" w:rsidTr="006249CF">
        <w:trPr>
          <w:trHeight w:val="45"/>
          <w:jc w:val="center"/>
        </w:trPr>
        <w:tc>
          <w:tcPr>
            <w:tcW w:w="1107" w:type="dxa"/>
            <w:vAlign w:val="center"/>
          </w:tcPr>
          <w:p w14:paraId="49BF4EA6" w14:textId="77777777" w:rsidR="00FA6A7B" w:rsidRPr="008E6E0D" w:rsidRDefault="00FA6A7B" w:rsidP="004019B7">
            <w:pPr>
              <w:rPr>
                <w:i/>
                <w:color w:val="000000"/>
                <w:sz w:val="16"/>
                <w:szCs w:val="16"/>
                <w:lang w:eastAsia="es-ES"/>
              </w:rPr>
            </w:pPr>
            <w:r w:rsidRPr="008E6E0D">
              <w:rPr>
                <w:i/>
                <w:color w:val="000000"/>
                <w:sz w:val="16"/>
                <w:szCs w:val="16"/>
                <w:lang w:eastAsia="es-ES"/>
              </w:rPr>
              <w:t>IL1B</w:t>
            </w:r>
          </w:p>
        </w:tc>
        <w:tc>
          <w:tcPr>
            <w:tcW w:w="1359" w:type="dxa"/>
            <w:vAlign w:val="center"/>
          </w:tcPr>
          <w:p w14:paraId="4B38FFF5" w14:textId="77777777" w:rsidR="00FA6A7B" w:rsidRPr="008E6E0D" w:rsidRDefault="00FA6A7B" w:rsidP="004019B7">
            <w:pPr>
              <w:jc w:val="center"/>
              <w:rPr>
                <w:color w:val="000000"/>
                <w:sz w:val="16"/>
                <w:szCs w:val="16"/>
                <w:lang w:eastAsia="es-ES"/>
              </w:rPr>
            </w:pPr>
            <w:r w:rsidRPr="008E6E0D">
              <w:rPr>
                <w:color w:val="000000"/>
                <w:sz w:val="16"/>
                <w:szCs w:val="16"/>
                <w:lang w:eastAsia="es-ES"/>
              </w:rPr>
              <w:t>40</w:t>
            </w:r>
          </w:p>
        </w:tc>
        <w:tc>
          <w:tcPr>
            <w:tcW w:w="2026" w:type="dxa"/>
            <w:vAlign w:val="center"/>
          </w:tcPr>
          <w:p w14:paraId="64C0490C" w14:textId="77777777" w:rsidR="00FA6A7B" w:rsidRPr="008E6E0D" w:rsidRDefault="00FA6A7B" w:rsidP="004019B7">
            <w:pPr>
              <w:jc w:val="center"/>
              <w:rPr>
                <w:color w:val="000000"/>
                <w:sz w:val="16"/>
                <w:szCs w:val="16"/>
                <w:lang w:eastAsia="es-ES"/>
              </w:rPr>
            </w:pPr>
            <w:r w:rsidRPr="008E6E0D">
              <w:rPr>
                <w:color w:val="000000"/>
                <w:sz w:val="16"/>
                <w:szCs w:val="16"/>
                <w:lang w:eastAsia="es-ES"/>
              </w:rPr>
              <w:t>Interleukin 1 Beta</w:t>
            </w:r>
          </w:p>
        </w:tc>
        <w:tc>
          <w:tcPr>
            <w:tcW w:w="2424" w:type="dxa"/>
            <w:vAlign w:val="center"/>
          </w:tcPr>
          <w:p w14:paraId="3FBF328B"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chr2:113,587,328-113,594,480</w:t>
            </w:r>
          </w:p>
        </w:tc>
        <w:tc>
          <w:tcPr>
            <w:tcW w:w="2388" w:type="dxa"/>
            <w:vAlign w:val="center"/>
          </w:tcPr>
          <w:p w14:paraId="2502C887"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chr2:113,087,328-114,094,480</w:t>
            </w:r>
          </w:p>
        </w:tc>
      </w:tr>
      <w:tr w:rsidR="00FA6A7B" w:rsidRPr="008E6E0D" w14:paraId="64449E6C" w14:textId="77777777" w:rsidTr="006249CF">
        <w:trPr>
          <w:trHeight w:val="52"/>
          <w:jc w:val="center"/>
        </w:trPr>
        <w:tc>
          <w:tcPr>
            <w:tcW w:w="1107" w:type="dxa"/>
            <w:vAlign w:val="center"/>
          </w:tcPr>
          <w:p w14:paraId="30E89F78" w14:textId="77777777" w:rsidR="00FA6A7B" w:rsidRPr="008E6E0D" w:rsidRDefault="00FA6A7B" w:rsidP="004019B7">
            <w:pPr>
              <w:rPr>
                <w:i/>
                <w:color w:val="000000"/>
                <w:sz w:val="16"/>
                <w:szCs w:val="16"/>
                <w:lang w:eastAsia="es-ES"/>
              </w:rPr>
            </w:pPr>
            <w:r w:rsidRPr="008E6E0D">
              <w:rPr>
                <w:i/>
                <w:color w:val="000000"/>
                <w:sz w:val="16"/>
                <w:szCs w:val="16"/>
                <w:lang w:eastAsia="es-ES"/>
              </w:rPr>
              <w:t>TLR2</w:t>
            </w:r>
          </w:p>
        </w:tc>
        <w:tc>
          <w:tcPr>
            <w:tcW w:w="1359" w:type="dxa"/>
            <w:vAlign w:val="center"/>
          </w:tcPr>
          <w:p w14:paraId="673A8AA5" w14:textId="77777777" w:rsidR="00FA6A7B" w:rsidRPr="008E6E0D" w:rsidRDefault="00FA6A7B" w:rsidP="004019B7">
            <w:pPr>
              <w:jc w:val="center"/>
              <w:rPr>
                <w:color w:val="000000"/>
                <w:sz w:val="16"/>
                <w:szCs w:val="16"/>
                <w:lang w:eastAsia="es-ES"/>
              </w:rPr>
            </w:pPr>
            <w:r w:rsidRPr="008E6E0D">
              <w:rPr>
                <w:color w:val="000000"/>
                <w:sz w:val="16"/>
                <w:szCs w:val="16"/>
                <w:lang w:eastAsia="es-ES"/>
              </w:rPr>
              <w:t>34</w:t>
            </w:r>
          </w:p>
        </w:tc>
        <w:tc>
          <w:tcPr>
            <w:tcW w:w="2026" w:type="dxa"/>
            <w:vAlign w:val="center"/>
          </w:tcPr>
          <w:p w14:paraId="4BE5C3CB" w14:textId="77777777" w:rsidR="00FA6A7B" w:rsidRPr="008E6E0D" w:rsidRDefault="00FA6A7B" w:rsidP="004019B7">
            <w:pPr>
              <w:jc w:val="center"/>
              <w:rPr>
                <w:color w:val="000000"/>
                <w:sz w:val="16"/>
                <w:szCs w:val="16"/>
                <w:lang w:eastAsia="es-ES"/>
              </w:rPr>
            </w:pPr>
            <w:r w:rsidRPr="008E6E0D">
              <w:rPr>
                <w:color w:val="000000"/>
                <w:sz w:val="16"/>
                <w:szCs w:val="16"/>
                <w:lang w:eastAsia="es-ES"/>
              </w:rPr>
              <w:t>Toll Like Receptor 2</w:t>
            </w:r>
          </w:p>
        </w:tc>
        <w:tc>
          <w:tcPr>
            <w:tcW w:w="2424" w:type="dxa"/>
            <w:vAlign w:val="center"/>
          </w:tcPr>
          <w:p w14:paraId="48951325"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chr4:154,605,441-154,627,243</w:t>
            </w:r>
          </w:p>
        </w:tc>
        <w:tc>
          <w:tcPr>
            <w:tcW w:w="2388" w:type="dxa"/>
            <w:vAlign w:val="center"/>
          </w:tcPr>
          <w:p w14:paraId="1A0C4876"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chr4:154,105,441-155,127,243</w:t>
            </w:r>
          </w:p>
        </w:tc>
      </w:tr>
      <w:tr w:rsidR="00FA6A7B" w:rsidRPr="008E6E0D" w14:paraId="0060141C" w14:textId="77777777" w:rsidTr="006249CF">
        <w:trPr>
          <w:trHeight w:val="45"/>
          <w:jc w:val="center"/>
        </w:trPr>
        <w:tc>
          <w:tcPr>
            <w:tcW w:w="1107" w:type="dxa"/>
            <w:vAlign w:val="center"/>
          </w:tcPr>
          <w:p w14:paraId="377E80FB" w14:textId="77777777" w:rsidR="00FA6A7B" w:rsidRPr="008E6E0D" w:rsidRDefault="00FA6A7B" w:rsidP="004019B7">
            <w:pPr>
              <w:rPr>
                <w:i/>
                <w:color w:val="000000"/>
                <w:sz w:val="16"/>
                <w:szCs w:val="16"/>
                <w:lang w:eastAsia="es-ES"/>
              </w:rPr>
            </w:pPr>
            <w:r w:rsidRPr="008E6E0D">
              <w:rPr>
                <w:i/>
                <w:color w:val="000000"/>
                <w:sz w:val="16"/>
                <w:szCs w:val="16"/>
                <w:lang w:eastAsia="es-ES"/>
              </w:rPr>
              <w:t>LTA</w:t>
            </w:r>
          </w:p>
        </w:tc>
        <w:tc>
          <w:tcPr>
            <w:tcW w:w="1359" w:type="dxa"/>
            <w:vAlign w:val="center"/>
          </w:tcPr>
          <w:p w14:paraId="0B26FEAB" w14:textId="77777777" w:rsidR="00FA6A7B" w:rsidRPr="008E6E0D" w:rsidRDefault="00FA6A7B" w:rsidP="004019B7">
            <w:pPr>
              <w:jc w:val="center"/>
              <w:rPr>
                <w:color w:val="000000"/>
                <w:sz w:val="16"/>
                <w:szCs w:val="16"/>
                <w:lang w:eastAsia="es-ES"/>
              </w:rPr>
            </w:pPr>
            <w:r w:rsidRPr="008E6E0D">
              <w:rPr>
                <w:color w:val="000000"/>
                <w:sz w:val="16"/>
                <w:szCs w:val="16"/>
                <w:lang w:eastAsia="es-ES"/>
              </w:rPr>
              <w:t>33</w:t>
            </w:r>
          </w:p>
        </w:tc>
        <w:tc>
          <w:tcPr>
            <w:tcW w:w="2026" w:type="dxa"/>
            <w:vAlign w:val="center"/>
          </w:tcPr>
          <w:p w14:paraId="7204A5A8" w14:textId="77777777" w:rsidR="00FA6A7B" w:rsidRPr="008E6E0D" w:rsidRDefault="00FA6A7B" w:rsidP="004019B7">
            <w:pPr>
              <w:jc w:val="center"/>
              <w:rPr>
                <w:color w:val="000000"/>
                <w:sz w:val="16"/>
                <w:szCs w:val="16"/>
                <w:lang w:eastAsia="es-ES"/>
              </w:rPr>
            </w:pPr>
            <w:r w:rsidRPr="008E6E0D">
              <w:rPr>
                <w:color w:val="000000"/>
                <w:sz w:val="16"/>
                <w:szCs w:val="16"/>
                <w:lang w:eastAsia="es-ES"/>
              </w:rPr>
              <w:t>Lymphotoxin Alpha</w:t>
            </w:r>
          </w:p>
        </w:tc>
        <w:tc>
          <w:tcPr>
            <w:tcW w:w="2424" w:type="dxa"/>
            <w:vAlign w:val="center"/>
          </w:tcPr>
          <w:p w14:paraId="37541F6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chr6:31,539,831-31,542,101</w:t>
            </w:r>
          </w:p>
        </w:tc>
        <w:tc>
          <w:tcPr>
            <w:tcW w:w="2388" w:type="dxa"/>
            <w:vAlign w:val="center"/>
          </w:tcPr>
          <w:p w14:paraId="3146B37A"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chr6:31,039,831-32,042,101</w:t>
            </w:r>
          </w:p>
        </w:tc>
      </w:tr>
      <w:tr w:rsidR="00FA6A7B" w:rsidRPr="008E6E0D" w14:paraId="2420616A" w14:textId="77777777" w:rsidTr="006249CF">
        <w:trPr>
          <w:trHeight w:val="45"/>
          <w:jc w:val="center"/>
        </w:trPr>
        <w:tc>
          <w:tcPr>
            <w:tcW w:w="1107" w:type="dxa"/>
            <w:vAlign w:val="center"/>
          </w:tcPr>
          <w:p w14:paraId="00F01FE9" w14:textId="77777777" w:rsidR="00FA6A7B" w:rsidRPr="008E6E0D" w:rsidRDefault="00FA6A7B" w:rsidP="004019B7">
            <w:pPr>
              <w:rPr>
                <w:i/>
                <w:color w:val="000000"/>
                <w:sz w:val="16"/>
                <w:szCs w:val="16"/>
                <w:lang w:eastAsia="es-ES"/>
              </w:rPr>
            </w:pPr>
            <w:r w:rsidRPr="008E6E0D">
              <w:rPr>
                <w:i/>
                <w:color w:val="000000"/>
                <w:sz w:val="16"/>
                <w:szCs w:val="16"/>
                <w:lang w:eastAsia="es-ES"/>
              </w:rPr>
              <w:t>SERPINE1</w:t>
            </w:r>
          </w:p>
        </w:tc>
        <w:tc>
          <w:tcPr>
            <w:tcW w:w="1359" w:type="dxa"/>
            <w:vAlign w:val="center"/>
          </w:tcPr>
          <w:p w14:paraId="1704E7CB" w14:textId="77777777" w:rsidR="00FA6A7B" w:rsidRPr="008E6E0D" w:rsidRDefault="00FA6A7B" w:rsidP="004019B7">
            <w:pPr>
              <w:jc w:val="center"/>
              <w:rPr>
                <w:color w:val="000000"/>
                <w:sz w:val="16"/>
                <w:szCs w:val="16"/>
                <w:lang w:eastAsia="es-ES"/>
              </w:rPr>
            </w:pPr>
            <w:r w:rsidRPr="008E6E0D">
              <w:rPr>
                <w:color w:val="000000"/>
                <w:sz w:val="16"/>
                <w:szCs w:val="16"/>
                <w:lang w:eastAsia="es-ES"/>
              </w:rPr>
              <w:t>20</w:t>
            </w:r>
          </w:p>
        </w:tc>
        <w:tc>
          <w:tcPr>
            <w:tcW w:w="2026" w:type="dxa"/>
            <w:vAlign w:val="center"/>
          </w:tcPr>
          <w:p w14:paraId="323D16CC" w14:textId="77777777" w:rsidR="00FA6A7B" w:rsidRPr="008E6E0D" w:rsidRDefault="00FA6A7B" w:rsidP="004019B7">
            <w:pPr>
              <w:jc w:val="center"/>
              <w:rPr>
                <w:color w:val="000000"/>
                <w:sz w:val="16"/>
                <w:szCs w:val="16"/>
                <w:lang w:eastAsia="es-ES"/>
              </w:rPr>
            </w:pPr>
            <w:r w:rsidRPr="008E6E0D">
              <w:rPr>
                <w:color w:val="000000"/>
                <w:sz w:val="16"/>
                <w:szCs w:val="16"/>
                <w:lang w:eastAsia="es-ES"/>
              </w:rPr>
              <w:t>Serpin Peptidase Inhibitor, Clade E (Nexin, Plasminogen Activator Inhibitor Type 1)</w:t>
            </w:r>
          </w:p>
        </w:tc>
        <w:tc>
          <w:tcPr>
            <w:tcW w:w="2424" w:type="dxa"/>
            <w:vAlign w:val="center"/>
          </w:tcPr>
          <w:p w14:paraId="6CA06A2C"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chr7:100,770,370-100,782,547</w:t>
            </w:r>
          </w:p>
        </w:tc>
        <w:tc>
          <w:tcPr>
            <w:tcW w:w="2388" w:type="dxa"/>
            <w:vAlign w:val="center"/>
          </w:tcPr>
          <w:p w14:paraId="6116008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chr7:100,270,370-101,282,547</w:t>
            </w:r>
          </w:p>
        </w:tc>
      </w:tr>
      <w:tr w:rsidR="00FA6A7B" w:rsidRPr="008E6E0D" w14:paraId="1EF8DFCC" w14:textId="77777777" w:rsidTr="006249CF">
        <w:trPr>
          <w:trHeight w:val="45"/>
          <w:jc w:val="center"/>
        </w:trPr>
        <w:tc>
          <w:tcPr>
            <w:tcW w:w="1107" w:type="dxa"/>
            <w:tcBorders>
              <w:bottom w:val="single" w:sz="4" w:space="0" w:color="auto"/>
            </w:tcBorders>
            <w:vAlign w:val="center"/>
          </w:tcPr>
          <w:p w14:paraId="0945F5D4" w14:textId="77777777" w:rsidR="00FA6A7B" w:rsidRPr="008E6E0D" w:rsidRDefault="00FA6A7B" w:rsidP="004019B7">
            <w:pPr>
              <w:rPr>
                <w:i/>
                <w:color w:val="000000"/>
                <w:sz w:val="16"/>
                <w:szCs w:val="16"/>
                <w:lang w:eastAsia="es-ES"/>
              </w:rPr>
            </w:pPr>
            <w:r w:rsidRPr="008E6E0D">
              <w:rPr>
                <w:i/>
                <w:color w:val="000000"/>
                <w:sz w:val="16"/>
                <w:szCs w:val="16"/>
                <w:lang w:eastAsia="es-ES"/>
              </w:rPr>
              <w:t>IL1RN</w:t>
            </w:r>
          </w:p>
        </w:tc>
        <w:tc>
          <w:tcPr>
            <w:tcW w:w="1359" w:type="dxa"/>
            <w:tcBorders>
              <w:bottom w:val="single" w:sz="4" w:space="0" w:color="auto"/>
            </w:tcBorders>
            <w:vAlign w:val="center"/>
          </w:tcPr>
          <w:p w14:paraId="5BF48315" w14:textId="77777777" w:rsidR="00FA6A7B" w:rsidRPr="008E6E0D" w:rsidRDefault="00FA6A7B" w:rsidP="004019B7">
            <w:pPr>
              <w:jc w:val="center"/>
              <w:rPr>
                <w:color w:val="000000"/>
                <w:sz w:val="16"/>
                <w:szCs w:val="16"/>
                <w:lang w:eastAsia="es-ES"/>
              </w:rPr>
            </w:pPr>
            <w:r w:rsidRPr="008E6E0D">
              <w:rPr>
                <w:color w:val="000000"/>
                <w:sz w:val="16"/>
                <w:szCs w:val="16"/>
                <w:lang w:eastAsia="es-ES"/>
              </w:rPr>
              <w:t>22</w:t>
            </w:r>
          </w:p>
        </w:tc>
        <w:tc>
          <w:tcPr>
            <w:tcW w:w="2026" w:type="dxa"/>
            <w:tcBorders>
              <w:bottom w:val="single" w:sz="4" w:space="0" w:color="auto"/>
            </w:tcBorders>
            <w:vAlign w:val="center"/>
          </w:tcPr>
          <w:p w14:paraId="4E5597E4" w14:textId="77777777" w:rsidR="00FA6A7B" w:rsidRPr="008E6E0D" w:rsidRDefault="00FA6A7B" w:rsidP="004019B7">
            <w:pPr>
              <w:jc w:val="center"/>
              <w:rPr>
                <w:color w:val="000000"/>
                <w:sz w:val="16"/>
                <w:szCs w:val="16"/>
                <w:lang w:eastAsia="es-ES"/>
              </w:rPr>
            </w:pPr>
            <w:r w:rsidRPr="008E6E0D">
              <w:rPr>
                <w:color w:val="000000"/>
                <w:sz w:val="16"/>
                <w:szCs w:val="16"/>
                <w:lang w:eastAsia="es-ES"/>
              </w:rPr>
              <w:t>Interleukin 1 Receptor Antagonist</w:t>
            </w:r>
          </w:p>
        </w:tc>
        <w:tc>
          <w:tcPr>
            <w:tcW w:w="2424" w:type="dxa"/>
            <w:tcBorders>
              <w:bottom w:val="single" w:sz="4" w:space="0" w:color="auto"/>
            </w:tcBorders>
            <w:vAlign w:val="center"/>
          </w:tcPr>
          <w:p w14:paraId="44B0E8CF"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chr2:113,864,791-113,891,593</w:t>
            </w:r>
          </w:p>
        </w:tc>
        <w:tc>
          <w:tcPr>
            <w:tcW w:w="2388" w:type="dxa"/>
            <w:tcBorders>
              <w:bottom w:val="single" w:sz="4" w:space="0" w:color="auto"/>
            </w:tcBorders>
            <w:vAlign w:val="center"/>
          </w:tcPr>
          <w:p w14:paraId="51E02504" w14:textId="77777777" w:rsidR="00FA6A7B" w:rsidRPr="008E6E0D" w:rsidRDefault="00FA6A7B" w:rsidP="004019B7">
            <w:pPr>
              <w:jc w:val="center"/>
              <w:rPr>
                <w:color w:val="000000"/>
                <w:sz w:val="16"/>
                <w:szCs w:val="16"/>
                <w:lang w:eastAsia="es-ES"/>
              </w:rPr>
            </w:pPr>
            <w:r w:rsidRPr="008E6E0D">
              <w:rPr>
                <w:color w:val="000000"/>
                <w:sz w:val="16"/>
                <w:szCs w:val="16"/>
                <w:lang w:eastAsia="es-ES"/>
              </w:rPr>
              <w:t>chr2:113,364,791-114,391,593</w:t>
            </w:r>
          </w:p>
        </w:tc>
      </w:tr>
    </w:tbl>
    <w:p w14:paraId="1ADEA352" w14:textId="6A2C2E0B" w:rsidR="00E33003" w:rsidRPr="008E6E0D" w:rsidRDefault="00E33003" w:rsidP="00315463">
      <w:pPr>
        <w:spacing w:after="160" w:line="259" w:lineRule="auto"/>
        <w:rPr>
          <w:b/>
          <w:sz w:val="20"/>
          <w:szCs w:val="20"/>
        </w:rPr>
      </w:pPr>
    </w:p>
    <w:p w14:paraId="6FBA96B8" w14:textId="30564B75" w:rsidR="00E33003" w:rsidRPr="008E6E0D" w:rsidRDefault="00E33003" w:rsidP="00315463">
      <w:pPr>
        <w:spacing w:after="160" w:line="259" w:lineRule="auto"/>
        <w:rPr>
          <w:b/>
          <w:sz w:val="20"/>
          <w:szCs w:val="20"/>
        </w:rPr>
      </w:pPr>
    </w:p>
    <w:p w14:paraId="79999F8B" w14:textId="77777777" w:rsidR="0017092A" w:rsidRPr="008E6E0D" w:rsidRDefault="0017092A" w:rsidP="00315463">
      <w:pPr>
        <w:spacing w:after="160" w:line="259" w:lineRule="auto"/>
        <w:rPr>
          <w:b/>
          <w:sz w:val="20"/>
          <w:szCs w:val="20"/>
        </w:rPr>
      </w:pPr>
    </w:p>
    <w:p w14:paraId="41E3ACB0" w14:textId="1EBF4FBE" w:rsidR="000F1566" w:rsidRPr="008E6E0D" w:rsidRDefault="000F1566" w:rsidP="00315463">
      <w:pPr>
        <w:spacing w:after="160" w:line="259" w:lineRule="auto"/>
        <w:rPr>
          <w:b/>
          <w:sz w:val="20"/>
          <w:szCs w:val="20"/>
        </w:rPr>
      </w:pPr>
    </w:p>
    <w:p w14:paraId="2C62F8FA" w14:textId="6BF65733" w:rsidR="00171F47" w:rsidRPr="008E6E0D" w:rsidRDefault="00171F47" w:rsidP="00315463">
      <w:pPr>
        <w:spacing w:after="160" w:line="259" w:lineRule="auto"/>
        <w:rPr>
          <w:b/>
          <w:sz w:val="20"/>
          <w:szCs w:val="20"/>
        </w:rPr>
      </w:pPr>
    </w:p>
    <w:p w14:paraId="647C2B33" w14:textId="0A921E1F" w:rsidR="00171F47" w:rsidRPr="008E6E0D" w:rsidRDefault="00171F47" w:rsidP="00315463">
      <w:pPr>
        <w:spacing w:after="160" w:line="259" w:lineRule="auto"/>
        <w:rPr>
          <w:b/>
          <w:sz w:val="20"/>
          <w:szCs w:val="20"/>
        </w:rPr>
      </w:pPr>
    </w:p>
    <w:p w14:paraId="229A2F87" w14:textId="101E2497" w:rsidR="00171F47" w:rsidRPr="008E6E0D" w:rsidRDefault="00171F47" w:rsidP="00315463">
      <w:pPr>
        <w:spacing w:after="160" w:line="259" w:lineRule="auto"/>
        <w:rPr>
          <w:b/>
          <w:sz w:val="20"/>
          <w:szCs w:val="20"/>
        </w:rPr>
      </w:pPr>
    </w:p>
    <w:p w14:paraId="6F6E6076" w14:textId="78778420" w:rsidR="00171F47" w:rsidRPr="008E6E0D" w:rsidRDefault="00171F47" w:rsidP="00315463">
      <w:pPr>
        <w:spacing w:after="160" w:line="259" w:lineRule="auto"/>
        <w:rPr>
          <w:b/>
          <w:sz w:val="20"/>
          <w:szCs w:val="20"/>
        </w:rPr>
      </w:pPr>
    </w:p>
    <w:p w14:paraId="1C14CA2C" w14:textId="649CA7EA" w:rsidR="00171F47" w:rsidRPr="008E6E0D" w:rsidRDefault="00171F47" w:rsidP="00315463">
      <w:pPr>
        <w:spacing w:after="160" w:line="259" w:lineRule="auto"/>
        <w:rPr>
          <w:b/>
          <w:sz w:val="20"/>
          <w:szCs w:val="20"/>
        </w:rPr>
      </w:pPr>
    </w:p>
    <w:p w14:paraId="68E2A31B" w14:textId="5998409D" w:rsidR="00171F47" w:rsidRPr="008E6E0D" w:rsidRDefault="00171F47" w:rsidP="00315463">
      <w:pPr>
        <w:spacing w:after="160" w:line="259" w:lineRule="auto"/>
        <w:rPr>
          <w:b/>
          <w:sz w:val="20"/>
          <w:szCs w:val="20"/>
        </w:rPr>
      </w:pPr>
    </w:p>
    <w:p w14:paraId="40F39FE6" w14:textId="5D4A24BA" w:rsidR="00171F47" w:rsidRPr="008E6E0D" w:rsidRDefault="00171F47" w:rsidP="00315463">
      <w:pPr>
        <w:spacing w:after="160" w:line="259" w:lineRule="auto"/>
        <w:rPr>
          <w:b/>
          <w:sz w:val="20"/>
          <w:szCs w:val="20"/>
        </w:rPr>
      </w:pPr>
    </w:p>
    <w:p w14:paraId="006FDC2D" w14:textId="5E5E4D56" w:rsidR="00171F47" w:rsidRPr="008E6E0D" w:rsidRDefault="00171F47" w:rsidP="00315463">
      <w:pPr>
        <w:spacing w:after="160" w:line="259" w:lineRule="auto"/>
        <w:rPr>
          <w:b/>
          <w:sz w:val="20"/>
          <w:szCs w:val="20"/>
        </w:rPr>
      </w:pPr>
    </w:p>
    <w:p w14:paraId="62C9D5C6" w14:textId="741B0A0F" w:rsidR="00171F47" w:rsidRPr="008E6E0D" w:rsidRDefault="00171F47" w:rsidP="00315463">
      <w:pPr>
        <w:spacing w:after="160" w:line="259" w:lineRule="auto"/>
        <w:rPr>
          <w:b/>
          <w:sz w:val="20"/>
          <w:szCs w:val="20"/>
        </w:rPr>
      </w:pPr>
    </w:p>
    <w:p w14:paraId="4C5DC853" w14:textId="44DB0120" w:rsidR="00171F47" w:rsidRPr="008E6E0D" w:rsidRDefault="00171F47" w:rsidP="00315463">
      <w:pPr>
        <w:spacing w:after="160" w:line="259" w:lineRule="auto"/>
        <w:rPr>
          <w:b/>
          <w:sz w:val="20"/>
          <w:szCs w:val="20"/>
        </w:rPr>
      </w:pPr>
    </w:p>
    <w:p w14:paraId="20C714D3" w14:textId="1076A138" w:rsidR="00171F47" w:rsidRPr="008E6E0D" w:rsidRDefault="00171F47" w:rsidP="00315463">
      <w:pPr>
        <w:spacing w:after="160" w:line="259" w:lineRule="auto"/>
        <w:rPr>
          <w:b/>
          <w:sz w:val="20"/>
          <w:szCs w:val="20"/>
        </w:rPr>
      </w:pPr>
    </w:p>
    <w:p w14:paraId="3213AE85" w14:textId="381B019A" w:rsidR="00171F47" w:rsidRPr="008E6E0D" w:rsidRDefault="00171F47" w:rsidP="00315463">
      <w:pPr>
        <w:spacing w:after="160" w:line="259" w:lineRule="auto"/>
        <w:rPr>
          <w:b/>
          <w:sz w:val="20"/>
          <w:szCs w:val="20"/>
        </w:rPr>
      </w:pPr>
    </w:p>
    <w:p w14:paraId="7F195040" w14:textId="0928A941" w:rsidR="00171F47" w:rsidRPr="008E6E0D" w:rsidRDefault="00171F47" w:rsidP="00315463">
      <w:pPr>
        <w:spacing w:after="160" w:line="259" w:lineRule="auto"/>
        <w:rPr>
          <w:b/>
          <w:sz w:val="20"/>
          <w:szCs w:val="20"/>
        </w:rPr>
      </w:pPr>
    </w:p>
    <w:p w14:paraId="77F1DBC8" w14:textId="14897834" w:rsidR="00171F47" w:rsidRPr="008E6E0D" w:rsidRDefault="00171F47" w:rsidP="00315463">
      <w:pPr>
        <w:spacing w:after="160" w:line="259" w:lineRule="auto"/>
        <w:rPr>
          <w:b/>
          <w:sz w:val="20"/>
          <w:szCs w:val="20"/>
        </w:rPr>
      </w:pPr>
    </w:p>
    <w:p w14:paraId="78D50FC5" w14:textId="20CAF134" w:rsidR="00171F47" w:rsidRPr="008E6E0D" w:rsidRDefault="00171F47" w:rsidP="00315463">
      <w:pPr>
        <w:spacing w:after="160" w:line="259" w:lineRule="auto"/>
        <w:rPr>
          <w:b/>
          <w:sz w:val="20"/>
          <w:szCs w:val="20"/>
        </w:rPr>
      </w:pPr>
    </w:p>
    <w:p w14:paraId="24941C74" w14:textId="61144955" w:rsidR="00171F47" w:rsidRPr="008E6E0D" w:rsidRDefault="00171F47" w:rsidP="00315463">
      <w:pPr>
        <w:spacing w:after="160" w:line="259" w:lineRule="auto"/>
        <w:rPr>
          <w:b/>
          <w:sz w:val="20"/>
          <w:szCs w:val="20"/>
        </w:rPr>
      </w:pPr>
    </w:p>
    <w:p w14:paraId="624E2EBF" w14:textId="6ECFADCE" w:rsidR="00171F47" w:rsidRPr="008E6E0D" w:rsidRDefault="00171F47" w:rsidP="00315463">
      <w:pPr>
        <w:spacing w:after="160" w:line="259" w:lineRule="auto"/>
        <w:rPr>
          <w:b/>
          <w:sz w:val="20"/>
          <w:szCs w:val="20"/>
        </w:rPr>
      </w:pPr>
    </w:p>
    <w:p w14:paraId="304BA17C" w14:textId="607EF061" w:rsidR="006249CF" w:rsidRPr="008E6E0D" w:rsidRDefault="006249CF" w:rsidP="00315463">
      <w:pPr>
        <w:spacing w:after="160" w:line="259" w:lineRule="auto"/>
        <w:rPr>
          <w:b/>
          <w:sz w:val="20"/>
          <w:szCs w:val="20"/>
        </w:rPr>
      </w:pPr>
    </w:p>
    <w:p w14:paraId="00D8AD62" w14:textId="13802A8C" w:rsidR="006249CF" w:rsidRPr="008E6E0D" w:rsidRDefault="006249CF" w:rsidP="00315463">
      <w:pPr>
        <w:spacing w:after="160" w:line="259" w:lineRule="auto"/>
        <w:rPr>
          <w:b/>
          <w:sz w:val="20"/>
          <w:szCs w:val="20"/>
        </w:rPr>
      </w:pPr>
    </w:p>
    <w:p w14:paraId="36ECFB34" w14:textId="3C6DBDAA" w:rsidR="006249CF" w:rsidRPr="008E6E0D" w:rsidRDefault="006249CF" w:rsidP="00315463">
      <w:pPr>
        <w:spacing w:after="160" w:line="259" w:lineRule="auto"/>
        <w:rPr>
          <w:b/>
          <w:sz w:val="20"/>
          <w:szCs w:val="20"/>
        </w:rPr>
      </w:pPr>
    </w:p>
    <w:p w14:paraId="5911F4BA" w14:textId="77777777" w:rsidR="006249CF" w:rsidRPr="008E6E0D" w:rsidRDefault="006249CF" w:rsidP="00315463">
      <w:pPr>
        <w:spacing w:after="160" w:line="259" w:lineRule="auto"/>
        <w:rPr>
          <w:b/>
          <w:sz w:val="20"/>
          <w:szCs w:val="20"/>
        </w:rPr>
      </w:pPr>
    </w:p>
    <w:tbl>
      <w:tblPr>
        <w:tblW w:w="8312" w:type="dxa"/>
        <w:jc w:val="center"/>
        <w:tblLook w:val="04A0" w:firstRow="1" w:lastRow="0" w:firstColumn="1" w:lastColumn="0" w:noHBand="0" w:noVBand="1"/>
      </w:tblPr>
      <w:tblGrid>
        <w:gridCol w:w="2018"/>
        <w:gridCol w:w="1268"/>
        <w:gridCol w:w="975"/>
        <w:gridCol w:w="968"/>
        <w:gridCol w:w="1066"/>
        <w:gridCol w:w="1119"/>
        <w:gridCol w:w="898"/>
      </w:tblGrid>
      <w:tr w:rsidR="00260138" w:rsidRPr="008E6E0D" w14:paraId="3E5E8189" w14:textId="77777777" w:rsidTr="006249CF">
        <w:trPr>
          <w:trHeight w:val="212"/>
          <w:jc w:val="center"/>
        </w:trPr>
        <w:tc>
          <w:tcPr>
            <w:tcW w:w="8312" w:type="dxa"/>
            <w:gridSpan w:val="7"/>
            <w:tcBorders>
              <w:top w:val="single" w:sz="4" w:space="0" w:color="auto"/>
              <w:bottom w:val="single" w:sz="4" w:space="0" w:color="auto"/>
            </w:tcBorders>
            <w:shd w:val="clear" w:color="auto" w:fill="auto"/>
            <w:noWrap/>
            <w:vAlign w:val="center"/>
          </w:tcPr>
          <w:p w14:paraId="69C825C9" w14:textId="2711476A" w:rsidR="00260138" w:rsidRPr="008E6E0D" w:rsidRDefault="009C3BFC" w:rsidP="00260138">
            <w:pPr>
              <w:rPr>
                <w:color w:val="000000"/>
                <w:sz w:val="16"/>
                <w:szCs w:val="16"/>
                <w:vertAlign w:val="superscript"/>
              </w:rPr>
            </w:pPr>
            <w:r w:rsidRPr="008E6E0D">
              <w:rPr>
                <w:b/>
                <w:color w:val="000000"/>
                <w:sz w:val="16"/>
                <w:szCs w:val="16"/>
              </w:rPr>
              <w:lastRenderedPageBreak/>
              <w:t>Table S3. Demographic and clinical features of GEN-SEP patients of the first stage GWAS of 28-day survival.</w:t>
            </w:r>
          </w:p>
        </w:tc>
      </w:tr>
      <w:tr w:rsidR="00260138" w:rsidRPr="008E6E0D" w14:paraId="1D7AD198" w14:textId="77777777" w:rsidTr="006249CF">
        <w:trPr>
          <w:trHeight w:val="212"/>
          <w:jc w:val="center"/>
        </w:trPr>
        <w:tc>
          <w:tcPr>
            <w:tcW w:w="2018" w:type="dxa"/>
            <w:tcBorders>
              <w:top w:val="single" w:sz="4" w:space="0" w:color="auto"/>
              <w:bottom w:val="single" w:sz="4" w:space="0" w:color="auto"/>
            </w:tcBorders>
            <w:shd w:val="clear" w:color="auto" w:fill="auto"/>
            <w:noWrap/>
            <w:vAlign w:val="center"/>
            <w:hideMark/>
          </w:tcPr>
          <w:p w14:paraId="00C56893" w14:textId="77777777" w:rsidR="00260138" w:rsidRPr="008E6E0D" w:rsidRDefault="00260138" w:rsidP="00260138">
            <w:pPr>
              <w:rPr>
                <w:color w:val="000000"/>
                <w:sz w:val="16"/>
                <w:szCs w:val="16"/>
              </w:rPr>
            </w:pPr>
            <w:r w:rsidRPr="008E6E0D">
              <w:rPr>
                <w:color w:val="000000"/>
                <w:sz w:val="16"/>
                <w:szCs w:val="16"/>
              </w:rPr>
              <w:t> </w:t>
            </w:r>
          </w:p>
        </w:tc>
        <w:tc>
          <w:tcPr>
            <w:tcW w:w="3211" w:type="dxa"/>
            <w:gridSpan w:val="3"/>
            <w:tcBorders>
              <w:top w:val="single" w:sz="4" w:space="0" w:color="auto"/>
              <w:bottom w:val="single" w:sz="4" w:space="0" w:color="auto"/>
            </w:tcBorders>
            <w:shd w:val="clear" w:color="auto" w:fill="auto"/>
            <w:noWrap/>
            <w:vAlign w:val="center"/>
            <w:hideMark/>
          </w:tcPr>
          <w:p w14:paraId="304990E4" w14:textId="77777777" w:rsidR="00260138" w:rsidRPr="008E6E0D" w:rsidRDefault="00260138" w:rsidP="00260138">
            <w:pPr>
              <w:jc w:val="center"/>
              <w:rPr>
                <w:color w:val="000000"/>
                <w:sz w:val="16"/>
                <w:szCs w:val="16"/>
              </w:rPr>
            </w:pPr>
            <w:r w:rsidRPr="008E6E0D">
              <w:rPr>
                <w:color w:val="000000"/>
                <w:sz w:val="16"/>
                <w:szCs w:val="16"/>
              </w:rPr>
              <w:t>1st GEN-SEP period</w:t>
            </w:r>
          </w:p>
        </w:tc>
        <w:tc>
          <w:tcPr>
            <w:tcW w:w="3082" w:type="dxa"/>
            <w:gridSpan w:val="3"/>
            <w:tcBorders>
              <w:top w:val="single" w:sz="4" w:space="0" w:color="auto"/>
              <w:bottom w:val="single" w:sz="4" w:space="0" w:color="auto"/>
            </w:tcBorders>
            <w:shd w:val="clear" w:color="auto" w:fill="auto"/>
            <w:noWrap/>
            <w:vAlign w:val="center"/>
            <w:hideMark/>
          </w:tcPr>
          <w:p w14:paraId="11484B3B" w14:textId="65B85E56" w:rsidR="00260138" w:rsidRPr="008E6E0D" w:rsidRDefault="00E62B1F" w:rsidP="00260138">
            <w:pPr>
              <w:jc w:val="center"/>
              <w:rPr>
                <w:color w:val="000000"/>
                <w:sz w:val="16"/>
                <w:szCs w:val="16"/>
              </w:rPr>
            </w:pPr>
            <w:r w:rsidRPr="008E6E0D">
              <w:rPr>
                <w:color w:val="000000"/>
                <w:sz w:val="16"/>
                <w:szCs w:val="16"/>
              </w:rPr>
              <w:t>2nd</w:t>
            </w:r>
            <w:r w:rsidR="00260138" w:rsidRPr="008E6E0D">
              <w:rPr>
                <w:color w:val="000000"/>
                <w:sz w:val="16"/>
                <w:szCs w:val="16"/>
              </w:rPr>
              <w:t xml:space="preserve"> GEN-SEP period</w:t>
            </w:r>
          </w:p>
        </w:tc>
      </w:tr>
      <w:tr w:rsidR="00260138" w:rsidRPr="008E6E0D" w14:paraId="46C49D4A" w14:textId="77777777" w:rsidTr="006249CF">
        <w:trPr>
          <w:trHeight w:val="190"/>
          <w:jc w:val="center"/>
        </w:trPr>
        <w:tc>
          <w:tcPr>
            <w:tcW w:w="2018" w:type="dxa"/>
            <w:tcBorders>
              <w:top w:val="single" w:sz="4" w:space="0" w:color="auto"/>
              <w:bottom w:val="single" w:sz="4" w:space="0" w:color="auto"/>
            </w:tcBorders>
            <w:shd w:val="clear" w:color="auto" w:fill="auto"/>
            <w:noWrap/>
            <w:vAlign w:val="center"/>
            <w:hideMark/>
          </w:tcPr>
          <w:p w14:paraId="0BC76410" w14:textId="77777777" w:rsidR="00260138" w:rsidRPr="008E6E0D" w:rsidRDefault="00260138" w:rsidP="00260138">
            <w:pPr>
              <w:jc w:val="center"/>
              <w:rPr>
                <w:b/>
                <w:bCs/>
                <w:color w:val="000000"/>
                <w:sz w:val="16"/>
                <w:szCs w:val="16"/>
              </w:rPr>
            </w:pPr>
            <w:r w:rsidRPr="008E6E0D">
              <w:rPr>
                <w:b/>
                <w:bCs/>
                <w:color w:val="000000"/>
                <w:sz w:val="16"/>
                <w:szCs w:val="16"/>
              </w:rPr>
              <w:t> </w:t>
            </w:r>
          </w:p>
        </w:tc>
        <w:tc>
          <w:tcPr>
            <w:tcW w:w="1268" w:type="dxa"/>
            <w:tcBorders>
              <w:top w:val="single" w:sz="4" w:space="0" w:color="auto"/>
              <w:bottom w:val="single" w:sz="4" w:space="0" w:color="auto"/>
            </w:tcBorders>
            <w:shd w:val="clear" w:color="auto" w:fill="auto"/>
            <w:noWrap/>
            <w:vAlign w:val="center"/>
            <w:hideMark/>
          </w:tcPr>
          <w:p w14:paraId="7B567F9B" w14:textId="718E85E7" w:rsidR="00260138" w:rsidRPr="008E6E0D" w:rsidRDefault="00260138" w:rsidP="00260138">
            <w:pPr>
              <w:jc w:val="center"/>
              <w:rPr>
                <w:b/>
                <w:bCs/>
                <w:sz w:val="16"/>
                <w:szCs w:val="16"/>
              </w:rPr>
            </w:pPr>
            <w:r w:rsidRPr="008E6E0D">
              <w:rPr>
                <w:b/>
                <w:bCs/>
                <w:sz w:val="16"/>
                <w:szCs w:val="16"/>
              </w:rPr>
              <w:t>Su</w:t>
            </w:r>
            <w:r w:rsidR="007A7205" w:rsidRPr="008E6E0D">
              <w:rPr>
                <w:b/>
                <w:bCs/>
                <w:sz w:val="16"/>
                <w:szCs w:val="16"/>
              </w:rPr>
              <w:t>r</w:t>
            </w:r>
            <w:r w:rsidR="009C3BFC" w:rsidRPr="008E6E0D">
              <w:rPr>
                <w:b/>
                <w:bCs/>
                <w:sz w:val="16"/>
                <w:szCs w:val="16"/>
              </w:rPr>
              <w:t>vivors (N</w:t>
            </w:r>
            <w:r w:rsidRPr="008E6E0D">
              <w:rPr>
                <w:b/>
                <w:bCs/>
                <w:sz w:val="16"/>
                <w:szCs w:val="16"/>
              </w:rPr>
              <w:t>=329)</w:t>
            </w:r>
          </w:p>
        </w:tc>
        <w:tc>
          <w:tcPr>
            <w:tcW w:w="975" w:type="dxa"/>
            <w:tcBorders>
              <w:top w:val="single" w:sz="4" w:space="0" w:color="auto"/>
              <w:bottom w:val="single" w:sz="4" w:space="0" w:color="auto"/>
            </w:tcBorders>
            <w:shd w:val="clear" w:color="auto" w:fill="auto"/>
            <w:noWrap/>
            <w:vAlign w:val="center"/>
            <w:hideMark/>
          </w:tcPr>
          <w:p w14:paraId="406A51EF" w14:textId="1CB8D431" w:rsidR="00260138" w:rsidRPr="008E6E0D" w:rsidRDefault="009C3BFC" w:rsidP="00260138">
            <w:pPr>
              <w:jc w:val="center"/>
              <w:rPr>
                <w:b/>
                <w:bCs/>
                <w:sz w:val="16"/>
                <w:szCs w:val="16"/>
              </w:rPr>
            </w:pPr>
            <w:r w:rsidRPr="008E6E0D">
              <w:rPr>
                <w:b/>
                <w:bCs/>
                <w:sz w:val="16"/>
                <w:szCs w:val="16"/>
              </w:rPr>
              <w:t>Deaths (N</w:t>
            </w:r>
            <w:r w:rsidR="00260138" w:rsidRPr="008E6E0D">
              <w:rPr>
                <w:b/>
                <w:bCs/>
                <w:sz w:val="16"/>
                <w:szCs w:val="16"/>
              </w:rPr>
              <w:t>=146)</w:t>
            </w:r>
          </w:p>
        </w:tc>
        <w:tc>
          <w:tcPr>
            <w:tcW w:w="967" w:type="dxa"/>
            <w:tcBorders>
              <w:top w:val="single" w:sz="4" w:space="0" w:color="auto"/>
              <w:bottom w:val="single" w:sz="4" w:space="0" w:color="auto"/>
            </w:tcBorders>
            <w:shd w:val="clear" w:color="auto" w:fill="auto"/>
            <w:noWrap/>
            <w:vAlign w:val="center"/>
            <w:hideMark/>
          </w:tcPr>
          <w:p w14:paraId="49D6205B" w14:textId="77777777" w:rsidR="00260138" w:rsidRPr="008E6E0D" w:rsidRDefault="00260138" w:rsidP="00260138">
            <w:pPr>
              <w:jc w:val="center"/>
              <w:rPr>
                <w:b/>
                <w:bCs/>
                <w:sz w:val="16"/>
                <w:szCs w:val="16"/>
              </w:rPr>
            </w:pPr>
            <w:r w:rsidRPr="008E6E0D">
              <w:rPr>
                <w:b/>
                <w:bCs/>
                <w:i/>
                <w:iCs/>
                <w:sz w:val="16"/>
                <w:szCs w:val="16"/>
              </w:rPr>
              <w:t>p</w:t>
            </w:r>
            <w:r w:rsidRPr="008E6E0D">
              <w:rPr>
                <w:b/>
                <w:bCs/>
                <w:sz w:val="16"/>
                <w:szCs w:val="16"/>
              </w:rPr>
              <w:t>-value*</w:t>
            </w:r>
          </w:p>
        </w:tc>
        <w:tc>
          <w:tcPr>
            <w:tcW w:w="1066" w:type="dxa"/>
            <w:tcBorders>
              <w:top w:val="single" w:sz="4" w:space="0" w:color="auto"/>
              <w:bottom w:val="single" w:sz="4" w:space="0" w:color="auto"/>
            </w:tcBorders>
            <w:shd w:val="clear" w:color="auto" w:fill="auto"/>
            <w:noWrap/>
            <w:vAlign w:val="center"/>
            <w:hideMark/>
          </w:tcPr>
          <w:p w14:paraId="36A4176E" w14:textId="5CAA9BC9" w:rsidR="00260138" w:rsidRPr="008E6E0D" w:rsidRDefault="00260138" w:rsidP="00260138">
            <w:pPr>
              <w:jc w:val="center"/>
              <w:rPr>
                <w:b/>
                <w:bCs/>
                <w:sz w:val="16"/>
                <w:szCs w:val="16"/>
              </w:rPr>
            </w:pPr>
            <w:r w:rsidRPr="008E6E0D">
              <w:rPr>
                <w:b/>
                <w:bCs/>
                <w:sz w:val="16"/>
                <w:szCs w:val="16"/>
              </w:rPr>
              <w:t>Su</w:t>
            </w:r>
            <w:r w:rsidR="007A7205" w:rsidRPr="008E6E0D">
              <w:rPr>
                <w:b/>
                <w:bCs/>
                <w:sz w:val="16"/>
                <w:szCs w:val="16"/>
              </w:rPr>
              <w:t>r</w:t>
            </w:r>
            <w:r w:rsidR="009C3BFC" w:rsidRPr="008E6E0D">
              <w:rPr>
                <w:b/>
                <w:bCs/>
                <w:sz w:val="16"/>
                <w:szCs w:val="16"/>
              </w:rPr>
              <w:t>vivors (N</w:t>
            </w:r>
            <w:r w:rsidRPr="008E6E0D">
              <w:rPr>
                <w:b/>
                <w:bCs/>
                <w:sz w:val="16"/>
                <w:szCs w:val="16"/>
              </w:rPr>
              <w:t>=177)</w:t>
            </w:r>
          </w:p>
        </w:tc>
        <w:tc>
          <w:tcPr>
            <w:tcW w:w="1119" w:type="dxa"/>
            <w:tcBorders>
              <w:top w:val="single" w:sz="4" w:space="0" w:color="auto"/>
              <w:bottom w:val="single" w:sz="4" w:space="0" w:color="auto"/>
            </w:tcBorders>
            <w:shd w:val="clear" w:color="auto" w:fill="auto"/>
            <w:noWrap/>
            <w:vAlign w:val="center"/>
            <w:hideMark/>
          </w:tcPr>
          <w:p w14:paraId="50239EAB" w14:textId="3766F15A" w:rsidR="00260138" w:rsidRPr="008E6E0D" w:rsidRDefault="009C3BFC" w:rsidP="00260138">
            <w:pPr>
              <w:jc w:val="center"/>
              <w:rPr>
                <w:b/>
                <w:bCs/>
                <w:sz w:val="16"/>
                <w:szCs w:val="16"/>
              </w:rPr>
            </w:pPr>
            <w:r w:rsidRPr="008E6E0D">
              <w:rPr>
                <w:b/>
                <w:bCs/>
                <w:sz w:val="16"/>
                <w:szCs w:val="16"/>
              </w:rPr>
              <w:t>Deaths (N</w:t>
            </w:r>
            <w:r w:rsidR="00260138" w:rsidRPr="008E6E0D">
              <w:rPr>
                <w:b/>
                <w:bCs/>
                <w:sz w:val="16"/>
                <w:szCs w:val="16"/>
              </w:rPr>
              <w:t>=35)</w:t>
            </w:r>
          </w:p>
        </w:tc>
        <w:tc>
          <w:tcPr>
            <w:tcW w:w="895" w:type="dxa"/>
            <w:tcBorders>
              <w:top w:val="single" w:sz="4" w:space="0" w:color="auto"/>
              <w:bottom w:val="single" w:sz="4" w:space="0" w:color="auto"/>
            </w:tcBorders>
            <w:shd w:val="clear" w:color="auto" w:fill="auto"/>
            <w:noWrap/>
            <w:vAlign w:val="center"/>
            <w:hideMark/>
          </w:tcPr>
          <w:p w14:paraId="018AD972" w14:textId="77777777" w:rsidR="00260138" w:rsidRPr="008E6E0D" w:rsidRDefault="00260138" w:rsidP="00260138">
            <w:pPr>
              <w:jc w:val="center"/>
              <w:rPr>
                <w:b/>
                <w:bCs/>
                <w:sz w:val="16"/>
                <w:szCs w:val="16"/>
              </w:rPr>
            </w:pPr>
            <w:r w:rsidRPr="008E6E0D">
              <w:rPr>
                <w:b/>
                <w:bCs/>
                <w:i/>
                <w:iCs/>
                <w:sz w:val="16"/>
                <w:szCs w:val="16"/>
              </w:rPr>
              <w:t>p</w:t>
            </w:r>
            <w:r w:rsidRPr="008E6E0D">
              <w:rPr>
                <w:b/>
                <w:bCs/>
                <w:sz w:val="16"/>
                <w:szCs w:val="16"/>
              </w:rPr>
              <w:t>-value*</w:t>
            </w:r>
          </w:p>
        </w:tc>
      </w:tr>
      <w:tr w:rsidR="00260138" w:rsidRPr="008E6E0D" w14:paraId="327A9FE1" w14:textId="77777777" w:rsidTr="006249CF">
        <w:trPr>
          <w:trHeight w:val="190"/>
          <w:jc w:val="center"/>
        </w:trPr>
        <w:tc>
          <w:tcPr>
            <w:tcW w:w="2018" w:type="dxa"/>
            <w:tcBorders>
              <w:top w:val="single" w:sz="4" w:space="0" w:color="auto"/>
            </w:tcBorders>
            <w:shd w:val="clear" w:color="auto" w:fill="auto"/>
            <w:noWrap/>
            <w:vAlign w:val="center"/>
            <w:hideMark/>
          </w:tcPr>
          <w:p w14:paraId="7FD30688" w14:textId="0B34C2B4" w:rsidR="00260138" w:rsidRPr="008E6E0D" w:rsidRDefault="0066763E" w:rsidP="00260138">
            <w:pPr>
              <w:rPr>
                <w:color w:val="000000"/>
                <w:sz w:val="16"/>
                <w:szCs w:val="16"/>
              </w:rPr>
            </w:pPr>
            <w:r w:rsidRPr="008E6E0D">
              <w:rPr>
                <w:color w:val="000000"/>
                <w:sz w:val="16"/>
                <w:szCs w:val="16"/>
              </w:rPr>
              <w:t>Sex</w:t>
            </w:r>
            <w:r w:rsidR="00260138" w:rsidRPr="008E6E0D">
              <w:rPr>
                <w:color w:val="000000"/>
                <w:sz w:val="16"/>
                <w:szCs w:val="16"/>
              </w:rPr>
              <w:t>, % male (N)</w:t>
            </w:r>
          </w:p>
        </w:tc>
        <w:tc>
          <w:tcPr>
            <w:tcW w:w="1268" w:type="dxa"/>
            <w:tcBorders>
              <w:top w:val="single" w:sz="4" w:space="0" w:color="auto"/>
            </w:tcBorders>
            <w:shd w:val="clear" w:color="auto" w:fill="auto"/>
            <w:noWrap/>
            <w:vAlign w:val="center"/>
            <w:hideMark/>
          </w:tcPr>
          <w:p w14:paraId="5DAE953A" w14:textId="77777777" w:rsidR="00260138" w:rsidRPr="008E6E0D" w:rsidRDefault="00260138" w:rsidP="00260138">
            <w:pPr>
              <w:jc w:val="center"/>
              <w:rPr>
                <w:sz w:val="16"/>
                <w:szCs w:val="16"/>
              </w:rPr>
            </w:pPr>
            <w:r w:rsidRPr="008E6E0D">
              <w:rPr>
                <w:sz w:val="16"/>
                <w:szCs w:val="16"/>
              </w:rPr>
              <w:t>64 (212)</w:t>
            </w:r>
          </w:p>
        </w:tc>
        <w:tc>
          <w:tcPr>
            <w:tcW w:w="975" w:type="dxa"/>
            <w:tcBorders>
              <w:top w:val="single" w:sz="4" w:space="0" w:color="auto"/>
            </w:tcBorders>
            <w:shd w:val="clear" w:color="auto" w:fill="auto"/>
            <w:noWrap/>
            <w:vAlign w:val="center"/>
            <w:hideMark/>
          </w:tcPr>
          <w:p w14:paraId="0D9FBBCC" w14:textId="77777777" w:rsidR="00260138" w:rsidRPr="008E6E0D" w:rsidRDefault="00260138" w:rsidP="00260138">
            <w:pPr>
              <w:jc w:val="center"/>
              <w:rPr>
                <w:sz w:val="16"/>
                <w:szCs w:val="16"/>
              </w:rPr>
            </w:pPr>
            <w:r w:rsidRPr="008E6E0D">
              <w:rPr>
                <w:sz w:val="16"/>
                <w:szCs w:val="16"/>
              </w:rPr>
              <w:t>68 (100)</w:t>
            </w:r>
          </w:p>
        </w:tc>
        <w:tc>
          <w:tcPr>
            <w:tcW w:w="967" w:type="dxa"/>
            <w:tcBorders>
              <w:top w:val="single" w:sz="4" w:space="0" w:color="auto"/>
            </w:tcBorders>
            <w:shd w:val="clear" w:color="auto" w:fill="auto"/>
            <w:noWrap/>
            <w:vAlign w:val="center"/>
            <w:hideMark/>
          </w:tcPr>
          <w:p w14:paraId="43F43FE6" w14:textId="77777777" w:rsidR="00260138" w:rsidRPr="008E6E0D" w:rsidRDefault="00260138" w:rsidP="00260138">
            <w:pPr>
              <w:jc w:val="center"/>
              <w:rPr>
                <w:sz w:val="16"/>
                <w:szCs w:val="16"/>
              </w:rPr>
            </w:pPr>
            <w:r w:rsidRPr="008E6E0D">
              <w:rPr>
                <w:sz w:val="16"/>
                <w:szCs w:val="16"/>
              </w:rPr>
              <w:t>0.451</w:t>
            </w:r>
          </w:p>
        </w:tc>
        <w:tc>
          <w:tcPr>
            <w:tcW w:w="1066" w:type="dxa"/>
            <w:tcBorders>
              <w:top w:val="single" w:sz="4" w:space="0" w:color="auto"/>
            </w:tcBorders>
            <w:shd w:val="clear" w:color="auto" w:fill="auto"/>
            <w:noWrap/>
            <w:vAlign w:val="center"/>
            <w:hideMark/>
          </w:tcPr>
          <w:p w14:paraId="0C443CA4" w14:textId="77777777" w:rsidR="00260138" w:rsidRPr="008E6E0D" w:rsidRDefault="00260138" w:rsidP="00260138">
            <w:pPr>
              <w:jc w:val="center"/>
              <w:rPr>
                <w:sz w:val="16"/>
                <w:szCs w:val="16"/>
              </w:rPr>
            </w:pPr>
            <w:r w:rsidRPr="008E6E0D">
              <w:rPr>
                <w:sz w:val="16"/>
                <w:szCs w:val="16"/>
              </w:rPr>
              <w:t>56 (100)</w:t>
            </w:r>
          </w:p>
        </w:tc>
        <w:tc>
          <w:tcPr>
            <w:tcW w:w="1119" w:type="dxa"/>
            <w:tcBorders>
              <w:top w:val="single" w:sz="4" w:space="0" w:color="auto"/>
            </w:tcBorders>
            <w:shd w:val="clear" w:color="auto" w:fill="auto"/>
            <w:noWrap/>
            <w:vAlign w:val="center"/>
            <w:hideMark/>
          </w:tcPr>
          <w:p w14:paraId="30D70A23" w14:textId="77777777" w:rsidR="00260138" w:rsidRPr="008E6E0D" w:rsidRDefault="00260138" w:rsidP="00260138">
            <w:pPr>
              <w:jc w:val="center"/>
              <w:rPr>
                <w:sz w:val="16"/>
                <w:szCs w:val="16"/>
              </w:rPr>
            </w:pPr>
            <w:r w:rsidRPr="008E6E0D">
              <w:rPr>
                <w:sz w:val="16"/>
                <w:szCs w:val="16"/>
              </w:rPr>
              <w:t>51 (18)</w:t>
            </w:r>
          </w:p>
        </w:tc>
        <w:tc>
          <w:tcPr>
            <w:tcW w:w="895" w:type="dxa"/>
            <w:tcBorders>
              <w:top w:val="single" w:sz="4" w:space="0" w:color="auto"/>
            </w:tcBorders>
            <w:shd w:val="clear" w:color="auto" w:fill="auto"/>
            <w:noWrap/>
            <w:vAlign w:val="center"/>
            <w:hideMark/>
          </w:tcPr>
          <w:p w14:paraId="44ACC126" w14:textId="77777777" w:rsidR="00260138" w:rsidRPr="008E6E0D" w:rsidRDefault="00260138" w:rsidP="00260138">
            <w:pPr>
              <w:jc w:val="center"/>
              <w:rPr>
                <w:sz w:val="16"/>
                <w:szCs w:val="16"/>
              </w:rPr>
            </w:pPr>
            <w:r w:rsidRPr="008E6E0D">
              <w:rPr>
                <w:sz w:val="16"/>
                <w:szCs w:val="16"/>
              </w:rPr>
              <w:t>0.715</w:t>
            </w:r>
          </w:p>
        </w:tc>
      </w:tr>
      <w:tr w:rsidR="00260138" w:rsidRPr="008E6E0D" w14:paraId="256205DA" w14:textId="77777777" w:rsidTr="006249CF">
        <w:trPr>
          <w:trHeight w:val="190"/>
          <w:jc w:val="center"/>
        </w:trPr>
        <w:tc>
          <w:tcPr>
            <w:tcW w:w="2018" w:type="dxa"/>
            <w:shd w:val="clear" w:color="auto" w:fill="auto"/>
            <w:noWrap/>
            <w:vAlign w:val="center"/>
            <w:hideMark/>
          </w:tcPr>
          <w:p w14:paraId="255442BF" w14:textId="77777777" w:rsidR="00260138" w:rsidRPr="008E6E0D" w:rsidRDefault="00260138" w:rsidP="00260138">
            <w:pPr>
              <w:rPr>
                <w:color w:val="000000"/>
                <w:sz w:val="16"/>
                <w:szCs w:val="16"/>
              </w:rPr>
            </w:pPr>
            <w:r w:rsidRPr="008E6E0D">
              <w:rPr>
                <w:color w:val="000000"/>
                <w:sz w:val="16"/>
                <w:szCs w:val="16"/>
              </w:rPr>
              <w:t>Age, mean years ± SD</w:t>
            </w:r>
          </w:p>
        </w:tc>
        <w:tc>
          <w:tcPr>
            <w:tcW w:w="1268" w:type="dxa"/>
            <w:shd w:val="clear" w:color="auto" w:fill="auto"/>
            <w:noWrap/>
            <w:vAlign w:val="center"/>
            <w:hideMark/>
          </w:tcPr>
          <w:p w14:paraId="2C916238" w14:textId="77777777" w:rsidR="00260138" w:rsidRPr="008E6E0D" w:rsidRDefault="00260138" w:rsidP="00260138">
            <w:pPr>
              <w:jc w:val="center"/>
              <w:rPr>
                <w:sz w:val="16"/>
                <w:szCs w:val="16"/>
              </w:rPr>
            </w:pPr>
            <w:r w:rsidRPr="008E6E0D">
              <w:rPr>
                <w:sz w:val="16"/>
                <w:szCs w:val="16"/>
              </w:rPr>
              <w:t>62 ± 15</w:t>
            </w:r>
          </w:p>
        </w:tc>
        <w:tc>
          <w:tcPr>
            <w:tcW w:w="975" w:type="dxa"/>
            <w:shd w:val="clear" w:color="auto" w:fill="auto"/>
            <w:noWrap/>
            <w:vAlign w:val="center"/>
            <w:hideMark/>
          </w:tcPr>
          <w:p w14:paraId="6071C719" w14:textId="77777777" w:rsidR="00260138" w:rsidRPr="008E6E0D" w:rsidRDefault="00260138" w:rsidP="00260138">
            <w:pPr>
              <w:jc w:val="center"/>
              <w:rPr>
                <w:sz w:val="16"/>
                <w:szCs w:val="16"/>
              </w:rPr>
            </w:pPr>
            <w:r w:rsidRPr="008E6E0D">
              <w:rPr>
                <w:sz w:val="16"/>
                <w:szCs w:val="16"/>
              </w:rPr>
              <w:t>66 ± 13</w:t>
            </w:r>
          </w:p>
        </w:tc>
        <w:tc>
          <w:tcPr>
            <w:tcW w:w="967" w:type="dxa"/>
            <w:shd w:val="clear" w:color="auto" w:fill="auto"/>
            <w:noWrap/>
            <w:vAlign w:val="center"/>
            <w:hideMark/>
          </w:tcPr>
          <w:p w14:paraId="07EFF23C" w14:textId="33D228F5" w:rsidR="00260138" w:rsidRPr="008E6E0D" w:rsidRDefault="00260138" w:rsidP="00260138">
            <w:pPr>
              <w:jc w:val="center"/>
              <w:rPr>
                <w:sz w:val="16"/>
                <w:szCs w:val="16"/>
              </w:rPr>
            </w:pPr>
            <w:r w:rsidRPr="008E6E0D">
              <w:rPr>
                <w:sz w:val="16"/>
                <w:szCs w:val="16"/>
              </w:rPr>
              <w:t>4.93</w:t>
            </w:r>
            <w:r w:rsidR="003249BB" w:rsidRPr="008E6E0D">
              <w:rPr>
                <w:sz w:val="16"/>
                <w:szCs w:val="16"/>
              </w:rPr>
              <w:t>x10</w:t>
            </w:r>
            <w:r w:rsidRPr="008E6E0D">
              <w:rPr>
                <w:sz w:val="16"/>
                <w:szCs w:val="16"/>
                <w:vertAlign w:val="superscript"/>
              </w:rPr>
              <w:t>-3</w:t>
            </w:r>
          </w:p>
        </w:tc>
        <w:tc>
          <w:tcPr>
            <w:tcW w:w="1066" w:type="dxa"/>
            <w:shd w:val="clear" w:color="auto" w:fill="auto"/>
            <w:noWrap/>
            <w:vAlign w:val="center"/>
            <w:hideMark/>
          </w:tcPr>
          <w:p w14:paraId="1B2CADB5" w14:textId="77777777" w:rsidR="00260138" w:rsidRPr="008E6E0D" w:rsidRDefault="00260138" w:rsidP="00260138">
            <w:pPr>
              <w:jc w:val="center"/>
              <w:rPr>
                <w:sz w:val="16"/>
                <w:szCs w:val="16"/>
              </w:rPr>
            </w:pPr>
            <w:r w:rsidRPr="008E6E0D">
              <w:rPr>
                <w:sz w:val="16"/>
                <w:szCs w:val="16"/>
              </w:rPr>
              <w:t>64 ± 15</w:t>
            </w:r>
          </w:p>
        </w:tc>
        <w:tc>
          <w:tcPr>
            <w:tcW w:w="1119" w:type="dxa"/>
            <w:shd w:val="clear" w:color="auto" w:fill="auto"/>
            <w:noWrap/>
            <w:vAlign w:val="center"/>
            <w:hideMark/>
          </w:tcPr>
          <w:p w14:paraId="1C10BE4A" w14:textId="77777777" w:rsidR="00260138" w:rsidRPr="008E6E0D" w:rsidRDefault="00260138" w:rsidP="00260138">
            <w:pPr>
              <w:jc w:val="center"/>
              <w:rPr>
                <w:sz w:val="16"/>
                <w:szCs w:val="16"/>
              </w:rPr>
            </w:pPr>
            <w:r w:rsidRPr="008E6E0D">
              <w:rPr>
                <w:sz w:val="16"/>
                <w:szCs w:val="16"/>
              </w:rPr>
              <w:t>73 ± 13</w:t>
            </w:r>
          </w:p>
        </w:tc>
        <w:tc>
          <w:tcPr>
            <w:tcW w:w="895" w:type="dxa"/>
            <w:shd w:val="clear" w:color="auto" w:fill="auto"/>
            <w:noWrap/>
            <w:vAlign w:val="center"/>
            <w:hideMark/>
          </w:tcPr>
          <w:p w14:paraId="4960E5F0" w14:textId="39A84B44" w:rsidR="00260138" w:rsidRPr="008E6E0D" w:rsidRDefault="00260138" w:rsidP="00260138">
            <w:pPr>
              <w:jc w:val="center"/>
              <w:rPr>
                <w:sz w:val="16"/>
                <w:szCs w:val="16"/>
              </w:rPr>
            </w:pPr>
            <w:r w:rsidRPr="008E6E0D">
              <w:rPr>
                <w:sz w:val="16"/>
                <w:szCs w:val="16"/>
              </w:rPr>
              <w:t>2.36</w:t>
            </w:r>
            <w:r w:rsidR="008605BC" w:rsidRPr="008E6E0D">
              <w:rPr>
                <w:sz w:val="16"/>
                <w:szCs w:val="16"/>
              </w:rPr>
              <w:t>x10</w:t>
            </w:r>
            <w:r w:rsidRPr="008E6E0D">
              <w:rPr>
                <w:sz w:val="16"/>
                <w:szCs w:val="16"/>
                <w:vertAlign w:val="superscript"/>
              </w:rPr>
              <w:t>-3</w:t>
            </w:r>
          </w:p>
        </w:tc>
      </w:tr>
      <w:tr w:rsidR="00260138" w:rsidRPr="008E6E0D" w14:paraId="0A54BA85" w14:textId="77777777" w:rsidTr="006249CF">
        <w:trPr>
          <w:trHeight w:val="190"/>
          <w:jc w:val="center"/>
        </w:trPr>
        <w:tc>
          <w:tcPr>
            <w:tcW w:w="2018" w:type="dxa"/>
            <w:shd w:val="clear" w:color="auto" w:fill="auto"/>
            <w:noWrap/>
            <w:vAlign w:val="center"/>
            <w:hideMark/>
          </w:tcPr>
          <w:p w14:paraId="3C87319F" w14:textId="77777777" w:rsidR="00260138" w:rsidRPr="008E6E0D" w:rsidRDefault="00260138" w:rsidP="00260138">
            <w:pPr>
              <w:rPr>
                <w:color w:val="000000"/>
                <w:sz w:val="16"/>
                <w:szCs w:val="16"/>
              </w:rPr>
            </w:pPr>
            <w:r w:rsidRPr="008E6E0D">
              <w:rPr>
                <w:color w:val="000000"/>
                <w:sz w:val="16"/>
                <w:szCs w:val="16"/>
              </w:rPr>
              <w:t>BMI, mean ± SD</w:t>
            </w:r>
          </w:p>
        </w:tc>
        <w:tc>
          <w:tcPr>
            <w:tcW w:w="1268" w:type="dxa"/>
            <w:shd w:val="clear" w:color="auto" w:fill="auto"/>
            <w:noWrap/>
            <w:vAlign w:val="center"/>
            <w:hideMark/>
          </w:tcPr>
          <w:p w14:paraId="298767CC" w14:textId="77777777" w:rsidR="00260138" w:rsidRPr="008E6E0D" w:rsidRDefault="00260138" w:rsidP="00260138">
            <w:pPr>
              <w:jc w:val="center"/>
              <w:rPr>
                <w:sz w:val="16"/>
                <w:szCs w:val="16"/>
              </w:rPr>
            </w:pPr>
            <w:r w:rsidRPr="008E6E0D">
              <w:rPr>
                <w:sz w:val="16"/>
                <w:szCs w:val="16"/>
              </w:rPr>
              <w:t>28 ± 6</w:t>
            </w:r>
          </w:p>
        </w:tc>
        <w:tc>
          <w:tcPr>
            <w:tcW w:w="975" w:type="dxa"/>
            <w:shd w:val="clear" w:color="auto" w:fill="auto"/>
            <w:noWrap/>
            <w:vAlign w:val="center"/>
            <w:hideMark/>
          </w:tcPr>
          <w:p w14:paraId="4AA5B814" w14:textId="77777777" w:rsidR="00260138" w:rsidRPr="008E6E0D" w:rsidRDefault="00260138" w:rsidP="00260138">
            <w:pPr>
              <w:jc w:val="center"/>
              <w:rPr>
                <w:sz w:val="16"/>
                <w:szCs w:val="16"/>
              </w:rPr>
            </w:pPr>
            <w:r w:rsidRPr="008E6E0D">
              <w:rPr>
                <w:sz w:val="16"/>
                <w:szCs w:val="16"/>
              </w:rPr>
              <w:t>26 ± 5</w:t>
            </w:r>
          </w:p>
        </w:tc>
        <w:tc>
          <w:tcPr>
            <w:tcW w:w="967" w:type="dxa"/>
            <w:shd w:val="clear" w:color="auto" w:fill="auto"/>
            <w:noWrap/>
            <w:vAlign w:val="center"/>
            <w:hideMark/>
          </w:tcPr>
          <w:p w14:paraId="5293AF3B" w14:textId="77777777" w:rsidR="00260138" w:rsidRPr="008E6E0D" w:rsidRDefault="00260138" w:rsidP="00260138">
            <w:pPr>
              <w:jc w:val="center"/>
              <w:rPr>
                <w:sz w:val="16"/>
                <w:szCs w:val="16"/>
              </w:rPr>
            </w:pPr>
            <w:r w:rsidRPr="008E6E0D">
              <w:rPr>
                <w:sz w:val="16"/>
                <w:szCs w:val="16"/>
              </w:rPr>
              <w:t>0.089</w:t>
            </w:r>
          </w:p>
        </w:tc>
        <w:tc>
          <w:tcPr>
            <w:tcW w:w="1066" w:type="dxa"/>
            <w:shd w:val="clear" w:color="auto" w:fill="auto"/>
            <w:noWrap/>
            <w:vAlign w:val="center"/>
            <w:hideMark/>
          </w:tcPr>
          <w:p w14:paraId="06B64DB8" w14:textId="77777777" w:rsidR="00260138" w:rsidRPr="008E6E0D" w:rsidRDefault="00260138" w:rsidP="00260138">
            <w:pPr>
              <w:jc w:val="center"/>
              <w:rPr>
                <w:sz w:val="16"/>
                <w:szCs w:val="16"/>
              </w:rPr>
            </w:pPr>
            <w:r w:rsidRPr="008E6E0D">
              <w:rPr>
                <w:sz w:val="16"/>
                <w:szCs w:val="16"/>
              </w:rPr>
              <w:t>27 ± 6</w:t>
            </w:r>
          </w:p>
        </w:tc>
        <w:tc>
          <w:tcPr>
            <w:tcW w:w="1119" w:type="dxa"/>
            <w:shd w:val="clear" w:color="auto" w:fill="auto"/>
            <w:noWrap/>
            <w:vAlign w:val="center"/>
            <w:hideMark/>
          </w:tcPr>
          <w:p w14:paraId="1AD032CF" w14:textId="77777777" w:rsidR="00260138" w:rsidRPr="008E6E0D" w:rsidRDefault="00260138" w:rsidP="00260138">
            <w:pPr>
              <w:jc w:val="center"/>
              <w:rPr>
                <w:sz w:val="16"/>
                <w:szCs w:val="16"/>
              </w:rPr>
            </w:pPr>
            <w:r w:rsidRPr="008E6E0D">
              <w:rPr>
                <w:sz w:val="16"/>
                <w:szCs w:val="16"/>
              </w:rPr>
              <w:t>26 ± 5</w:t>
            </w:r>
          </w:p>
        </w:tc>
        <w:tc>
          <w:tcPr>
            <w:tcW w:w="895" w:type="dxa"/>
            <w:shd w:val="clear" w:color="auto" w:fill="auto"/>
            <w:noWrap/>
            <w:vAlign w:val="center"/>
            <w:hideMark/>
          </w:tcPr>
          <w:p w14:paraId="4039F40F" w14:textId="77777777" w:rsidR="00260138" w:rsidRPr="008E6E0D" w:rsidRDefault="00260138" w:rsidP="00260138">
            <w:pPr>
              <w:jc w:val="center"/>
              <w:rPr>
                <w:sz w:val="16"/>
                <w:szCs w:val="16"/>
              </w:rPr>
            </w:pPr>
            <w:r w:rsidRPr="008E6E0D">
              <w:rPr>
                <w:sz w:val="16"/>
                <w:szCs w:val="16"/>
              </w:rPr>
              <w:t>0.509</w:t>
            </w:r>
          </w:p>
        </w:tc>
      </w:tr>
      <w:tr w:rsidR="00260138" w:rsidRPr="008E6E0D" w14:paraId="1A9F7356" w14:textId="77777777" w:rsidTr="006249CF">
        <w:trPr>
          <w:trHeight w:val="190"/>
          <w:jc w:val="center"/>
        </w:trPr>
        <w:tc>
          <w:tcPr>
            <w:tcW w:w="2018" w:type="dxa"/>
            <w:shd w:val="clear" w:color="auto" w:fill="auto"/>
            <w:noWrap/>
            <w:vAlign w:val="center"/>
            <w:hideMark/>
          </w:tcPr>
          <w:p w14:paraId="6F843656" w14:textId="77777777" w:rsidR="00260138" w:rsidRPr="008E6E0D" w:rsidRDefault="00260138" w:rsidP="00260138">
            <w:pPr>
              <w:rPr>
                <w:sz w:val="16"/>
                <w:szCs w:val="16"/>
              </w:rPr>
            </w:pPr>
            <w:r w:rsidRPr="008E6E0D">
              <w:rPr>
                <w:sz w:val="16"/>
                <w:szCs w:val="16"/>
              </w:rPr>
              <w:t>LISS, Mean ± SD</w:t>
            </w:r>
          </w:p>
        </w:tc>
        <w:tc>
          <w:tcPr>
            <w:tcW w:w="1268" w:type="dxa"/>
            <w:shd w:val="clear" w:color="auto" w:fill="auto"/>
            <w:noWrap/>
            <w:vAlign w:val="center"/>
            <w:hideMark/>
          </w:tcPr>
          <w:p w14:paraId="3E258005" w14:textId="77777777" w:rsidR="00260138" w:rsidRPr="008E6E0D" w:rsidRDefault="00260138" w:rsidP="00260138">
            <w:pPr>
              <w:jc w:val="center"/>
              <w:rPr>
                <w:sz w:val="16"/>
                <w:szCs w:val="16"/>
              </w:rPr>
            </w:pPr>
            <w:r w:rsidRPr="008E6E0D">
              <w:rPr>
                <w:sz w:val="16"/>
                <w:szCs w:val="16"/>
              </w:rPr>
              <w:t>3 ± 2</w:t>
            </w:r>
          </w:p>
        </w:tc>
        <w:tc>
          <w:tcPr>
            <w:tcW w:w="975" w:type="dxa"/>
            <w:shd w:val="clear" w:color="auto" w:fill="auto"/>
            <w:noWrap/>
            <w:vAlign w:val="center"/>
            <w:hideMark/>
          </w:tcPr>
          <w:p w14:paraId="3FAD268B" w14:textId="77777777" w:rsidR="00260138" w:rsidRPr="008E6E0D" w:rsidRDefault="00260138" w:rsidP="00260138">
            <w:pPr>
              <w:jc w:val="center"/>
              <w:rPr>
                <w:sz w:val="16"/>
                <w:szCs w:val="16"/>
              </w:rPr>
            </w:pPr>
            <w:r w:rsidRPr="008E6E0D">
              <w:rPr>
                <w:sz w:val="16"/>
                <w:szCs w:val="16"/>
              </w:rPr>
              <w:t>4 ± 3</w:t>
            </w:r>
          </w:p>
        </w:tc>
        <w:tc>
          <w:tcPr>
            <w:tcW w:w="967" w:type="dxa"/>
            <w:shd w:val="clear" w:color="auto" w:fill="auto"/>
            <w:noWrap/>
            <w:vAlign w:val="center"/>
            <w:hideMark/>
          </w:tcPr>
          <w:p w14:paraId="70AC7D75" w14:textId="77777777" w:rsidR="00260138" w:rsidRPr="008E6E0D" w:rsidRDefault="00260138" w:rsidP="00260138">
            <w:pPr>
              <w:jc w:val="center"/>
              <w:rPr>
                <w:sz w:val="16"/>
                <w:szCs w:val="16"/>
              </w:rPr>
            </w:pPr>
            <w:r w:rsidRPr="008E6E0D">
              <w:rPr>
                <w:sz w:val="16"/>
                <w:szCs w:val="16"/>
              </w:rPr>
              <w:t>0.263</w:t>
            </w:r>
          </w:p>
        </w:tc>
        <w:tc>
          <w:tcPr>
            <w:tcW w:w="1066" w:type="dxa"/>
            <w:shd w:val="clear" w:color="auto" w:fill="auto"/>
            <w:noWrap/>
            <w:vAlign w:val="center"/>
            <w:hideMark/>
          </w:tcPr>
          <w:p w14:paraId="2455DEFA" w14:textId="77777777" w:rsidR="00260138" w:rsidRPr="008E6E0D" w:rsidRDefault="00260138" w:rsidP="00260138">
            <w:pPr>
              <w:jc w:val="center"/>
              <w:rPr>
                <w:sz w:val="16"/>
                <w:szCs w:val="16"/>
              </w:rPr>
            </w:pPr>
            <w:r w:rsidRPr="008E6E0D">
              <w:rPr>
                <w:sz w:val="16"/>
                <w:szCs w:val="16"/>
              </w:rPr>
              <w:t>1 ± 2</w:t>
            </w:r>
          </w:p>
        </w:tc>
        <w:tc>
          <w:tcPr>
            <w:tcW w:w="1119" w:type="dxa"/>
            <w:shd w:val="clear" w:color="auto" w:fill="auto"/>
            <w:noWrap/>
            <w:vAlign w:val="center"/>
            <w:hideMark/>
          </w:tcPr>
          <w:p w14:paraId="0D57DED6" w14:textId="77777777" w:rsidR="00260138" w:rsidRPr="008E6E0D" w:rsidRDefault="00260138" w:rsidP="00260138">
            <w:pPr>
              <w:jc w:val="center"/>
              <w:rPr>
                <w:sz w:val="16"/>
                <w:szCs w:val="16"/>
              </w:rPr>
            </w:pPr>
            <w:r w:rsidRPr="008E6E0D">
              <w:rPr>
                <w:sz w:val="16"/>
                <w:szCs w:val="16"/>
              </w:rPr>
              <w:t>1 ± 1</w:t>
            </w:r>
          </w:p>
        </w:tc>
        <w:tc>
          <w:tcPr>
            <w:tcW w:w="895" w:type="dxa"/>
            <w:shd w:val="clear" w:color="auto" w:fill="auto"/>
            <w:noWrap/>
            <w:vAlign w:val="center"/>
            <w:hideMark/>
          </w:tcPr>
          <w:p w14:paraId="7F0C6C30" w14:textId="77777777" w:rsidR="00260138" w:rsidRPr="008E6E0D" w:rsidRDefault="00260138" w:rsidP="00260138">
            <w:pPr>
              <w:jc w:val="center"/>
              <w:rPr>
                <w:sz w:val="16"/>
                <w:szCs w:val="16"/>
              </w:rPr>
            </w:pPr>
            <w:r w:rsidRPr="008E6E0D">
              <w:rPr>
                <w:sz w:val="16"/>
                <w:szCs w:val="16"/>
              </w:rPr>
              <w:t>0.148</w:t>
            </w:r>
          </w:p>
        </w:tc>
      </w:tr>
      <w:tr w:rsidR="00260138" w:rsidRPr="008E6E0D" w14:paraId="424583F0" w14:textId="77777777" w:rsidTr="006249CF">
        <w:trPr>
          <w:trHeight w:val="190"/>
          <w:jc w:val="center"/>
        </w:trPr>
        <w:tc>
          <w:tcPr>
            <w:tcW w:w="2018" w:type="dxa"/>
            <w:shd w:val="clear" w:color="auto" w:fill="auto"/>
            <w:noWrap/>
            <w:vAlign w:val="center"/>
            <w:hideMark/>
          </w:tcPr>
          <w:p w14:paraId="7218747E" w14:textId="77777777" w:rsidR="00260138" w:rsidRPr="008E6E0D" w:rsidRDefault="00260138" w:rsidP="00260138">
            <w:pPr>
              <w:rPr>
                <w:color w:val="000000"/>
                <w:sz w:val="16"/>
                <w:szCs w:val="16"/>
              </w:rPr>
            </w:pPr>
            <w:r w:rsidRPr="008E6E0D">
              <w:rPr>
                <w:color w:val="000000"/>
                <w:sz w:val="16"/>
                <w:szCs w:val="16"/>
              </w:rPr>
              <w:t>SAPS, mean ± SD</w:t>
            </w:r>
          </w:p>
        </w:tc>
        <w:tc>
          <w:tcPr>
            <w:tcW w:w="1268" w:type="dxa"/>
            <w:shd w:val="clear" w:color="auto" w:fill="auto"/>
            <w:noWrap/>
            <w:vAlign w:val="center"/>
            <w:hideMark/>
          </w:tcPr>
          <w:p w14:paraId="2F3A0634" w14:textId="77777777" w:rsidR="00260138" w:rsidRPr="008E6E0D" w:rsidRDefault="00260138" w:rsidP="00260138">
            <w:pPr>
              <w:jc w:val="center"/>
              <w:rPr>
                <w:sz w:val="16"/>
                <w:szCs w:val="16"/>
              </w:rPr>
            </w:pPr>
            <w:r w:rsidRPr="008E6E0D">
              <w:rPr>
                <w:sz w:val="16"/>
                <w:szCs w:val="16"/>
              </w:rPr>
              <w:t>45 ± 13</w:t>
            </w:r>
          </w:p>
        </w:tc>
        <w:tc>
          <w:tcPr>
            <w:tcW w:w="975" w:type="dxa"/>
            <w:shd w:val="clear" w:color="auto" w:fill="auto"/>
            <w:noWrap/>
            <w:vAlign w:val="center"/>
            <w:hideMark/>
          </w:tcPr>
          <w:p w14:paraId="600CB941" w14:textId="77777777" w:rsidR="00260138" w:rsidRPr="008E6E0D" w:rsidRDefault="00260138" w:rsidP="00260138">
            <w:pPr>
              <w:jc w:val="center"/>
              <w:rPr>
                <w:sz w:val="16"/>
                <w:szCs w:val="16"/>
              </w:rPr>
            </w:pPr>
            <w:r w:rsidRPr="008E6E0D">
              <w:rPr>
                <w:sz w:val="16"/>
                <w:szCs w:val="16"/>
              </w:rPr>
              <w:t>53 ± 16</w:t>
            </w:r>
          </w:p>
        </w:tc>
        <w:tc>
          <w:tcPr>
            <w:tcW w:w="967" w:type="dxa"/>
            <w:shd w:val="clear" w:color="auto" w:fill="auto"/>
            <w:noWrap/>
            <w:vAlign w:val="center"/>
            <w:hideMark/>
          </w:tcPr>
          <w:p w14:paraId="632BCD93" w14:textId="74EAFFEC" w:rsidR="00260138" w:rsidRPr="008E6E0D" w:rsidRDefault="00260138" w:rsidP="00260138">
            <w:pPr>
              <w:jc w:val="center"/>
              <w:rPr>
                <w:sz w:val="16"/>
                <w:szCs w:val="16"/>
              </w:rPr>
            </w:pPr>
            <w:r w:rsidRPr="008E6E0D">
              <w:rPr>
                <w:sz w:val="16"/>
                <w:szCs w:val="16"/>
              </w:rPr>
              <w:t>4.56</w:t>
            </w:r>
            <w:r w:rsidR="003249BB" w:rsidRPr="008E6E0D">
              <w:rPr>
                <w:sz w:val="16"/>
                <w:szCs w:val="16"/>
              </w:rPr>
              <w:t>x10</w:t>
            </w:r>
            <w:r w:rsidRPr="008E6E0D">
              <w:rPr>
                <w:sz w:val="16"/>
                <w:szCs w:val="16"/>
                <w:vertAlign w:val="superscript"/>
              </w:rPr>
              <w:t>-5</w:t>
            </w:r>
          </w:p>
        </w:tc>
        <w:tc>
          <w:tcPr>
            <w:tcW w:w="1066" w:type="dxa"/>
            <w:shd w:val="clear" w:color="auto" w:fill="auto"/>
            <w:noWrap/>
            <w:vAlign w:val="center"/>
            <w:hideMark/>
          </w:tcPr>
          <w:p w14:paraId="227A6DE0" w14:textId="77777777" w:rsidR="00260138" w:rsidRPr="008E6E0D" w:rsidRDefault="00260138" w:rsidP="00260138">
            <w:pPr>
              <w:jc w:val="center"/>
              <w:rPr>
                <w:sz w:val="16"/>
                <w:szCs w:val="16"/>
              </w:rPr>
            </w:pPr>
            <w:r w:rsidRPr="008E6E0D">
              <w:rPr>
                <w:sz w:val="16"/>
                <w:szCs w:val="16"/>
              </w:rPr>
              <w:t>50 ± 16</w:t>
            </w:r>
          </w:p>
        </w:tc>
        <w:tc>
          <w:tcPr>
            <w:tcW w:w="1119" w:type="dxa"/>
            <w:shd w:val="clear" w:color="auto" w:fill="auto"/>
            <w:noWrap/>
            <w:vAlign w:val="center"/>
            <w:hideMark/>
          </w:tcPr>
          <w:p w14:paraId="4DD5EC50" w14:textId="77777777" w:rsidR="00260138" w:rsidRPr="008E6E0D" w:rsidRDefault="00260138" w:rsidP="00260138">
            <w:pPr>
              <w:jc w:val="center"/>
              <w:rPr>
                <w:sz w:val="16"/>
                <w:szCs w:val="16"/>
              </w:rPr>
            </w:pPr>
            <w:r w:rsidRPr="008E6E0D">
              <w:rPr>
                <w:sz w:val="16"/>
                <w:szCs w:val="16"/>
              </w:rPr>
              <w:t>48 ± 26</w:t>
            </w:r>
          </w:p>
        </w:tc>
        <w:tc>
          <w:tcPr>
            <w:tcW w:w="895" w:type="dxa"/>
            <w:shd w:val="clear" w:color="auto" w:fill="auto"/>
            <w:noWrap/>
            <w:vAlign w:val="center"/>
            <w:hideMark/>
          </w:tcPr>
          <w:p w14:paraId="22D78CE9" w14:textId="77777777" w:rsidR="00260138" w:rsidRPr="008E6E0D" w:rsidRDefault="00260138" w:rsidP="00260138">
            <w:pPr>
              <w:jc w:val="center"/>
              <w:rPr>
                <w:sz w:val="16"/>
                <w:szCs w:val="16"/>
              </w:rPr>
            </w:pPr>
            <w:r w:rsidRPr="008E6E0D">
              <w:rPr>
                <w:sz w:val="16"/>
                <w:szCs w:val="16"/>
              </w:rPr>
              <w:t>0.892</w:t>
            </w:r>
          </w:p>
        </w:tc>
      </w:tr>
      <w:tr w:rsidR="00260138" w:rsidRPr="008E6E0D" w14:paraId="6817516F" w14:textId="77777777" w:rsidTr="006249CF">
        <w:trPr>
          <w:trHeight w:val="190"/>
          <w:jc w:val="center"/>
        </w:trPr>
        <w:tc>
          <w:tcPr>
            <w:tcW w:w="2018" w:type="dxa"/>
            <w:shd w:val="clear" w:color="auto" w:fill="auto"/>
            <w:noWrap/>
            <w:vAlign w:val="center"/>
            <w:hideMark/>
          </w:tcPr>
          <w:p w14:paraId="7FE357FD" w14:textId="77777777" w:rsidR="00260138" w:rsidRPr="008E6E0D" w:rsidRDefault="00260138" w:rsidP="00260138">
            <w:pPr>
              <w:rPr>
                <w:color w:val="000000"/>
                <w:sz w:val="16"/>
                <w:szCs w:val="16"/>
              </w:rPr>
            </w:pPr>
            <w:r w:rsidRPr="008E6E0D">
              <w:rPr>
                <w:color w:val="000000"/>
                <w:sz w:val="16"/>
                <w:szCs w:val="16"/>
              </w:rPr>
              <w:t>APACHE II, mean ± SD</w:t>
            </w:r>
          </w:p>
        </w:tc>
        <w:tc>
          <w:tcPr>
            <w:tcW w:w="1268" w:type="dxa"/>
            <w:shd w:val="clear" w:color="auto" w:fill="auto"/>
            <w:noWrap/>
            <w:vAlign w:val="center"/>
            <w:hideMark/>
          </w:tcPr>
          <w:p w14:paraId="4FB381E4" w14:textId="77777777" w:rsidR="00260138" w:rsidRPr="008E6E0D" w:rsidRDefault="00260138" w:rsidP="00260138">
            <w:pPr>
              <w:jc w:val="center"/>
              <w:rPr>
                <w:sz w:val="16"/>
                <w:szCs w:val="16"/>
              </w:rPr>
            </w:pPr>
            <w:r w:rsidRPr="008E6E0D">
              <w:rPr>
                <w:sz w:val="16"/>
                <w:szCs w:val="16"/>
              </w:rPr>
              <w:t xml:space="preserve">20 ± 7 </w:t>
            </w:r>
          </w:p>
        </w:tc>
        <w:tc>
          <w:tcPr>
            <w:tcW w:w="975" w:type="dxa"/>
            <w:shd w:val="clear" w:color="auto" w:fill="auto"/>
            <w:noWrap/>
            <w:vAlign w:val="center"/>
            <w:hideMark/>
          </w:tcPr>
          <w:p w14:paraId="348AE0C5" w14:textId="77777777" w:rsidR="00260138" w:rsidRPr="008E6E0D" w:rsidRDefault="00260138" w:rsidP="00260138">
            <w:pPr>
              <w:jc w:val="center"/>
              <w:rPr>
                <w:sz w:val="16"/>
                <w:szCs w:val="16"/>
              </w:rPr>
            </w:pPr>
            <w:r w:rsidRPr="008E6E0D">
              <w:rPr>
                <w:sz w:val="16"/>
                <w:szCs w:val="16"/>
              </w:rPr>
              <w:t>25 ± 7</w:t>
            </w:r>
          </w:p>
        </w:tc>
        <w:tc>
          <w:tcPr>
            <w:tcW w:w="967" w:type="dxa"/>
            <w:shd w:val="clear" w:color="auto" w:fill="auto"/>
            <w:noWrap/>
            <w:vAlign w:val="center"/>
            <w:hideMark/>
          </w:tcPr>
          <w:p w14:paraId="4EDDB058" w14:textId="36D8EB44" w:rsidR="00260138" w:rsidRPr="008E6E0D" w:rsidRDefault="00260138" w:rsidP="00260138">
            <w:pPr>
              <w:jc w:val="center"/>
              <w:rPr>
                <w:sz w:val="16"/>
                <w:szCs w:val="16"/>
              </w:rPr>
            </w:pPr>
            <w:r w:rsidRPr="008E6E0D">
              <w:rPr>
                <w:sz w:val="16"/>
                <w:szCs w:val="16"/>
              </w:rPr>
              <w:t>1.72</w:t>
            </w:r>
            <w:r w:rsidR="003249BB" w:rsidRPr="008E6E0D">
              <w:rPr>
                <w:sz w:val="16"/>
                <w:szCs w:val="16"/>
              </w:rPr>
              <w:t>x10</w:t>
            </w:r>
            <w:r w:rsidRPr="008E6E0D">
              <w:rPr>
                <w:sz w:val="16"/>
                <w:szCs w:val="16"/>
                <w:vertAlign w:val="superscript"/>
              </w:rPr>
              <w:t>-10</w:t>
            </w:r>
          </w:p>
        </w:tc>
        <w:tc>
          <w:tcPr>
            <w:tcW w:w="1066" w:type="dxa"/>
            <w:shd w:val="clear" w:color="auto" w:fill="auto"/>
            <w:noWrap/>
            <w:vAlign w:val="center"/>
            <w:hideMark/>
          </w:tcPr>
          <w:p w14:paraId="29C30473" w14:textId="77777777" w:rsidR="00260138" w:rsidRPr="008E6E0D" w:rsidRDefault="00260138" w:rsidP="00260138">
            <w:pPr>
              <w:jc w:val="center"/>
              <w:rPr>
                <w:sz w:val="16"/>
                <w:szCs w:val="16"/>
              </w:rPr>
            </w:pPr>
            <w:r w:rsidRPr="008E6E0D">
              <w:rPr>
                <w:sz w:val="16"/>
                <w:szCs w:val="16"/>
              </w:rPr>
              <w:t xml:space="preserve">17 ± 7 </w:t>
            </w:r>
          </w:p>
        </w:tc>
        <w:tc>
          <w:tcPr>
            <w:tcW w:w="1119" w:type="dxa"/>
            <w:shd w:val="clear" w:color="auto" w:fill="auto"/>
            <w:noWrap/>
            <w:vAlign w:val="center"/>
            <w:hideMark/>
          </w:tcPr>
          <w:p w14:paraId="398E7982" w14:textId="77777777" w:rsidR="00260138" w:rsidRPr="008E6E0D" w:rsidRDefault="00260138" w:rsidP="00260138">
            <w:pPr>
              <w:jc w:val="center"/>
              <w:rPr>
                <w:sz w:val="16"/>
                <w:szCs w:val="16"/>
              </w:rPr>
            </w:pPr>
            <w:r w:rsidRPr="008E6E0D">
              <w:rPr>
                <w:sz w:val="16"/>
                <w:szCs w:val="16"/>
              </w:rPr>
              <w:t>22 ± 7</w:t>
            </w:r>
          </w:p>
        </w:tc>
        <w:tc>
          <w:tcPr>
            <w:tcW w:w="895" w:type="dxa"/>
            <w:shd w:val="clear" w:color="auto" w:fill="auto"/>
            <w:noWrap/>
            <w:vAlign w:val="center"/>
            <w:hideMark/>
          </w:tcPr>
          <w:p w14:paraId="29D83FE1" w14:textId="7EA187A1" w:rsidR="00260138" w:rsidRPr="008E6E0D" w:rsidRDefault="00260138" w:rsidP="00260138">
            <w:pPr>
              <w:jc w:val="center"/>
              <w:rPr>
                <w:sz w:val="16"/>
                <w:szCs w:val="16"/>
              </w:rPr>
            </w:pPr>
            <w:r w:rsidRPr="008E6E0D">
              <w:rPr>
                <w:sz w:val="16"/>
                <w:szCs w:val="16"/>
              </w:rPr>
              <w:t>2.64</w:t>
            </w:r>
            <w:r w:rsidR="008605BC" w:rsidRPr="008E6E0D">
              <w:rPr>
                <w:sz w:val="16"/>
                <w:szCs w:val="16"/>
              </w:rPr>
              <w:t>x10</w:t>
            </w:r>
            <w:r w:rsidRPr="008E6E0D">
              <w:rPr>
                <w:sz w:val="16"/>
                <w:szCs w:val="16"/>
                <w:vertAlign w:val="superscript"/>
              </w:rPr>
              <w:t>-4</w:t>
            </w:r>
          </w:p>
        </w:tc>
      </w:tr>
      <w:tr w:rsidR="00260138" w:rsidRPr="008E6E0D" w14:paraId="006AF653" w14:textId="77777777" w:rsidTr="006249CF">
        <w:trPr>
          <w:trHeight w:val="190"/>
          <w:jc w:val="center"/>
        </w:trPr>
        <w:tc>
          <w:tcPr>
            <w:tcW w:w="2018" w:type="dxa"/>
            <w:shd w:val="clear" w:color="auto" w:fill="auto"/>
            <w:noWrap/>
            <w:vAlign w:val="center"/>
            <w:hideMark/>
          </w:tcPr>
          <w:p w14:paraId="619C0017" w14:textId="77777777" w:rsidR="00260138" w:rsidRPr="008E6E0D" w:rsidRDefault="00260138" w:rsidP="00260138">
            <w:pPr>
              <w:rPr>
                <w:sz w:val="16"/>
                <w:szCs w:val="16"/>
              </w:rPr>
            </w:pPr>
            <w:r w:rsidRPr="008E6E0D">
              <w:rPr>
                <w:sz w:val="16"/>
                <w:szCs w:val="16"/>
              </w:rPr>
              <w:t>SOFA, mean ± SD</w:t>
            </w:r>
          </w:p>
        </w:tc>
        <w:tc>
          <w:tcPr>
            <w:tcW w:w="1268" w:type="dxa"/>
            <w:shd w:val="clear" w:color="auto" w:fill="auto"/>
            <w:noWrap/>
            <w:vAlign w:val="center"/>
            <w:hideMark/>
          </w:tcPr>
          <w:p w14:paraId="38BC5A5B" w14:textId="77777777" w:rsidR="00260138" w:rsidRPr="008E6E0D" w:rsidRDefault="00260138" w:rsidP="00260138">
            <w:pPr>
              <w:jc w:val="center"/>
              <w:rPr>
                <w:sz w:val="16"/>
                <w:szCs w:val="16"/>
              </w:rPr>
            </w:pPr>
            <w:r w:rsidRPr="008E6E0D">
              <w:rPr>
                <w:sz w:val="16"/>
                <w:szCs w:val="16"/>
              </w:rPr>
              <w:t xml:space="preserve">8 ± 4 </w:t>
            </w:r>
          </w:p>
        </w:tc>
        <w:tc>
          <w:tcPr>
            <w:tcW w:w="975" w:type="dxa"/>
            <w:shd w:val="clear" w:color="auto" w:fill="auto"/>
            <w:noWrap/>
            <w:vAlign w:val="center"/>
            <w:hideMark/>
          </w:tcPr>
          <w:p w14:paraId="2CE33365" w14:textId="77777777" w:rsidR="00260138" w:rsidRPr="008E6E0D" w:rsidRDefault="00260138" w:rsidP="00260138">
            <w:pPr>
              <w:jc w:val="center"/>
              <w:rPr>
                <w:sz w:val="16"/>
                <w:szCs w:val="16"/>
              </w:rPr>
            </w:pPr>
            <w:r w:rsidRPr="008E6E0D">
              <w:rPr>
                <w:sz w:val="16"/>
                <w:szCs w:val="16"/>
              </w:rPr>
              <w:t>9 ± 5</w:t>
            </w:r>
          </w:p>
        </w:tc>
        <w:tc>
          <w:tcPr>
            <w:tcW w:w="967" w:type="dxa"/>
            <w:shd w:val="clear" w:color="auto" w:fill="auto"/>
            <w:noWrap/>
            <w:vAlign w:val="center"/>
            <w:hideMark/>
          </w:tcPr>
          <w:p w14:paraId="23377778" w14:textId="22626F7A" w:rsidR="00260138" w:rsidRPr="008E6E0D" w:rsidRDefault="00260138" w:rsidP="00260138">
            <w:pPr>
              <w:jc w:val="center"/>
              <w:rPr>
                <w:sz w:val="16"/>
                <w:szCs w:val="16"/>
              </w:rPr>
            </w:pPr>
            <w:r w:rsidRPr="008E6E0D">
              <w:rPr>
                <w:sz w:val="16"/>
                <w:szCs w:val="16"/>
              </w:rPr>
              <w:t>3.71</w:t>
            </w:r>
            <w:r w:rsidR="00F63070" w:rsidRPr="008E6E0D">
              <w:rPr>
                <w:sz w:val="16"/>
                <w:szCs w:val="16"/>
              </w:rPr>
              <w:t>x10</w:t>
            </w:r>
            <w:r w:rsidRPr="008E6E0D">
              <w:rPr>
                <w:sz w:val="16"/>
                <w:szCs w:val="16"/>
                <w:vertAlign w:val="superscript"/>
              </w:rPr>
              <w:t>-3</w:t>
            </w:r>
          </w:p>
        </w:tc>
        <w:tc>
          <w:tcPr>
            <w:tcW w:w="1066" w:type="dxa"/>
            <w:shd w:val="clear" w:color="auto" w:fill="auto"/>
            <w:noWrap/>
            <w:vAlign w:val="center"/>
            <w:hideMark/>
          </w:tcPr>
          <w:p w14:paraId="21EEFEE7" w14:textId="77777777" w:rsidR="00260138" w:rsidRPr="008E6E0D" w:rsidRDefault="00260138" w:rsidP="00260138">
            <w:pPr>
              <w:jc w:val="center"/>
              <w:rPr>
                <w:sz w:val="16"/>
                <w:szCs w:val="16"/>
              </w:rPr>
            </w:pPr>
            <w:r w:rsidRPr="008E6E0D">
              <w:rPr>
                <w:sz w:val="16"/>
                <w:szCs w:val="16"/>
              </w:rPr>
              <w:t xml:space="preserve">7 ± 3 </w:t>
            </w:r>
          </w:p>
        </w:tc>
        <w:tc>
          <w:tcPr>
            <w:tcW w:w="1119" w:type="dxa"/>
            <w:shd w:val="clear" w:color="auto" w:fill="auto"/>
            <w:noWrap/>
            <w:vAlign w:val="center"/>
            <w:hideMark/>
          </w:tcPr>
          <w:p w14:paraId="68B5A242" w14:textId="77777777" w:rsidR="00260138" w:rsidRPr="008E6E0D" w:rsidRDefault="00260138" w:rsidP="00260138">
            <w:pPr>
              <w:jc w:val="center"/>
              <w:rPr>
                <w:sz w:val="16"/>
                <w:szCs w:val="16"/>
              </w:rPr>
            </w:pPr>
            <w:r w:rsidRPr="008E6E0D">
              <w:rPr>
                <w:sz w:val="16"/>
                <w:szCs w:val="16"/>
              </w:rPr>
              <w:t>10 ± 4</w:t>
            </w:r>
          </w:p>
        </w:tc>
        <w:tc>
          <w:tcPr>
            <w:tcW w:w="895" w:type="dxa"/>
            <w:shd w:val="clear" w:color="auto" w:fill="auto"/>
            <w:noWrap/>
            <w:vAlign w:val="center"/>
            <w:hideMark/>
          </w:tcPr>
          <w:p w14:paraId="1B1E9C9D" w14:textId="480006F2" w:rsidR="00260138" w:rsidRPr="008E6E0D" w:rsidRDefault="00260138" w:rsidP="00260138">
            <w:pPr>
              <w:jc w:val="center"/>
              <w:rPr>
                <w:sz w:val="16"/>
                <w:szCs w:val="16"/>
              </w:rPr>
            </w:pPr>
            <w:r w:rsidRPr="008E6E0D">
              <w:rPr>
                <w:sz w:val="16"/>
                <w:szCs w:val="16"/>
              </w:rPr>
              <w:t>7.21</w:t>
            </w:r>
            <w:r w:rsidR="008605BC" w:rsidRPr="008E6E0D">
              <w:rPr>
                <w:sz w:val="16"/>
                <w:szCs w:val="16"/>
              </w:rPr>
              <w:t>x10</w:t>
            </w:r>
            <w:r w:rsidRPr="008E6E0D">
              <w:rPr>
                <w:sz w:val="16"/>
                <w:szCs w:val="16"/>
                <w:vertAlign w:val="superscript"/>
              </w:rPr>
              <w:t>-4</w:t>
            </w:r>
          </w:p>
        </w:tc>
      </w:tr>
      <w:tr w:rsidR="00260138" w:rsidRPr="008E6E0D" w14:paraId="208E8210" w14:textId="77777777" w:rsidTr="006249CF">
        <w:trPr>
          <w:trHeight w:val="190"/>
          <w:jc w:val="center"/>
        </w:trPr>
        <w:tc>
          <w:tcPr>
            <w:tcW w:w="2018" w:type="dxa"/>
            <w:shd w:val="clear" w:color="auto" w:fill="auto"/>
            <w:noWrap/>
            <w:vAlign w:val="center"/>
            <w:hideMark/>
          </w:tcPr>
          <w:p w14:paraId="227885FA" w14:textId="77777777" w:rsidR="00260138" w:rsidRPr="008E6E0D" w:rsidRDefault="00260138" w:rsidP="00260138">
            <w:pPr>
              <w:rPr>
                <w:sz w:val="16"/>
                <w:szCs w:val="16"/>
              </w:rPr>
            </w:pPr>
            <w:r w:rsidRPr="008E6E0D">
              <w:rPr>
                <w:sz w:val="16"/>
                <w:szCs w:val="16"/>
              </w:rPr>
              <w:t>ARDS, % (N)</w:t>
            </w:r>
          </w:p>
        </w:tc>
        <w:tc>
          <w:tcPr>
            <w:tcW w:w="1268" w:type="dxa"/>
            <w:shd w:val="clear" w:color="auto" w:fill="auto"/>
            <w:noWrap/>
            <w:vAlign w:val="center"/>
            <w:hideMark/>
          </w:tcPr>
          <w:p w14:paraId="04B887AA" w14:textId="77777777" w:rsidR="00260138" w:rsidRPr="008E6E0D" w:rsidRDefault="00260138" w:rsidP="00260138">
            <w:pPr>
              <w:jc w:val="center"/>
              <w:rPr>
                <w:sz w:val="16"/>
                <w:szCs w:val="16"/>
              </w:rPr>
            </w:pPr>
            <w:r w:rsidRPr="008E6E0D">
              <w:rPr>
                <w:sz w:val="16"/>
                <w:szCs w:val="16"/>
              </w:rPr>
              <w:t>44 (145)</w:t>
            </w:r>
          </w:p>
        </w:tc>
        <w:tc>
          <w:tcPr>
            <w:tcW w:w="975" w:type="dxa"/>
            <w:shd w:val="clear" w:color="auto" w:fill="auto"/>
            <w:noWrap/>
            <w:vAlign w:val="center"/>
            <w:hideMark/>
          </w:tcPr>
          <w:p w14:paraId="36393A72" w14:textId="77777777" w:rsidR="00260138" w:rsidRPr="008E6E0D" w:rsidRDefault="00260138" w:rsidP="00260138">
            <w:pPr>
              <w:jc w:val="center"/>
              <w:rPr>
                <w:sz w:val="16"/>
                <w:szCs w:val="16"/>
              </w:rPr>
            </w:pPr>
            <w:r w:rsidRPr="008E6E0D">
              <w:rPr>
                <w:sz w:val="16"/>
                <w:szCs w:val="16"/>
              </w:rPr>
              <w:t>60 (87)</w:t>
            </w:r>
          </w:p>
        </w:tc>
        <w:tc>
          <w:tcPr>
            <w:tcW w:w="967" w:type="dxa"/>
            <w:shd w:val="clear" w:color="auto" w:fill="auto"/>
            <w:noWrap/>
            <w:vAlign w:val="center"/>
            <w:hideMark/>
          </w:tcPr>
          <w:p w14:paraId="4C83F3A7" w14:textId="355B6EA4" w:rsidR="00260138" w:rsidRPr="008E6E0D" w:rsidRDefault="00260138" w:rsidP="00260138">
            <w:pPr>
              <w:jc w:val="center"/>
              <w:rPr>
                <w:sz w:val="16"/>
                <w:szCs w:val="16"/>
              </w:rPr>
            </w:pPr>
            <w:r w:rsidRPr="008E6E0D">
              <w:rPr>
                <w:sz w:val="16"/>
                <w:szCs w:val="16"/>
              </w:rPr>
              <w:t>2.51</w:t>
            </w:r>
            <w:r w:rsidR="00F63070" w:rsidRPr="008E6E0D">
              <w:rPr>
                <w:sz w:val="16"/>
                <w:szCs w:val="16"/>
              </w:rPr>
              <w:t>x10</w:t>
            </w:r>
            <w:r w:rsidRPr="008E6E0D">
              <w:rPr>
                <w:sz w:val="16"/>
                <w:szCs w:val="16"/>
                <w:vertAlign w:val="superscript"/>
              </w:rPr>
              <w:t>-3</w:t>
            </w:r>
          </w:p>
        </w:tc>
        <w:tc>
          <w:tcPr>
            <w:tcW w:w="1066" w:type="dxa"/>
            <w:shd w:val="clear" w:color="auto" w:fill="auto"/>
            <w:noWrap/>
            <w:vAlign w:val="center"/>
            <w:hideMark/>
          </w:tcPr>
          <w:p w14:paraId="7D2733B8" w14:textId="77777777" w:rsidR="00260138" w:rsidRPr="008E6E0D" w:rsidRDefault="00260138" w:rsidP="00260138">
            <w:pPr>
              <w:jc w:val="center"/>
              <w:rPr>
                <w:sz w:val="16"/>
                <w:szCs w:val="16"/>
              </w:rPr>
            </w:pPr>
            <w:r w:rsidRPr="008E6E0D">
              <w:rPr>
                <w:sz w:val="16"/>
                <w:szCs w:val="16"/>
              </w:rPr>
              <w:t>13 (23)</w:t>
            </w:r>
          </w:p>
        </w:tc>
        <w:tc>
          <w:tcPr>
            <w:tcW w:w="1119" w:type="dxa"/>
            <w:shd w:val="clear" w:color="auto" w:fill="auto"/>
            <w:noWrap/>
            <w:vAlign w:val="center"/>
            <w:hideMark/>
          </w:tcPr>
          <w:p w14:paraId="63F802D1" w14:textId="77777777" w:rsidR="00260138" w:rsidRPr="008E6E0D" w:rsidRDefault="00260138" w:rsidP="00260138">
            <w:pPr>
              <w:jc w:val="center"/>
              <w:rPr>
                <w:sz w:val="16"/>
                <w:szCs w:val="16"/>
              </w:rPr>
            </w:pPr>
            <w:r w:rsidRPr="008E6E0D">
              <w:rPr>
                <w:sz w:val="16"/>
                <w:szCs w:val="16"/>
              </w:rPr>
              <w:t>26 (9)</w:t>
            </w:r>
          </w:p>
        </w:tc>
        <w:tc>
          <w:tcPr>
            <w:tcW w:w="895" w:type="dxa"/>
            <w:shd w:val="clear" w:color="auto" w:fill="auto"/>
            <w:noWrap/>
            <w:vAlign w:val="center"/>
            <w:hideMark/>
          </w:tcPr>
          <w:p w14:paraId="3C90F833" w14:textId="77777777" w:rsidR="00260138" w:rsidRPr="008E6E0D" w:rsidRDefault="00260138" w:rsidP="00260138">
            <w:pPr>
              <w:jc w:val="center"/>
              <w:rPr>
                <w:sz w:val="16"/>
                <w:szCs w:val="16"/>
              </w:rPr>
            </w:pPr>
            <w:r w:rsidRPr="008E6E0D">
              <w:rPr>
                <w:sz w:val="16"/>
                <w:szCs w:val="16"/>
              </w:rPr>
              <w:t>0.096</w:t>
            </w:r>
          </w:p>
        </w:tc>
      </w:tr>
      <w:tr w:rsidR="00260138" w:rsidRPr="008E6E0D" w14:paraId="1B8E39B4" w14:textId="77777777" w:rsidTr="006249CF">
        <w:trPr>
          <w:trHeight w:val="212"/>
          <w:jc w:val="center"/>
        </w:trPr>
        <w:tc>
          <w:tcPr>
            <w:tcW w:w="2018" w:type="dxa"/>
            <w:shd w:val="clear" w:color="auto" w:fill="auto"/>
            <w:noWrap/>
            <w:vAlign w:val="center"/>
            <w:hideMark/>
          </w:tcPr>
          <w:p w14:paraId="162068DF" w14:textId="77777777" w:rsidR="00260138" w:rsidRPr="008E6E0D" w:rsidRDefault="00260138" w:rsidP="00260138">
            <w:pPr>
              <w:rPr>
                <w:sz w:val="16"/>
                <w:szCs w:val="16"/>
              </w:rPr>
            </w:pPr>
            <w:r w:rsidRPr="008E6E0D">
              <w:rPr>
                <w:sz w:val="16"/>
                <w:szCs w:val="16"/>
              </w:rPr>
              <w:t>Comorbidities</w:t>
            </w:r>
            <w:r w:rsidRPr="008E6E0D">
              <w:rPr>
                <w:sz w:val="16"/>
                <w:szCs w:val="16"/>
                <w:vertAlign w:val="superscript"/>
              </w:rPr>
              <w:t>$</w:t>
            </w:r>
            <w:r w:rsidRPr="008E6E0D">
              <w:rPr>
                <w:sz w:val="16"/>
                <w:szCs w:val="16"/>
              </w:rPr>
              <w:t>, % (N)</w:t>
            </w:r>
          </w:p>
        </w:tc>
        <w:tc>
          <w:tcPr>
            <w:tcW w:w="1268" w:type="dxa"/>
            <w:shd w:val="clear" w:color="auto" w:fill="auto"/>
            <w:noWrap/>
            <w:vAlign w:val="center"/>
            <w:hideMark/>
          </w:tcPr>
          <w:p w14:paraId="7463EA4E" w14:textId="77777777" w:rsidR="00260138" w:rsidRPr="008E6E0D" w:rsidRDefault="00260138" w:rsidP="00260138">
            <w:pPr>
              <w:jc w:val="center"/>
              <w:rPr>
                <w:sz w:val="16"/>
                <w:szCs w:val="16"/>
              </w:rPr>
            </w:pPr>
            <w:r w:rsidRPr="008E6E0D">
              <w:rPr>
                <w:sz w:val="16"/>
                <w:szCs w:val="16"/>
              </w:rPr>
              <w:t>41 (118)</w:t>
            </w:r>
          </w:p>
        </w:tc>
        <w:tc>
          <w:tcPr>
            <w:tcW w:w="975" w:type="dxa"/>
            <w:shd w:val="clear" w:color="auto" w:fill="auto"/>
            <w:noWrap/>
            <w:vAlign w:val="center"/>
            <w:hideMark/>
          </w:tcPr>
          <w:p w14:paraId="3820B47D" w14:textId="77777777" w:rsidR="00260138" w:rsidRPr="008E6E0D" w:rsidRDefault="00260138" w:rsidP="00260138">
            <w:pPr>
              <w:jc w:val="center"/>
              <w:rPr>
                <w:sz w:val="16"/>
                <w:szCs w:val="16"/>
              </w:rPr>
            </w:pPr>
            <w:r w:rsidRPr="008E6E0D">
              <w:rPr>
                <w:sz w:val="16"/>
                <w:szCs w:val="16"/>
              </w:rPr>
              <w:t>52 (56)</w:t>
            </w:r>
          </w:p>
        </w:tc>
        <w:tc>
          <w:tcPr>
            <w:tcW w:w="967" w:type="dxa"/>
            <w:shd w:val="clear" w:color="auto" w:fill="auto"/>
            <w:noWrap/>
            <w:vAlign w:val="center"/>
            <w:hideMark/>
          </w:tcPr>
          <w:p w14:paraId="59B8E684" w14:textId="77777777" w:rsidR="00260138" w:rsidRPr="008E6E0D" w:rsidRDefault="00260138" w:rsidP="00260138">
            <w:pPr>
              <w:jc w:val="center"/>
              <w:rPr>
                <w:sz w:val="16"/>
                <w:szCs w:val="16"/>
              </w:rPr>
            </w:pPr>
            <w:r w:rsidRPr="008E6E0D">
              <w:rPr>
                <w:sz w:val="16"/>
                <w:szCs w:val="16"/>
              </w:rPr>
              <w:t>0.063</w:t>
            </w:r>
          </w:p>
        </w:tc>
        <w:tc>
          <w:tcPr>
            <w:tcW w:w="1066" w:type="dxa"/>
            <w:shd w:val="clear" w:color="auto" w:fill="auto"/>
            <w:noWrap/>
            <w:vAlign w:val="center"/>
            <w:hideMark/>
          </w:tcPr>
          <w:p w14:paraId="25703E41" w14:textId="77777777" w:rsidR="00260138" w:rsidRPr="008E6E0D" w:rsidRDefault="00260138" w:rsidP="00260138">
            <w:pPr>
              <w:jc w:val="center"/>
              <w:rPr>
                <w:sz w:val="16"/>
                <w:szCs w:val="16"/>
              </w:rPr>
            </w:pPr>
            <w:r w:rsidRPr="008E6E0D">
              <w:rPr>
                <w:sz w:val="16"/>
                <w:szCs w:val="16"/>
              </w:rPr>
              <w:t>39 (66)</w:t>
            </w:r>
          </w:p>
        </w:tc>
        <w:tc>
          <w:tcPr>
            <w:tcW w:w="1119" w:type="dxa"/>
            <w:shd w:val="clear" w:color="auto" w:fill="auto"/>
            <w:noWrap/>
            <w:vAlign w:val="center"/>
            <w:hideMark/>
          </w:tcPr>
          <w:p w14:paraId="5E111775" w14:textId="77777777" w:rsidR="00260138" w:rsidRPr="008E6E0D" w:rsidRDefault="00260138" w:rsidP="00260138">
            <w:pPr>
              <w:jc w:val="center"/>
              <w:rPr>
                <w:sz w:val="16"/>
                <w:szCs w:val="16"/>
              </w:rPr>
            </w:pPr>
            <w:r w:rsidRPr="008E6E0D">
              <w:rPr>
                <w:sz w:val="16"/>
                <w:szCs w:val="16"/>
              </w:rPr>
              <w:t>46 (16)</w:t>
            </w:r>
          </w:p>
        </w:tc>
        <w:tc>
          <w:tcPr>
            <w:tcW w:w="895" w:type="dxa"/>
            <w:shd w:val="clear" w:color="auto" w:fill="auto"/>
            <w:noWrap/>
            <w:vAlign w:val="center"/>
            <w:hideMark/>
          </w:tcPr>
          <w:p w14:paraId="50BDC728" w14:textId="77777777" w:rsidR="00260138" w:rsidRPr="008E6E0D" w:rsidRDefault="00260138" w:rsidP="00260138">
            <w:pPr>
              <w:jc w:val="center"/>
              <w:rPr>
                <w:sz w:val="16"/>
                <w:szCs w:val="16"/>
              </w:rPr>
            </w:pPr>
            <w:r w:rsidRPr="008E6E0D">
              <w:rPr>
                <w:sz w:val="16"/>
                <w:szCs w:val="16"/>
              </w:rPr>
              <w:t>0.606</w:t>
            </w:r>
          </w:p>
        </w:tc>
      </w:tr>
      <w:tr w:rsidR="00260138" w:rsidRPr="008E6E0D" w14:paraId="5971AAEC" w14:textId="77777777" w:rsidTr="006249CF">
        <w:trPr>
          <w:trHeight w:val="190"/>
          <w:jc w:val="center"/>
        </w:trPr>
        <w:tc>
          <w:tcPr>
            <w:tcW w:w="2018" w:type="dxa"/>
            <w:shd w:val="clear" w:color="auto" w:fill="auto"/>
            <w:noWrap/>
            <w:vAlign w:val="center"/>
            <w:hideMark/>
          </w:tcPr>
          <w:p w14:paraId="3A485EA5" w14:textId="77777777" w:rsidR="00260138" w:rsidRPr="008E6E0D" w:rsidRDefault="00260138" w:rsidP="00260138">
            <w:pPr>
              <w:rPr>
                <w:color w:val="000000"/>
                <w:sz w:val="16"/>
                <w:szCs w:val="16"/>
              </w:rPr>
            </w:pPr>
            <w:r w:rsidRPr="008E6E0D">
              <w:rPr>
                <w:color w:val="000000"/>
                <w:sz w:val="16"/>
                <w:szCs w:val="16"/>
              </w:rPr>
              <w:t>Sepsis of pulmonary origin, % (N)</w:t>
            </w:r>
          </w:p>
        </w:tc>
        <w:tc>
          <w:tcPr>
            <w:tcW w:w="1268" w:type="dxa"/>
            <w:shd w:val="clear" w:color="auto" w:fill="auto"/>
            <w:noWrap/>
            <w:vAlign w:val="center"/>
            <w:hideMark/>
          </w:tcPr>
          <w:p w14:paraId="0563B8E3" w14:textId="77777777" w:rsidR="00260138" w:rsidRPr="008E6E0D" w:rsidRDefault="00260138" w:rsidP="00260138">
            <w:pPr>
              <w:jc w:val="center"/>
              <w:rPr>
                <w:sz w:val="16"/>
                <w:szCs w:val="16"/>
              </w:rPr>
            </w:pPr>
            <w:r w:rsidRPr="008E6E0D">
              <w:rPr>
                <w:sz w:val="16"/>
                <w:szCs w:val="16"/>
              </w:rPr>
              <w:t>39 (125)</w:t>
            </w:r>
          </w:p>
        </w:tc>
        <w:tc>
          <w:tcPr>
            <w:tcW w:w="975" w:type="dxa"/>
            <w:shd w:val="clear" w:color="auto" w:fill="auto"/>
            <w:noWrap/>
            <w:vAlign w:val="center"/>
            <w:hideMark/>
          </w:tcPr>
          <w:p w14:paraId="5DB880E1" w14:textId="77777777" w:rsidR="00260138" w:rsidRPr="008E6E0D" w:rsidRDefault="00260138" w:rsidP="00260138">
            <w:pPr>
              <w:jc w:val="center"/>
              <w:rPr>
                <w:sz w:val="16"/>
                <w:szCs w:val="16"/>
              </w:rPr>
            </w:pPr>
            <w:r w:rsidRPr="008E6E0D">
              <w:rPr>
                <w:sz w:val="16"/>
                <w:szCs w:val="16"/>
              </w:rPr>
              <w:t>39 (57)</w:t>
            </w:r>
          </w:p>
        </w:tc>
        <w:tc>
          <w:tcPr>
            <w:tcW w:w="967" w:type="dxa"/>
            <w:shd w:val="clear" w:color="auto" w:fill="auto"/>
            <w:noWrap/>
            <w:vAlign w:val="center"/>
            <w:hideMark/>
          </w:tcPr>
          <w:p w14:paraId="0A351C39" w14:textId="77777777" w:rsidR="00260138" w:rsidRPr="008E6E0D" w:rsidRDefault="00260138" w:rsidP="00260138">
            <w:pPr>
              <w:jc w:val="center"/>
              <w:rPr>
                <w:sz w:val="16"/>
                <w:szCs w:val="16"/>
              </w:rPr>
            </w:pPr>
            <w:r w:rsidRPr="008E6E0D">
              <w:rPr>
                <w:sz w:val="16"/>
                <w:szCs w:val="16"/>
              </w:rPr>
              <w:t>0.962</w:t>
            </w:r>
          </w:p>
        </w:tc>
        <w:tc>
          <w:tcPr>
            <w:tcW w:w="1066" w:type="dxa"/>
            <w:shd w:val="clear" w:color="auto" w:fill="auto"/>
            <w:noWrap/>
            <w:vAlign w:val="center"/>
            <w:hideMark/>
          </w:tcPr>
          <w:p w14:paraId="32885A13" w14:textId="77777777" w:rsidR="00260138" w:rsidRPr="008E6E0D" w:rsidRDefault="00260138" w:rsidP="00260138">
            <w:pPr>
              <w:jc w:val="center"/>
              <w:rPr>
                <w:sz w:val="16"/>
                <w:szCs w:val="16"/>
              </w:rPr>
            </w:pPr>
            <w:r w:rsidRPr="008E6E0D">
              <w:rPr>
                <w:sz w:val="16"/>
                <w:szCs w:val="16"/>
              </w:rPr>
              <w:t>23 (40)</w:t>
            </w:r>
          </w:p>
        </w:tc>
        <w:tc>
          <w:tcPr>
            <w:tcW w:w="1119" w:type="dxa"/>
            <w:shd w:val="clear" w:color="auto" w:fill="auto"/>
            <w:noWrap/>
            <w:vAlign w:val="center"/>
            <w:hideMark/>
          </w:tcPr>
          <w:p w14:paraId="33F45A8D" w14:textId="77777777" w:rsidR="00260138" w:rsidRPr="008E6E0D" w:rsidRDefault="00260138" w:rsidP="00260138">
            <w:pPr>
              <w:jc w:val="center"/>
              <w:rPr>
                <w:sz w:val="16"/>
                <w:szCs w:val="16"/>
              </w:rPr>
            </w:pPr>
            <w:r w:rsidRPr="008E6E0D">
              <w:rPr>
                <w:sz w:val="16"/>
                <w:szCs w:val="16"/>
              </w:rPr>
              <w:t>31 (11)</w:t>
            </w:r>
          </w:p>
        </w:tc>
        <w:tc>
          <w:tcPr>
            <w:tcW w:w="895" w:type="dxa"/>
            <w:shd w:val="clear" w:color="auto" w:fill="auto"/>
            <w:noWrap/>
            <w:vAlign w:val="center"/>
            <w:hideMark/>
          </w:tcPr>
          <w:p w14:paraId="4042B049" w14:textId="77777777" w:rsidR="00260138" w:rsidRPr="008E6E0D" w:rsidRDefault="00260138" w:rsidP="00260138">
            <w:pPr>
              <w:jc w:val="center"/>
              <w:rPr>
                <w:sz w:val="16"/>
                <w:szCs w:val="16"/>
              </w:rPr>
            </w:pPr>
            <w:r w:rsidRPr="008E6E0D">
              <w:rPr>
                <w:sz w:val="16"/>
                <w:szCs w:val="16"/>
              </w:rPr>
              <w:t>0.368</w:t>
            </w:r>
          </w:p>
        </w:tc>
      </w:tr>
      <w:tr w:rsidR="00260138" w:rsidRPr="008E6E0D" w14:paraId="3F6FF0D6" w14:textId="77777777" w:rsidTr="006249CF">
        <w:trPr>
          <w:trHeight w:val="190"/>
          <w:jc w:val="center"/>
        </w:trPr>
        <w:tc>
          <w:tcPr>
            <w:tcW w:w="2018" w:type="dxa"/>
            <w:shd w:val="clear" w:color="auto" w:fill="auto"/>
            <w:noWrap/>
            <w:vAlign w:val="center"/>
            <w:hideMark/>
          </w:tcPr>
          <w:p w14:paraId="78B707BB" w14:textId="77777777" w:rsidR="00260138" w:rsidRPr="008E6E0D" w:rsidRDefault="00260138" w:rsidP="00260138">
            <w:pPr>
              <w:rPr>
                <w:color w:val="000000"/>
                <w:sz w:val="16"/>
                <w:szCs w:val="16"/>
              </w:rPr>
            </w:pPr>
            <w:r w:rsidRPr="008E6E0D">
              <w:rPr>
                <w:color w:val="000000"/>
                <w:sz w:val="16"/>
                <w:szCs w:val="16"/>
              </w:rPr>
              <w:t>Days in Hospital, mean ± SD</w:t>
            </w:r>
          </w:p>
        </w:tc>
        <w:tc>
          <w:tcPr>
            <w:tcW w:w="1268" w:type="dxa"/>
            <w:shd w:val="clear" w:color="auto" w:fill="auto"/>
            <w:noWrap/>
            <w:vAlign w:val="center"/>
            <w:hideMark/>
          </w:tcPr>
          <w:p w14:paraId="20B095A2" w14:textId="77777777" w:rsidR="00260138" w:rsidRPr="008E6E0D" w:rsidRDefault="00260138" w:rsidP="00260138">
            <w:pPr>
              <w:jc w:val="center"/>
              <w:rPr>
                <w:sz w:val="16"/>
                <w:szCs w:val="16"/>
              </w:rPr>
            </w:pPr>
            <w:r w:rsidRPr="008E6E0D">
              <w:rPr>
                <w:sz w:val="16"/>
                <w:szCs w:val="16"/>
              </w:rPr>
              <w:t>45 ± 40</w:t>
            </w:r>
          </w:p>
        </w:tc>
        <w:tc>
          <w:tcPr>
            <w:tcW w:w="975" w:type="dxa"/>
            <w:shd w:val="clear" w:color="auto" w:fill="auto"/>
            <w:noWrap/>
            <w:vAlign w:val="center"/>
            <w:hideMark/>
          </w:tcPr>
          <w:p w14:paraId="316935B4" w14:textId="77777777" w:rsidR="00260138" w:rsidRPr="008E6E0D" w:rsidRDefault="00260138" w:rsidP="00260138">
            <w:pPr>
              <w:jc w:val="center"/>
              <w:rPr>
                <w:sz w:val="16"/>
                <w:szCs w:val="16"/>
              </w:rPr>
            </w:pPr>
            <w:r w:rsidRPr="008E6E0D">
              <w:rPr>
                <w:sz w:val="16"/>
                <w:szCs w:val="16"/>
              </w:rPr>
              <w:t>17 ± 12</w:t>
            </w:r>
          </w:p>
        </w:tc>
        <w:tc>
          <w:tcPr>
            <w:tcW w:w="967" w:type="dxa"/>
            <w:shd w:val="clear" w:color="auto" w:fill="auto"/>
            <w:noWrap/>
            <w:vAlign w:val="center"/>
            <w:hideMark/>
          </w:tcPr>
          <w:p w14:paraId="2C3E09AB" w14:textId="291C55E5" w:rsidR="00260138" w:rsidRPr="008E6E0D" w:rsidRDefault="00260138" w:rsidP="00260138">
            <w:pPr>
              <w:jc w:val="center"/>
              <w:rPr>
                <w:sz w:val="16"/>
                <w:szCs w:val="16"/>
              </w:rPr>
            </w:pPr>
            <w:r w:rsidRPr="008E6E0D">
              <w:rPr>
                <w:sz w:val="16"/>
                <w:szCs w:val="16"/>
              </w:rPr>
              <w:t>2.23</w:t>
            </w:r>
            <w:r w:rsidR="00F63070" w:rsidRPr="008E6E0D">
              <w:rPr>
                <w:sz w:val="16"/>
                <w:szCs w:val="16"/>
              </w:rPr>
              <w:t>x10</w:t>
            </w:r>
            <w:r w:rsidRPr="008E6E0D">
              <w:rPr>
                <w:sz w:val="16"/>
                <w:szCs w:val="16"/>
                <w:vertAlign w:val="superscript"/>
              </w:rPr>
              <w:t>-17</w:t>
            </w:r>
          </w:p>
        </w:tc>
        <w:tc>
          <w:tcPr>
            <w:tcW w:w="1066" w:type="dxa"/>
            <w:shd w:val="clear" w:color="auto" w:fill="auto"/>
            <w:noWrap/>
            <w:vAlign w:val="center"/>
            <w:hideMark/>
          </w:tcPr>
          <w:p w14:paraId="63059F57" w14:textId="77777777" w:rsidR="00260138" w:rsidRPr="008E6E0D" w:rsidRDefault="00260138" w:rsidP="00260138">
            <w:pPr>
              <w:jc w:val="center"/>
              <w:rPr>
                <w:sz w:val="16"/>
                <w:szCs w:val="16"/>
              </w:rPr>
            </w:pPr>
            <w:r w:rsidRPr="008E6E0D">
              <w:rPr>
                <w:sz w:val="16"/>
                <w:szCs w:val="16"/>
              </w:rPr>
              <w:t>36 ± 49</w:t>
            </w:r>
          </w:p>
        </w:tc>
        <w:tc>
          <w:tcPr>
            <w:tcW w:w="1119" w:type="dxa"/>
            <w:shd w:val="clear" w:color="auto" w:fill="auto"/>
            <w:noWrap/>
            <w:vAlign w:val="center"/>
            <w:hideMark/>
          </w:tcPr>
          <w:p w14:paraId="69BEAB9D" w14:textId="77777777" w:rsidR="00260138" w:rsidRPr="008E6E0D" w:rsidRDefault="00260138" w:rsidP="00260138">
            <w:pPr>
              <w:jc w:val="center"/>
              <w:rPr>
                <w:sz w:val="16"/>
                <w:szCs w:val="16"/>
              </w:rPr>
            </w:pPr>
            <w:r w:rsidRPr="008E6E0D">
              <w:rPr>
                <w:sz w:val="16"/>
                <w:szCs w:val="16"/>
              </w:rPr>
              <w:t>16 ± 13</w:t>
            </w:r>
          </w:p>
        </w:tc>
        <w:tc>
          <w:tcPr>
            <w:tcW w:w="895" w:type="dxa"/>
            <w:shd w:val="clear" w:color="auto" w:fill="auto"/>
            <w:noWrap/>
            <w:vAlign w:val="center"/>
            <w:hideMark/>
          </w:tcPr>
          <w:p w14:paraId="52CA8C29" w14:textId="459C2FFA" w:rsidR="00260138" w:rsidRPr="008E6E0D" w:rsidRDefault="00260138" w:rsidP="00260138">
            <w:pPr>
              <w:jc w:val="center"/>
              <w:rPr>
                <w:sz w:val="16"/>
                <w:szCs w:val="16"/>
              </w:rPr>
            </w:pPr>
            <w:r w:rsidRPr="008E6E0D">
              <w:rPr>
                <w:sz w:val="16"/>
                <w:szCs w:val="16"/>
              </w:rPr>
              <w:t>7.20</w:t>
            </w:r>
            <w:r w:rsidR="008605BC" w:rsidRPr="008E6E0D">
              <w:rPr>
                <w:sz w:val="16"/>
                <w:szCs w:val="16"/>
              </w:rPr>
              <w:t>x10</w:t>
            </w:r>
            <w:r w:rsidRPr="008E6E0D">
              <w:rPr>
                <w:sz w:val="16"/>
                <w:szCs w:val="16"/>
                <w:vertAlign w:val="superscript"/>
              </w:rPr>
              <w:t>-5</w:t>
            </w:r>
          </w:p>
        </w:tc>
      </w:tr>
      <w:tr w:rsidR="00260138" w:rsidRPr="008E6E0D" w14:paraId="165AC305" w14:textId="77777777" w:rsidTr="006249CF">
        <w:trPr>
          <w:trHeight w:val="190"/>
          <w:jc w:val="center"/>
        </w:trPr>
        <w:tc>
          <w:tcPr>
            <w:tcW w:w="2018" w:type="dxa"/>
            <w:shd w:val="clear" w:color="auto" w:fill="auto"/>
            <w:noWrap/>
            <w:vAlign w:val="center"/>
            <w:hideMark/>
          </w:tcPr>
          <w:p w14:paraId="447729D1" w14:textId="77777777" w:rsidR="00260138" w:rsidRPr="008E6E0D" w:rsidRDefault="00260138" w:rsidP="00260138">
            <w:pPr>
              <w:rPr>
                <w:color w:val="000000"/>
                <w:sz w:val="16"/>
                <w:szCs w:val="16"/>
              </w:rPr>
            </w:pPr>
            <w:r w:rsidRPr="008E6E0D">
              <w:rPr>
                <w:color w:val="000000"/>
                <w:sz w:val="16"/>
                <w:szCs w:val="16"/>
              </w:rPr>
              <w:t>Days in ICU, mean ± SD</w:t>
            </w:r>
          </w:p>
        </w:tc>
        <w:tc>
          <w:tcPr>
            <w:tcW w:w="1268" w:type="dxa"/>
            <w:shd w:val="clear" w:color="auto" w:fill="auto"/>
            <w:noWrap/>
            <w:vAlign w:val="center"/>
            <w:hideMark/>
          </w:tcPr>
          <w:p w14:paraId="2A8C1C3B" w14:textId="77777777" w:rsidR="00260138" w:rsidRPr="008E6E0D" w:rsidRDefault="00260138" w:rsidP="00260138">
            <w:pPr>
              <w:jc w:val="center"/>
              <w:rPr>
                <w:sz w:val="16"/>
                <w:szCs w:val="16"/>
              </w:rPr>
            </w:pPr>
            <w:r w:rsidRPr="008E6E0D">
              <w:rPr>
                <w:sz w:val="16"/>
                <w:szCs w:val="16"/>
              </w:rPr>
              <w:t>22 ± 23</w:t>
            </w:r>
          </w:p>
        </w:tc>
        <w:tc>
          <w:tcPr>
            <w:tcW w:w="975" w:type="dxa"/>
            <w:shd w:val="clear" w:color="auto" w:fill="auto"/>
            <w:noWrap/>
            <w:vAlign w:val="center"/>
            <w:hideMark/>
          </w:tcPr>
          <w:p w14:paraId="5C23CD16" w14:textId="77777777" w:rsidR="00260138" w:rsidRPr="008E6E0D" w:rsidRDefault="00260138" w:rsidP="00260138">
            <w:pPr>
              <w:jc w:val="center"/>
              <w:rPr>
                <w:sz w:val="16"/>
                <w:szCs w:val="16"/>
              </w:rPr>
            </w:pPr>
            <w:r w:rsidRPr="008E6E0D">
              <w:rPr>
                <w:sz w:val="16"/>
                <w:szCs w:val="16"/>
              </w:rPr>
              <w:t>10 ± 7</w:t>
            </w:r>
          </w:p>
        </w:tc>
        <w:tc>
          <w:tcPr>
            <w:tcW w:w="967" w:type="dxa"/>
            <w:shd w:val="clear" w:color="auto" w:fill="auto"/>
            <w:noWrap/>
            <w:vAlign w:val="center"/>
            <w:hideMark/>
          </w:tcPr>
          <w:p w14:paraId="647FB409" w14:textId="63050F9A" w:rsidR="00260138" w:rsidRPr="008E6E0D" w:rsidRDefault="00260138" w:rsidP="00260138">
            <w:pPr>
              <w:jc w:val="center"/>
              <w:rPr>
                <w:sz w:val="16"/>
                <w:szCs w:val="16"/>
              </w:rPr>
            </w:pPr>
            <w:r w:rsidRPr="008E6E0D">
              <w:rPr>
                <w:sz w:val="16"/>
                <w:szCs w:val="16"/>
              </w:rPr>
              <w:t>1.22</w:t>
            </w:r>
            <w:r w:rsidR="00F63070" w:rsidRPr="008E6E0D">
              <w:rPr>
                <w:sz w:val="16"/>
                <w:szCs w:val="16"/>
              </w:rPr>
              <w:t>x10</w:t>
            </w:r>
            <w:r w:rsidRPr="008E6E0D">
              <w:rPr>
                <w:sz w:val="16"/>
                <w:szCs w:val="16"/>
                <w:vertAlign w:val="superscript"/>
              </w:rPr>
              <w:t>-7</w:t>
            </w:r>
          </w:p>
        </w:tc>
        <w:tc>
          <w:tcPr>
            <w:tcW w:w="1066" w:type="dxa"/>
            <w:shd w:val="clear" w:color="auto" w:fill="auto"/>
            <w:noWrap/>
            <w:vAlign w:val="center"/>
            <w:hideMark/>
          </w:tcPr>
          <w:p w14:paraId="122A9E74" w14:textId="77777777" w:rsidR="00260138" w:rsidRPr="008E6E0D" w:rsidRDefault="00260138" w:rsidP="00260138">
            <w:pPr>
              <w:jc w:val="center"/>
              <w:rPr>
                <w:sz w:val="16"/>
                <w:szCs w:val="16"/>
              </w:rPr>
            </w:pPr>
            <w:r w:rsidRPr="008E6E0D">
              <w:rPr>
                <w:sz w:val="16"/>
                <w:szCs w:val="16"/>
              </w:rPr>
              <w:t>13 ± 30</w:t>
            </w:r>
          </w:p>
        </w:tc>
        <w:tc>
          <w:tcPr>
            <w:tcW w:w="1119" w:type="dxa"/>
            <w:shd w:val="clear" w:color="auto" w:fill="auto"/>
            <w:noWrap/>
            <w:vAlign w:val="center"/>
            <w:hideMark/>
          </w:tcPr>
          <w:p w14:paraId="080D922C" w14:textId="77777777" w:rsidR="00260138" w:rsidRPr="008E6E0D" w:rsidRDefault="00260138" w:rsidP="00260138">
            <w:pPr>
              <w:jc w:val="center"/>
              <w:rPr>
                <w:sz w:val="16"/>
                <w:szCs w:val="16"/>
              </w:rPr>
            </w:pPr>
            <w:r w:rsidRPr="008E6E0D">
              <w:rPr>
                <w:sz w:val="16"/>
                <w:szCs w:val="16"/>
              </w:rPr>
              <w:t>9 ± 7</w:t>
            </w:r>
          </w:p>
        </w:tc>
        <w:tc>
          <w:tcPr>
            <w:tcW w:w="895" w:type="dxa"/>
            <w:shd w:val="clear" w:color="auto" w:fill="auto"/>
            <w:noWrap/>
            <w:vAlign w:val="center"/>
            <w:hideMark/>
          </w:tcPr>
          <w:p w14:paraId="0BAD6726" w14:textId="77777777" w:rsidR="00260138" w:rsidRPr="008E6E0D" w:rsidRDefault="00260138" w:rsidP="00260138">
            <w:pPr>
              <w:jc w:val="center"/>
              <w:rPr>
                <w:sz w:val="16"/>
                <w:szCs w:val="16"/>
              </w:rPr>
            </w:pPr>
            <w:r w:rsidRPr="008E6E0D">
              <w:rPr>
                <w:sz w:val="16"/>
                <w:szCs w:val="16"/>
              </w:rPr>
              <w:t>0.742</w:t>
            </w:r>
          </w:p>
        </w:tc>
      </w:tr>
      <w:tr w:rsidR="00260138" w:rsidRPr="008E6E0D" w14:paraId="6F9EC70F" w14:textId="77777777" w:rsidTr="006249CF">
        <w:trPr>
          <w:trHeight w:val="190"/>
          <w:jc w:val="center"/>
        </w:trPr>
        <w:tc>
          <w:tcPr>
            <w:tcW w:w="2018" w:type="dxa"/>
            <w:shd w:val="clear" w:color="auto" w:fill="auto"/>
            <w:noWrap/>
            <w:vAlign w:val="center"/>
            <w:hideMark/>
          </w:tcPr>
          <w:p w14:paraId="32F862B8" w14:textId="77777777" w:rsidR="00260138" w:rsidRPr="008E6E0D" w:rsidRDefault="00260138" w:rsidP="00260138">
            <w:pPr>
              <w:rPr>
                <w:color w:val="000000"/>
                <w:sz w:val="16"/>
                <w:szCs w:val="16"/>
              </w:rPr>
            </w:pPr>
            <w:r w:rsidRPr="008E6E0D">
              <w:rPr>
                <w:color w:val="000000"/>
                <w:sz w:val="16"/>
                <w:szCs w:val="16"/>
              </w:rPr>
              <w:t>Pathogen, % (N)</w:t>
            </w:r>
          </w:p>
        </w:tc>
        <w:tc>
          <w:tcPr>
            <w:tcW w:w="1268" w:type="dxa"/>
            <w:shd w:val="clear" w:color="auto" w:fill="auto"/>
            <w:noWrap/>
            <w:vAlign w:val="center"/>
            <w:hideMark/>
          </w:tcPr>
          <w:p w14:paraId="7DF006C1" w14:textId="77777777" w:rsidR="00260138" w:rsidRPr="008E6E0D" w:rsidRDefault="00260138" w:rsidP="00260138">
            <w:pPr>
              <w:rPr>
                <w:color w:val="000000"/>
                <w:sz w:val="16"/>
                <w:szCs w:val="16"/>
              </w:rPr>
            </w:pPr>
          </w:p>
        </w:tc>
        <w:tc>
          <w:tcPr>
            <w:tcW w:w="975" w:type="dxa"/>
            <w:shd w:val="clear" w:color="auto" w:fill="auto"/>
            <w:noWrap/>
            <w:vAlign w:val="center"/>
            <w:hideMark/>
          </w:tcPr>
          <w:p w14:paraId="7C40191D" w14:textId="77777777" w:rsidR="00260138" w:rsidRPr="008E6E0D" w:rsidRDefault="00260138" w:rsidP="00260138">
            <w:pPr>
              <w:jc w:val="center"/>
              <w:rPr>
                <w:sz w:val="16"/>
                <w:szCs w:val="16"/>
              </w:rPr>
            </w:pPr>
          </w:p>
        </w:tc>
        <w:tc>
          <w:tcPr>
            <w:tcW w:w="967" w:type="dxa"/>
            <w:shd w:val="clear" w:color="auto" w:fill="auto"/>
            <w:noWrap/>
            <w:vAlign w:val="center"/>
            <w:hideMark/>
          </w:tcPr>
          <w:p w14:paraId="4210693E" w14:textId="77777777" w:rsidR="00260138" w:rsidRPr="008E6E0D" w:rsidRDefault="00260138" w:rsidP="00260138">
            <w:pPr>
              <w:jc w:val="center"/>
              <w:rPr>
                <w:sz w:val="16"/>
                <w:szCs w:val="16"/>
              </w:rPr>
            </w:pPr>
          </w:p>
        </w:tc>
        <w:tc>
          <w:tcPr>
            <w:tcW w:w="1066" w:type="dxa"/>
            <w:shd w:val="clear" w:color="auto" w:fill="auto"/>
            <w:noWrap/>
            <w:vAlign w:val="center"/>
            <w:hideMark/>
          </w:tcPr>
          <w:p w14:paraId="0AA2452C" w14:textId="77777777" w:rsidR="00260138" w:rsidRPr="008E6E0D" w:rsidRDefault="00260138" w:rsidP="00260138">
            <w:pPr>
              <w:jc w:val="center"/>
              <w:rPr>
                <w:sz w:val="16"/>
                <w:szCs w:val="16"/>
              </w:rPr>
            </w:pPr>
          </w:p>
        </w:tc>
        <w:tc>
          <w:tcPr>
            <w:tcW w:w="1119" w:type="dxa"/>
            <w:shd w:val="clear" w:color="auto" w:fill="auto"/>
            <w:noWrap/>
            <w:vAlign w:val="center"/>
            <w:hideMark/>
          </w:tcPr>
          <w:p w14:paraId="0E444DB4" w14:textId="77777777" w:rsidR="00260138" w:rsidRPr="008E6E0D" w:rsidRDefault="00260138" w:rsidP="00260138">
            <w:pPr>
              <w:jc w:val="center"/>
              <w:rPr>
                <w:sz w:val="16"/>
                <w:szCs w:val="16"/>
              </w:rPr>
            </w:pPr>
          </w:p>
        </w:tc>
        <w:tc>
          <w:tcPr>
            <w:tcW w:w="895" w:type="dxa"/>
            <w:shd w:val="clear" w:color="auto" w:fill="auto"/>
            <w:noWrap/>
            <w:vAlign w:val="center"/>
            <w:hideMark/>
          </w:tcPr>
          <w:p w14:paraId="6D65A604" w14:textId="77777777" w:rsidR="00260138" w:rsidRPr="008E6E0D" w:rsidRDefault="00260138" w:rsidP="00260138">
            <w:pPr>
              <w:jc w:val="center"/>
              <w:rPr>
                <w:sz w:val="16"/>
                <w:szCs w:val="16"/>
              </w:rPr>
            </w:pPr>
          </w:p>
        </w:tc>
      </w:tr>
      <w:tr w:rsidR="00260138" w:rsidRPr="008E6E0D" w14:paraId="2B155B0D" w14:textId="77777777" w:rsidTr="006249CF">
        <w:trPr>
          <w:trHeight w:val="190"/>
          <w:jc w:val="center"/>
        </w:trPr>
        <w:tc>
          <w:tcPr>
            <w:tcW w:w="2018" w:type="dxa"/>
            <w:shd w:val="clear" w:color="auto" w:fill="auto"/>
            <w:noWrap/>
            <w:vAlign w:val="center"/>
            <w:hideMark/>
          </w:tcPr>
          <w:p w14:paraId="394781F6" w14:textId="77777777" w:rsidR="00260138" w:rsidRPr="008E6E0D" w:rsidRDefault="00260138" w:rsidP="00260138">
            <w:pPr>
              <w:rPr>
                <w:color w:val="000000"/>
                <w:sz w:val="16"/>
                <w:szCs w:val="16"/>
              </w:rPr>
            </w:pPr>
            <w:r w:rsidRPr="008E6E0D">
              <w:rPr>
                <w:color w:val="000000"/>
                <w:sz w:val="16"/>
                <w:szCs w:val="16"/>
              </w:rPr>
              <w:t xml:space="preserve">      Gram-positive</w:t>
            </w:r>
          </w:p>
        </w:tc>
        <w:tc>
          <w:tcPr>
            <w:tcW w:w="1268" w:type="dxa"/>
            <w:shd w:val="clear" w:color="auto" w:fill="auto"/>
            <w:noWrap/>
            <w:vAlign w:val="center"/>
            <w:hideMark/>
          </w:tcPr>
          <w:p w14:paraId="0751896C" w14:textId="77777777" w:rsidR="00260138" w:rsidRPr="008E6E0D" w:rsidRDefault="00260138" w:rsidP="00260138">
            <w:pPr>
              <w:jc w:val="center"/>
              <w:rPr>
                <w:sz w:val="16"/>
                <w:szCs w:val="16"/>
              </w:rPr>
            </w:pPr>
            <w:r w:rsidRPr="008E6E0D">
              <w:rPr>
                <w:sz w:val="16"/>
                <w:szCs w:val="16"/>
              </w:rPr>
              <w:t>30 (59)</w:t>
            </w:r>
          </w:p>
        </w:tc>
        <w:tc>
          <w:tcPr>
            <w:tcW w:w="975" w:type="dxa"/>
            <w:shd w:val="clear" w:color="auto" w:fill="auto"/>
            <w:noWrap/>
            <w:vAlign w:val="center"/>
            <w:hideMark/>
          </w:tcPr>
          <w:p w14:paraId="5E11998C" w14:textId="77777777" w:rsidR="00260138" w:rsidRPr="008E6E0D" w:rsidRDefault="00260138" w:rsidP="00260138">
            <w:pPr>
              <w:jc w:val="center"/>
              <w:rPr>
                <w:sz w:val="16"/>
                <w:szCs w:val="16"/>
              </w:rPr>
            </w:pPr>
            <w:r w:rsidRPr="008E6E0D">
              <w:rPr>
                <w:sz w:val="16"/>
                <w:szCs w:val="16"/>
              </w:rPr>
              <w:t>32 (26)</w:t>
            </w:r>
          </w:p>
        </w:tc>
        <w:tc>
          <w:tcPr>
            <w:tcW w:w="967" w:type="dxa"/>
            <w:shd w:val="clear" w:color="auto" w:fill="auto"/>
            <w:noWrap/>
            <w:vAlign w:val="center"/>
            <w:hideMark/>
          </w:tcPr>
          <w:p w14:paraId="643C7B3B" w14:textId="77777777" w:rsidR="00260138" w:rsidRPr="008E6E0D" w:rsidRDefault="00260138" w:rsidP="00260138">
            <w:pPr>
              <w:jc w:val="center"/>
              <w:rPr>
                <w:sz w:val="16"/>
                <w:szCs w:val="16"/>
              </w:rPr>
            </w:pPr>
            <w:r w:rsidRPr="008E6E0D">
              <w:rPr>
                <w:sz w:val="16"/>
                <w:szCs w:val="16"/>
              </w:rPr>
              <w:t>0.794</w:t>
            </w:r>
          </w:p>
        </w:tc>
        <w:tc>
          <w:tcPr>
            <w:tcW w:w="1066" w:type="dxa"/>
            <w:shd w:val="clear" w:color="auto" w:fill="auto"/>
            <w:noWrap/>
            <w:vAlign w:val="center"/>
            <w:hideMark/>
          </w:tcPr>
          <w:p w14:paraId="7F506B6F" w14:textId="77777777" w:rsidR="00260138" w:rsidRPr="008E6E0D" w:rsidRDefault="00260138" w:rsidP="00260138">
            <w:pPr>
              <w:jc w:val="center"/>
              <w:rPr>
                <w:sz w:val="16"/>
                <w:szCs w:val="16"/>
              </w:rPr>
            </w:pPr>
            <w:r w:rsidRPr="008E6E0D">
              <w:rPr>
                <w:sz w:val="16"/>
                <w:szCs w:val="16"/>
              </w:rPr>
              <w:t>21 (36)</w:t>
            </w:r>
          </w:p>
        </w:tc>
        <w:tc>
          <w:tcPr>
            <w:tcW w:w="1119" w:type="dxa"/>
            <w:shd w:val="clear" w:color="auto" w:fill="auto"/>
            <w:noWrap/>
            <w:vAlign w:val="center"/>
            <w:hideMark/>
          </w:tcPr>
          <w:p w14:paraId="4B367BD5" w14:textId="77777777" w:rsidR="00260138" w:rsidRPr="008E6E0D" w:rsidRDefault="00260138" w:rsidP="00260138">
            <w:pPr>
              <w:jc w:val="center"/>
              <w:rPr>
                <w:sz w:val="16"/>
                <w:szCs w:val="16"/>
              </w:rPr>
            </w:pPr>
            <w:r w:rsidRPr="008E6E0D">
              <w:rPr>
                <w:sz w:val="16"/>
                <w:szCs w:val="16"/>
              </w:rPr>
              <w:t>15 (5)</w:t>
            </w:r>
          </w:p>
        </w:tc>
        <w:tc>
          <w:tcPr>
            <w:tcW w:w="895" w:type="dxa"/>
            <w:shd w:val="clear" w:color="auto" w:fill="auto"/>
            <w:noWrap/>
            <w:vAlign w:val="center"/>
            <w:hideMark/>
          </w:tcPr>
          <w:p w14:paraId="0439739F" w14:textId="77777777" w:rsidR="00260138" w:rsidRPr="008E6E0D" w:rsidRDefault="00260138" w:rsidP="00260138">
            <w:pPr>
              <w:jc w:val="center"/>
              <w:rPr>
                <w:sz w:val="16"/>
                <w:szCs w:val="16"/>
              </w:rPr>
            </w:pPr>
            <w:r w:rsidRPr="008E6E0D">
              <w:rPr>
                <w:sz w:val="16"/>
                <w:szCs w:val="16"/>
              </w:rPr>
              <w:t>0.561</w:t>
            </w:r>
          </w:p>
        </w:tc>
      </w:tr>
      <w:tr w:rsidR="00260138" w:rsidRPr="008E6E0D" w14:paraId="5CB6F037" w14:textId="77777777" w:rsidTr="006249CF">
        <w:trPr>
          <w:trHeight w:val="190"/>
          <w:jc w:val="center"/>
        </w:trPr>
        <w:tc>
          <w:tcPr>
            <w:tcW w:w="2018" w:type="dxa"/>
            <w:shd w:val="clear" w:color="auto" w:fill="auto"/>
            <w:noWrap/>
            <w:vAlign w:val="center"/>
            <w:hideMark/>
          </w:tcPr>
          <w:p w14:paraId="6D52D5B7" w14:textId="77777777" w:rsidR="00260138" w:rsidRPr="008E6E0D" w:rsidRDefault="00260138" w:rsidP="00260138">
            <w:pPr>
              <w:rPr>
                <w:color w:val="000000"/>
                <w:sz w:val="16"/>
                <w:szCs w:val="16"/>
              </w:rPr>
            </w:pPr>
            <w:r w:rsidRPr="008E6E0D">
              <w:rPr>
                <w:color w:val="000000"/>
                <w:sz w:val="16"/>
                <w:szCs w:val="16"/>
              </w:rPr>
              <w:t xml:space="preserve">      Gram-negative</w:t>
            </w:r>
          </w:p>
        </w:tc>
        <w:tc>
          <w:tcPr>
            <w:tcW w:w="1268" w:type="dxa"/>
            <w:shd w:val="clear" w:color="auto" w:fill="auto"/>
            <w:noWrap/>
            <w:vAlign w:val="center"/>
            <w:hideMark/>
          </w:tcPr>
          <w:p w14:paraId="1DDDBF13" w14:textId="77777777" w:rsidR="00260138" w:rsidRPr="008E6E0D" w:rsidRDefault="00260138" w:rsidP="00260138">
            <w:pPr>
              <w:jc w:val="center"/>
              <w:rPr>
                <w:sz w:val="16"/>
                <w:szCs w:val="16"/>
              </w:rPr>
            </w:pPr>
            <w:r w:rsidRPr="008E6E0D">
              <w:rPr>
                <w:sz w:val="16"/>
                <w:szCs w:val="16"/>
              </w:rPr>
              <w:t>41 (81)</w:t>
            </w:r>
          </w:p>
        </w:tc>
        <w:tc>
          <w:tcPr>
            <w:tcW w:w="975" w:type="dxa"/>
            <w:shd w:val="clear" w:color="auto" w:fill="auto"/>
            <w:noWrap/>
            <w:vAlign w:val="center"/>
            <w:hideMark/>
          </w:tcPr>
          <w:p w14:paraId="5EF7FD77" w14:textId="77777777" w:rsidR="00260138" w:rsidRPr="008E6E0D" w:rsidRDefault="00260138" w:rsidP="00260138">
            <w:pPr>
              <w:jc w:val="center"/>
              <w:rPr>
                <w:sz w:val="16"/>
                <w:szCs w:val="16"/>
              </w:rPr>
            </w:pPr>
            <w:r w:rsidRPr="008E6E0D">
              <w:rPr>
                <w:sz w:val="16"/>
                <w:szCs w:val="16"/>
              </w:rPr>
              <w:t>35 (28)</w:t>
            </w:r>
          </w:p>
        </w:tc>
        <w:tc>
          <w:tcPr>
            <w:tcW w:w="967" w:type="dxa"/>
            <w:shd w:val="clear" w:color="auto" w:fill="auto"/>
            <w:noWrap/>
            <w:vAlign w:val="center"/>
            <w:hideMark/>
          </w:tcPr>
          <w:p w14:paraId="6AC39598" w14:textId="77777777" w:rsidR="00260138" w:rsidRPr="008E6E0D" w:rsidRDefault="00260138" w:rsidP="00260138">
            <w:pPr>
              <w:jc w:val="center"/>
              <w:rPr>
                <w:sz w:val="16"/>
                <w:szCs w:val="16"/>
              </w:rPr>
            </w:pPr>
            <w:r w:rsidRPr="008E6E0D">
              <w:rPr>
                <w:sz w:val="16"/>
                <w:szCs w:val="16"/>
              </w:rPr>
              <w:t>0.412</w:t>
            </w:r>
          </w:p>
        </w:tc>
        <w:tc>
          <w:tcPr>
            <w:tcW w:w="1066" w:type="dxa"/>
            <w:shd w:val="clear" w:color="auto" w:fill="auto"/>
            <w:noWrap/>
            <w:vAlign w:val="center"/>
            <w:hideMark/>
          </w:tcPr>
          <w:p w14:paraId="6C4EE07A" w14:textId="77777777" w:rsidR="00260138" w:rsidRPr="008E6E0D" w:rsidRDefault="00260138" w:rsidP="00260138">
            <w:pPr>
              <w:jc w:val="center"/>
              <w:rPr>
                <w:sz w:val="16"/>
                <w:szCs w:val="16"/>
              </w:rPr>
            </w:pPr>
            <w:r w:rsidRPr="008E6E0D">
              <w:rPr>
                <w:sz w:val="16"/>
                <w:szCs w:val="16"/>
              </w:rPr>
              <w:t>30 (52)</w:t>
            </w:r>
          </w:p>
        </w:tc>
        <w:tc>
          <w:tcPr>
            <w:tcW w:w="1119" w:type="dxa"/>
            <w:shd w:val="clear" w:color="auto" w:fill="auto"/>
            <w:noWrap/>
            <w:vAlign w:val="center"/>
            <w:hideMark/>
          </w:tcPr>
          <w:p w14:paraId="2906969E" w14:textId="77777777" w:rsidR="00260138" w:rsidRPr="008E6E0D" w:rsidRDefault="00260138" w:rsidP="00260138">
            <w:pPr>
              <w:jc w:val="center"/>
              <w:rPr>
                <w:sz w:val="16"/>
                <w:szCs w:val="16"/>
              </w:rPr>
            </w:pPr>
            <w:r w:rsidRPr="008E6E0D">
              <w:rPr>
                <w:sz w:val="16"/>
                <w:szCs w:val="16"/>
              </w:rPr>
              <w:t>35 (12)</w:t>
            </w:r>
          </w:p>
        </w:tc>
        <w:tc>
          <w:tcPr>
            <w:tcW w:w="895" w:type="dxa"/>
            <w:shd w:val="clear" w:color="auto" w:fill="auto"/>
            <w:noWrap/>
            <w:vAlign w:val="center"/>
            <w:hideMark/>
          </w:tcPr>
          <w:p w14:paraId="7CCCED42" w14:textId="77777777" w:rsidR="00260138" w:rsidRPr="008E6E0D" w:rsidRDefault="00260138" w:rsidP="00260138">
            <w:pPr>
              <w:jc w:val="center"/>
              <w:rPr>
                <w:sz w:val="16"/>
                <w:szCs w:val="16"/>
              </w:rPr>
            </w:pPr>
            <w:r w:rsidRPr="008E6E0D">
              <w:rPr>
                <w:sz w:val="16"/>
                <w:szCs w:val="16"/>
              </w:rPr>
              <w:t>0.688</w:t>
            </w:r>
          </w:p>
        </w:tc>
      </w:tr>
      <w:tr w:rsidR="00260138" w:rsidRPr="008E6E0D" w14:paraId="424B2DD6" w14:textId="77777777" w:rsidTr="006249CF">
        <w:trPr>
          <w:trHeight w:val="190"/>
          <w:jc w:val="center"/>
        </w:trPr>
        <w:tc>
          <w:tcPr>
            <w:tcW w:w="2018" w:type="dxa"/>
            <w:tcBorders>
              <w:bottom w:val="single" w:sz="4" w:space="0" w:color="auto"/>
            </w:tcBorders>
            <w:shd w:val="clear" w:color="auto" w:fill="auto"/>
            <w:noWrap/>
            <w:vAlign w:val="center"/>
            <w:hideMark/>
          </w:tcPr>
          <w:p w14:paraId="712A55E7" w14:textId="77777777" w:rsidR="00260138" w:rsidRPr="008E6E0D" w:rsidRDefault="00260138" w:rsidP="00260138">
            <w:pPr>
              <w:rPr>
                <w:color w:val="000000"/>
                <w:sz w:val="16"/>
                <w:szCs w:val="16"/>
              </w:rPr>
            </w:pPr>
            <w:r w:rsidRPr="008E6E0D">
              <w:rPr>
                <w:color w:val="000000"/>
                <w:sz w:val="16"/>
                <w:szCs w:val="16"/>
              </w:rPr>
              <w:t xml:space="preserve">      Others+</w:t>
            </w:r>
          </w:p>
        </w:tc>
        <w:tc>
          <w:tcPr>
            <w:tcW w:w="1268" w:type="dxa"/>
            <w:tcBorders>
              <w:bottom w:val="single" w:sz="4" w:space="0" w:color="auto"/>
            </w:tcBorders>
            <w:shd w:val="clear" w:color="auto" w:fill="auto"/>
            <w:noWrap/>
            <w:vAlign w:val="center"/>
            <w:hideMark/>
          </w:tcPr>
          <w:p w14:paraId="002E7CA7" w14:textId="77777777" w:rsidR="00260138" w:rsidRPr="008E6E0D" w:rsidRDefault="00260138" w:rsidP="00260138">
            <w:pPr>
              <w:jc w:val="center"/>
              <w:rPr>
                <w:sz w:val="16"/>
                <w:szCs w:val="16"/>
              </w:rPr>
            </w:pPr>
            <w:r w:rsidRPr="008E6E0D">
              <w:rPr>
                <w:sz w:val="16"/>
                <w:szCs w:val="16"/>
              </w:rPr>
              <w:t>30 (59)</w:t>
            </w:r>
          </w:p>
        </w:tc>
        <w:tc>
          <w:tcPr>
            <w:tcW w:w="975" w:type="dxa"/>
            <w:tcBorders>
              <w:bottom w:val="single" w:sz="4" w:space="0" w:color="auto"/>
            </w:tcBorders>
            <w:shd w:val="clear" w:color="auto" w:fill="auto"/>
            <w:noWrap/>
            <w:vAlign w:val="center"/>
            <w:hideMark/>
          </w:tcPr>
          <w:p w14:paraId="1270BE5B" w14:textId="77777777" w:rsidR="00260138" w:rsidRPr="008E6E0D" w:rsidRDefault="00260138" w:rsidP="00260138">
            <w:pPr>
              <w:jc w:val="center"/>
              <w:rPr>
                <w:sz w:val="16"/>
                <w:szCs w:val="16"/>
              </w:rPr>
            </w:pPr>
            <w:r w:rsidRPr="008E6E0D">
              <w:rPr>
                <w:sz w:val="16"/>
                <w:szCs w:val="16"/>
              </w:rPr>
              <w:t>33 (27)</w:t>
            </w:r>
          </w:p>
        </w:tc>
        <w:tc>
          <w:tcPr>
            <w:tcW w:w="967" w:type="dxa"/>
            <w:tcBorders>
              <w:bottom w:val="single" w:sz="4" w:space="0" w:color="auto"/>
            </w:tcBorders>
            <w:shd w:val="clear" w:color="auto" w:fill="auto"/>
            <w:noWrap/>
            <w:vAlign w:val="center"/>
            <w:hideMark/>
          </w:tcPr>
          <w:p w14:paraId="0A435891" w14:textId="77777777" w:rsidR="00260138" w:rsidRPr="008E6E0D" w:rsidRDefault="00260138" w:rsidP="00260138">
            <w:pPr>
              <w:jc w:val="center"/>
              <w:rPr>
                <w:sz w:val="16"/>
                <w:szCs w:val="16"/>
              </w:rPr>
            </w:pPr>
            <w:r w:rsidRPr="008E6E0D">
              <w:rPr>
                <w:sz w:val="16"/>
                <w:szCs w:val="16"/>
              </w:rPr>
              <w:t>0.341</w:t>
            </w:r>
          </w:p>
        </w:tc>
        <w:tc>
          <w:tcPr>
            <w:tcW w:w="1066" w:type="dxa"/>
            <w:tcBorders>
              <w:bottom w:val="single" w:sz="4" w:space="0" w:color="auto"/>
            </w:tcBorders>
            <w:shd w:val="clear" w:color="auto" w:fill="auto"/>
            <w:noWrap/>
            <w:vAlign w:val="center"/>
            <w:hideMark/>
          </w:tcPr>
          <w:p w14:paraId="54A97AAA" w14:textId="77777777" w:rsidR="00260138" w:rsidRPr="008E6E0D" w:rsidRDefault="00260138" w:rsidP="00260138">
            <w:pPr>
              <w:jc w:val="center"/>
              <w:rPr>
                <w:sz w:val="16"/>
                <w:szCs w:val="16"/>
              </w:rPr>
            </w:pPr>
            <w:r w:rsidRPr="008E6E0D">
              <w:rPr>
                <w:sz w:val="16"/>
                <w:szCs w:val="16"/>
              </w:rPr>
              <w:t>28 (49)</w:t>
            </w:r>
          </w:p>
        </w:tc>
        <w:tc>
          <w:tcPr>
            <w:tcW w:w="1119" w:type="dxa"/>
            <w:tcBorders>
              <w:bottom w:val="single" w:sz="4" w:space="0" w:color="auto"/>
            </w:tcBorders>
            <w:shd w:val="clear" w:color="auto" w:fill="auto"/>
            <w:noWrap/>
            <w:vAlign w:val="center"/>
            <w:hideMark/>
          </w:tcPr>
          <w:p w14:paraId="04D39C71" w14:textId="77777777" w:rsidR="00260138" w:rsidRPr="008E6E0D" w:rsidRDefault="00260138" w:rsidP="00260138">
            <w:pPr>
              <w:jc w:val="center"/>
              <w:rPr>
                <w:sz w:val="16"/>
                <w:szCs w:val="16"/>
              </w:rPr>
            </w:pPr>
            <w:r w:rsidRPr="008E6E0D">
              <w:rPr>
                <w:sz w:val="16"/>
                <w:szCs w:val="16"/>
              </w:rPr>
              <w:t>38 (13)</w:t>
            </w:r>
          </w:p>
        </w:tc>
        <w:tc>
          <w:tcPr>
            <w:tcW w:w="895" w:type="dxa"/>
            <w:tcBorders>
              <w:bottom w:val="single" w:sz="4" w:space="0" w:color="auto"/>
            </w:tcBorders>
            <w:shd w:val="clear" w:color="auto" w:fill="auto"/>
            <w:noWrap/>
            <w:vAlign w:val="center"/>
            <w:hideMark/>
          </w:tcPr>
          <w:p w14:paraId="45254815" w14:textId="77777777" w:rsidR="00260138" w:rsidRPr="008E6E0D" w:rsidRDefault="00260138" w:rsidP="00260138">
            <w:pPr>
              <w:jc w:val="center"/>
              <w:rPr>
                <w:sz w:val="16"/>
                <w:szCs w:val="16"/>
              </w:rPr>
            </w:pPr>
            <w:r w:rsidRPr="008E6E0D">
              <w:rPr>
                <w:sz w:val="16"/>
                <w:szCs w:val="16"/>
              </w:rPr>
              <w:t>0.343</w:t>
            </w:r>
          </w:p>
        </w:tc>
      </w:tr>
      <w:tr w:rsidR="00260138" w:rsidRPr="008E6E0D" w14:paraId="5B4EFBA1" w14:textId="77777777" w:rsidTr="006249CF">
        <w:trPr>
          <w:trHeight w:val="190"/>
          <w:jc w:val="center"/>
        </w:trPr>
        <w:tc>
          <w:tcPr>
            <w:tcW w:w="8312" w:type="dxa"/>
            <w:gridSpan w:val="7"/>
            <w:tcBorders>
              <w:top w:val="single" w:sz="4" w:space="0" w:color="auto"/>
              <w:bottom w:val="single" w:sz="4" w:space="0" w:color="auto"/>
            </w:tcBorders>
            <w:shd w:val="clear" w:color="auto" w:fill="auto"/>
            <w:noWrap/>
            <w:vAlign w:val="center"/>
          </w:tcPr>
          <w:p w14:paraId="5F7B3718" w14:textId="119437FC" w:rsidR="00260138" w:rsidRPr="008E6E0D" w:rsidRDefault="00260138" w:rsidP="00260138">
            <w:pPr>
              <w:pStyle w:val="Sinespaciado"/>
              <w:rPr>
                <w:sz w:val="16"/>
                <w:szCs w:val="16"/>
                <w:lang w:eastAsia="es-ES"/>
              </w:rPr>
            </w:pPr>
            <w:r w:rsidRPr="008E6E0D">
              <w:rPr>
                <w:sz w:val="16"/>
                <w:szCs w:val="16"/>
                <w:lang w:eastAsia="es-ES"/>
              </w:rPr>
              <w:t xml:space="preserve">*Comparisons for </w:t>
            </w:r>
            <w:r w:rsidR="0066763E" w:rsidRPr="008E6E0D">
              <w:rPr>
                <w:sz w:val="16"/>
                <w:szCs w:val="16"/>
                <w:lang w:eastAsia="es-ES"/>
              </w:rPr>
              <w:t>sex</w:t>
            </w:r>
            <w:r w:rsidRPr="008E6E0D">
              <w:rPr>
                <w:sz w:val="16"/>
                <w:szCs w:val="16"/>
                <w:lang w:eastAsia="es-ES"/>
              </w:rPr>
              <w:t xml:space="preserve">, ARDS, comorbidities, sepsis of pulmonary origin, and pathogen were conducted by chi-square test. The rest of variables were compared using a Mann–Whitney U test. </w:t>
            </w:r>
          </w:p>
          <w:p w14:paraId="14FD8F47" w14:textId="77777777" w:rsidR="00260138" w:rsidRPr="008E6E0D" w:rsidRDefault="00260138" w:rsidP="00260138">
            <w:pPr>
              <w:pStyle w:val="Sinespaciado"/>
              <w:rPr>
                <w:sz w:val="16"/>
                <w:szCs w:val="16"/>
                <w:lang w:eastAsia="es-ES"/>
              </w:rPr>
            </w:pPr>
            <w:r w:rsidRPr="008E6E0D">
              <w:rPr>
                <w:sz w:val="16"/>
                <w:szCs w:val="16"/>
                <w:vertAlign w:val="superscript"/>
                <w:lang w:eastAsia="es-ES"/>
              </w:rPr>
              <w:t>$</w:t>
            </w:r>
            <w:r w:rsidRPr="008E6E0D">
              <w:rPr>
                <w:sz w:val="16"/>
                <w:szCs w:val="16"/>
                <w:lang w:eastAsia="es-ES"/>
              </w:rPr>
              <w:t xml:space="preserve">Includes: cancer, age &gt;80 years, hepatopathy, valvular disease, immunodeficiency, severe brain damage, morbid obesity, chronic disease, autoimmune disease, pregnancy, myopathy, pneumonia, and serious recurrent infections. </w:t>
            </w:r>
          </w:p>
          <w:p w14:paraId="5E6E5E6C" w14:textId="77777777" w:rsidR="00260138" w:rsidRPr="008E6E0D" w:rsidRDefault="00260138" w:rsidP="00260138">
            <w:pPr>
              <w:pStyle w:val="Sinespaciado"/>
              <w:rPr>
                <w:sz w:val="16"/>
                <w:szCs w:val="16"/>
                <w:lang w:eastAsia="es-ES"/>
              </w:rPr>
            </w:pPr>
            <w:r w:rsidRPr="008E6E0D">
              <w:rPr>
                <w:sz w:val="16"/>
                <w:szCs w:val="16"/>
                <w:vertAlign w:val="superscript"/>
                <w:lang w:eastAsia="es-ES"/>
              </w:rPr>
              <w:t>+</w:t>
            </w:r>
            <w:r w:rsidRPr="008E6E0D">
              <w:rPr>
                <w:sz w:val="16"/>
                <w:szCs w:val="16"/>
                <w:lang w:eastAsia="es-ES"/>
              </w:rPr>
              <w:t xml:space="preserve">Includes: mixed Gram-positive and Gram-negative infection, fungi, virus, and polymicrobial. </w:t>
            </w:r>
          </w:p>
          <w:p w14:paraId="2EC51F50" w14:textId="4B2947F3" w:rsidR="00260138" w:rsidRPr="008E6E0D" w:rsidRDefault="00260138" w:rsidP="00260138">
            <w:pPr>
              <w:rPr>
                <w:sz w:val="16"/>
                <w:szCs w:val="16"/>
              </w:rPr>
            </w:pPr>
            <w:r w:rsidRPr="008E6E0D">
              <w:rPr>
                <w:sz w:val="16"/>
                <w:szCs w:val="16"/>
                <w:lang w:eastAsia="es-ES"/>
              </w:rPr>
              <w:t>APACHE II, Acute Physiology and Chronic Health Evaluation II; ARDS, acute respiratory distress syndrome; BMI, Body Mass Index; ICU, Intensive Care Unit; SAPS, Simplified Acute Physiology Score II; SOFA, Sequential Organ Failure Assessment.</w:t>
            </w:r>
          </w:p>
        </w:tc>
      </w:tr>
    </w:tbl>
    <w:p w14:paraId="06F28636" w14:textId="6797429B" w:rsidR="00893694" w:rsidRPr="008E6E0D" w:rsidRDefault="00893694" w:rsidP="00315463">
      <w:pPr>
        <w:spacing w:after="160" w:line="259" w:lineRule="auto"/>
        <w:rPr>
          <w:b/>
          <w:sz w:val="20"/>
          <w:szCs w:val="20"/>
        </w:rPr>
      </w:pPr>
    </w:p>
    <w:p w14:paraId="4F9B7DAA" w14:textId="150AE8B5" w:rsidR="00F03A73" w:rsidRPr="008E6E0D" w:rsidRDefault="00F03A73" w:rsidP="00315463">
      <w:pPr>
        <w:spacing w:after="160" w:line="259" w:lineRule="auto"/>
        <w:rPr>
          <w:b/>
          <w:sz w:val="20"/>
          <w:szCs w:val="20"/>
        </w:rPr>
        <w:sectPr w:rsidR="00F03A73" w:rsidRPr="008E6E0D" w:rsidSect="00C71548">
          <w:footerReference w:type="default" r:id="rId20"/>
          <w:pgSz w:w="11906" w:h="16838"/>
          <w:pgMar w:top="1418" w:right="1701" w:bottom="1418" w:left="1701" w:header="709" w:footer="709" w:gutter="0"/>
          <w:cols w:space="708"/>
          <w:docGrid w:linePitch="360"/>
        </w:sectPr>
      </w:pPr>
    </w:p>
    <w:tbl>
      <w:tblPr>
        <w:tblW w:w="14857" w:type="dxa"/>
        <w:jc w:val="center"/>
        <w:tblLook w:val="04A0" w:firstRow="1" w:lastRow="0" w:firstColumn="1" w:lastColumn="0" w:noHBand="0" w:noVBand="1"/>
      </w:tblPr>
      <w:tblGrid>
        <w:gridCol w:w="1052"/>
        <w:gridCol w:w="1061"/>
        <w:gridCol w:w="652"/>
        <w:gridCol w:w="933"/>
        <w:gridCol w:w="1994"/>
        <w:gridCol w:w="576"/>
        <w:gridCol w:w="1351"/>
        <w:gridCol w:w="935"/>
        <w:gridCol w:w="1287"/>
        <w:gridCol w:w="772"/>
        <w:gridCol w:w="1287"/>
        <w:gridCol w:w="616"/>
        <w:gridCol w:w="187"/>
        <w:gridCol w:w="1351"/>
        <w:gridCol w:w="951"/>
      </w:tblGrid>
      <w:tr w:rsidR="00F03A73" w:rsidRPr="008E6E0D" w14:paraId="515C5ABE" w14:textId="77777777" w:rsidTr="006249CF">
        <w:trPr>
          <w:trHeight w:val="240"/>
          <w:jc w:val="center"/>
        </w:trPr>
        <w:tc>
          <w:tcPr>
            <w:tcW w:w="14857" w:type="dxa"/>
            <w:gridSpan w:val="15"/>
            <w:tcBorders>
              <w:top w:val="single" w:sz="4" w:space="0" w:color="auto"/>
              <w:bottom w:val="single" w:sz="4" w:space="0" w:color="auto"/>
            </w:tcBorders>
            <w:shd w:val="clear" w:color="auto" w:fill="auto"/>
            <w:noWrap/>
            <w:vAlign w:val="center"/>
          </w:tcPr>
          <w:p w14:paraId="7A7E10ED" w14:textId="1505D4B3" w:rsidR="00F03A73" w:rsidRPr="008E6E0D" w:rsidRDefault="00071409" w:rsidP="00DF0344">
            <w:pPr>
              <w:rPr>
                <w:b/>
                <w:bCs/>
                <w:color w:val="000000"/>
                <w:sz w:val="16"/>
                <w:szCs w:val="16"/>
              </w:rPr>
            </w:pPr>
            <w:r w:rsidRPr="008E6E0D">
              <w:rPr>
                <w:b/>
                <w:bCs/>
                <w:color w:val="000000"/>
                <w:sz w:val="16"/>
                <w:szCs w:val="16"/>
              </w:rPr>
              <w:lastRenderedPageBreak/>
              <w:t>Table S4</w:t>
            </w:r>
            <w:r w:rsidR="00F03A73" w:rsidRPr="008E6E0D">
              <w:rPr>
                <w:b/>
                <w:bCs/>
                <w:color w:val="000000"/>
                <w:sz w:val="16"/>
                <w:szCs w:val="16"/>
              </w:rPr>
              <w:t>.  Prioritized independent SNPs from the first stage of the GWAS of 28-day sepsis survival.</w:t>
            </w:r>
          </w:p>
        </w:tc>
      </w:tr>
      <w:tr w:rsidR="0084217C" w:rsidRPr="008E6E0D" w14:paraId="5FD1444E" w14:textId="77777777" w:rsidTr="006249CF">
        <w:trPr>
          <w:trHeight w:val="240"/>
          <w:jc w:val="center"/>
        </w:trPr>
        <w:tc>
          <w:tcPr>
            <w:tcW w:w="1042" w:type="dxa"/>
            <w:tcBorders>
              <w:top w:val="single" w:sz="4" w:space="0" w:color="auto"/>
              <w:bottom w:val="single" w:sz="4" w:space="0" w:color="auto"/>
            </w:tcBorders>
            <w:shd w:val="clear" w:color="auto" w:fill="auto"/>
            <w:noWrap/>
            <w:vAlign w:val="center"/>
          </w:tcPr>
          <w:p w14:paraId="5F121499" w14:textId="77777777" w:rsidR="00EF6179" w:rsidRPr="008E6E0D" w:rsidRDefault="00EF6179" w:rsidP="00DF0344">
            <w:pPr>
              <w:jc w:val="center"/>
              <w:rPr>
                <w:b/>
                <w:bCs/>
                <w:color w:val="000000"/>
                <w:sz w:val="16"/>
                <w:szCs w:val="16"/>
              </w:rPr>
            </w:pPr>
          </w:p>
        </w:tc>
        <w:tc>
          <w:tcPr>
            <w:tcW w:w="1034" w:type="dxa"/>
            <w:tcBorders>
              <w:top w:val="single" w:sz="4" w:space="0" w:color="auto"/>
              <w:bottom w:val="single" w:sz="4" w:space="0" w:color="auto"/>
            </w:tcBorders>
            <w:shd w:val="clear" w:color="auto" w:fill="auto"/>
            <w:noWrap/>
            <w:vAlign w:val="center"/>
          </w:tcPr>
          <w:p w14:paraId="53AD08CC" w14:textId="77777777" w:rsidR="00EF6179" w:rsidRPr="008E6E0D" w:rsidRDefault="00EF6179" w:rsidP="00DF0344">
            <w:pPr>
              <w:jc w:val="center"/>
              <w:rPr>
                <w:b/>
                <w:bCs/>
                <w:color w:val="000000"/>
                <w:sz w:val="16"/>
                <w:szCs w:val="16"/>
              </w:rPr>
            </w:pPr>
          </w:p>
        </w:tc>
        <w:tc>
          <w:tcPr>
            <w:tcW w:w="599" w:type="dxa"/>
            <w:tcBorders>
              <w:top w:val="single" w:sz="4" w:space="0" w:color="auto"/>
              <w:bottom w:val="single" w:sz="4" w:space="0" w:color="auto"/>
            </w:tcBorders>
            <w:shd w:val="clear" w:color="auto" w:fill="auto"/>
            <w:noWrap/>
            <w:vAlign w:val="center"/>
          </w:tcPr>
          <w:p w14:paraId="3037646F" w14:textId="77777777" w:rsidR="00EF6179" w:rsidRPr="008E6E0D" w:rsidRDefault="00EF6179" w:rsidP="00DF0344">
            <w:pPr>
              <w:jc w:val="center"/>
              <w:rPr>
                <w:b/>
                <w:bCs/>
                <w:color w:val="000000"/>
                <w:sz w:val="16"/>
                <w:szCs w:val="16"/>
              </w:rPr>
            </w:pPr>
          </w:p>
        </w:tc>
        <w:tc>
          <w:tcPr>
            <w:tcW w:w="933" w:type="dxa"/>
            <w:tcBorders>
              <w:top w:val="single" w:sz="4" w:space="0" w:color="auto"/>
              <w:bottom w:val="single" w:sz="4" w:space="0" w:color="auto"/>
            </w:tcBorders>
            <w:shd w:val="clear" w:color="auto" w:fill="auto"/>
            <w:noWrap/>
            <w:vAlign w:val="center"/>
          </w:tcPr>
          <w:p w14:paraId="5814C67F" w14:textId="77777777" w:rsidR="00EF6179" w:rsidRPr="008E6E0D" w:rsidRDefault="00EF6179" w:rsidP="00DF0344">
            <w:pPr>
              <w:jc w:val="center"/>
              <w:rPr>
                <w:b/>
                <w:bCs/>
                <w:color w:val="000000"/>
                <w:sz w:val="16"/>
                <w:szCs w:val="16"/>
              </w:rPr>
            </w:pPr>
          </w:p>
        </w:tc>
        <w:tc>
          <w:tcPr>
            <w:tcW w:w="1961" w:type="dxa"/>
            <w:tcBorders>
              <w:top w:val="single" w:sz="4" w:space="0" w:color="auto"/>
              <w:bottom w:val="single" w:sz="4" w:space="0" w:color="auto"/>
            </w:tcBorders>
            <w:shd w:val="clear" w:color="auto" w:fill="auto"/>
            <w:noWrap/>
            <w:vAlign w:val="center"/>
          </w:tcPr>
          <w:p w14:paraId="300FDD9D" w14:textId="77777777" w:rsidR="00EF6179" w:rsidRPr="008E6E0D" w:rsidRDefault="00EF6179" w:rsidP="00DF0344">
            <w:pPr>
              <w:jc w:val="center"/>
              <w:rPr>
                <w:b/>
                <w:bCs/>
                <w:color w:val="000000"/>
                <w:sz w:val="16"/>
                <w:szCs w:val="16"/>
              </w:rPr>
            </w:pPr>
          </w:p>
        </w:tc>
        <w:tc>
          <w:tcPr>
            <w:tcW w:w="551" w:type="dxa"/>
            <w:tcBorders>
              <w:top w:val="single" w:sz="4" w:space="0" w:color="auto"/>
              <w:bottom w:val="single" w:sz="4" w:space="0" w:color="auto"/>
            </w:tcBorders>
            <w:shd w:val="clear" w:color="auto" w:fill="auto"/>
            <w:noWrap/>
            <w:vAlign w:val="center"/>
          </w:tcPr>
          <w:p w14:paraId="6BB5A3F4" w14:textId="77777777" w:rsidR="00EF6179" w:rsidRPr="008E6E0D" w:rsidRDefault="00EF6179" w:rsidP="00DF0344">
            <w:pPr>
              <w:jc w:val="center"/>
              <w:rPr>
                <w:b/>
                <w:bCs/>
                <w:color w:val="000000"/>
                <w:sz w:val="16"/>
                <w:szCs w:val="16"/>
              </w:rPr>
            </w:pPr>
          </w:p>
        </w:tc>
        <w:tc>
          <w:tcPr>
            <w:tcW w:w="1351" w:type="dxa"/>
            <w:tcBorders>
              <w:top w:val="single" w:sz="4" w:space="0" w:color="auto"/>
              <w:bottom w:val="single" w:sz="4" w:space="0" w:color="auto"/>
            </w:tcBorders>
            <w:shd w:val="clear" w:color="auto" w:fill="auto"/>
            <w:noWrap/>
            <w:vAlign w:val="center"/>
          </w:tcPr>
          <w:p w14:paraId="325FB244" w14:textId="77E957AF" w:rsidR="00EF6179" w:rsidRPr="008E6E0D" w:rsidRDefault="00EF6179" w:rsidP="00DF0344">
            <w:pPr>
              <w:jc w:val="center"/>
              <w:rPr>
                <w:b/>
                <w:bCs/>
                <w:color w:val="000000"/>
                <w:sz w:val="16"/>
                <w:szCs w:val="16"/>
              </w:rPr>
            </w:pPr>
            <w:r w:rsidRPr="008E6E0D">
              <w:rPr>
                <w:color w:val="000000"/>
                <w:sz w:val="16"/>
                <w:szCs w:val="16"/>
              </w:rPr>
              <w:t>GEN-SEP</w:t>
            </w:r>
            <w:r w:rsidR="00AC4437" w:rsidRPr="008E6E0D">
              <w:rPr>
                <w:color w:val="000000"/>
                <w:sz w:val="16"/>
                <w:szCs w:val="16"/>
              </w:rPr>
              <w:t xml:space="preserve"> (N=687)</w:t>
            </w:r>
          </w:p>
        </w:tc>
        <w:tc>
          <w:tcPr>
            <w:tcW w:w="935" w:type="dxa"/>
            <w:tcBorders>
              <w:top w:val="single" w:sz="4" w:space="0" w:color="auto"/>
              <w:bottom w:val="single" w:sz="4" w:space="0" w:color="auto"/>
            </w:tcBorders>
            <w:shd w:val="clear" w:color="auto" w:fill="auto"/>
            <w:noWrap/>
            <w:vAlign w:val="center"/>
          </w:tcPr>
          <w:p w14:paraId="1C46A077" w14:textId="77777777" w:rsidR="00EF6179" w:rsidRPr="008E6E0D" w:rsidRDefault="00EF6179" w:rsidP="00DF0344">
            <w:pPr>
              <w:jc w:val="center"/>
              <w:rPr>
                <w:b/>
                <w:bCs/>
                <w:color w:val="000000"/>
                <w:sz w:val="16"/>
                <w:szCs w:val="16"/>
              </w:rPr>
            </w:pPr>
          </w:p>
        </w:tc>
        <w:tc>
          <w:tcPr>
            <w:tcW w:w="2059" w:type="dxa"/>
            <w:gridSpan w:val="2"/>
            <w:tcBorders>
              <w:top w:val="single" w:sz="4" w:space="0" w:color="auto"/>
              <w:bottom w:val="single" w:sz="4" w:space="0" w:color="auto"/>
            </w:tcBorders>
            <w:shd w:val="clear" w:color="auto" w:fill="auto"/>
            <w:noWrap/>
            <w:vAlign w:val="center"/>
          </w:tcPr>
          <w:p w14:paraId="6F9887C0" w14:textId="78A552B6" w:rsidR="0084217C" w:rsidRPr="008E6E0D" w:rsidRDefault="00EF6179" w:rsidP="00DF0344">
            <w:pPr>
              <w:jc w:val="center"/>
              <w:rPr>
                <w:color w:val="000000"/>
                <w:sz w:val="16"/>
                <w:szCs w:val="16"/>
              </w:rPr>
            </w:pPr>
            <w:r w:rsidRPr="008E6E0D">
              <w:rPr>
                <w:color w:val="000000"/>
                <w:sz w:val="16"/>
                <w:szCs w:val="16"/>
              </w:rPr>
              <w:t xml:space="preserve">MESSI </w:t>
            </w:r>
            <w:r w:rsidR="00AC4437" w:rsidRPr="008E6E0D">
              <w:rPr>
                <w:color w:val="000000"/>
                <w:sz w:val="16"/>
                <w:szCs w:val="16"/>
              </w:rPr>
              <w:t>(N=</w:t>
            </w:r>
            <w:r w:rsidR="004D578A" w:rsidRPr="008E6E0D">
              <w:rPr>
                <w:color w:val="000000"/>
                <w:sz w:val="16"/>
                <w:szCs w:val="16"/>
              </w:rPr>
              <w:t>1</w:t>
            </w:r>
            <w:r w:rsidR="00D8712C" w:rsidRPr="008E6E0D">
              <w:rPr>
                <w:color w:val="000000"/>
                <w:sz w:val="16"/>
                <w:szCs w:val="16"/>
              </w:rPr>
              <w:t>,</w:t>
            </w:r>
            <w:r w:rsidR="004D578A" w:rsidRPr="008E6E0D">
              <w:rPr>
                <w:color w:val="000000"/>
                <w:sz w:val="16"/>
                <w:szCs w:val="16"/>
              </w:rPr>
              <w:t>362</w:t>
            </w:r>
            <w:r w:rsidR="00AC4437" w:rsidRPr="008E6E0D">
              <w:rPr>
                <w:color w:val="000000"/>
                <w:sz w:val="16"/>
                <w:szCs w:val="16"/>
              </w:rPr>
              <w:t>)</w:t>
            </w:r>
          </w:p>
          <w:p w14:paraId="35A11250" w14:textId="0D5ACDDE" w:rsidR="00EF6179" w:rsidRPr="008E6E0D" w:rsidRDefault="00EF6179" w:rsidP="00DF0344">
            <w:pPr>
              <w:jc w:val="center"/>
              <w:rPr>
                <w:b/>
                <w:bCs/>
                <w:color w:val="000000"/>
                <w:sz w:val="16"/>
                <w:szCs w:val="16"/>
              </w:rPr>
            </w:pPr>
            <w:r w:rsidRPr="008E6E0D">
              <w:rPr>
                <w:color w:val="000000"/>
                <w:sz w:val="16"/>
                <w:szCs w:val="16"/>
              </w:rPr>
              <w:t>(European Americans)</w:t>
            </w:r>
          </w:p>
        </w:tc>
        <w:tc>
          <w:tcPr>
            <w:tcW w:w="1903" w:type="dxa"/>
            <w:gridSpan w:val="2"/>
            <w:tcBorders>
              <w:top w:val="single" w:sz="4" w:space="0" w:color="auto"/>
              <w:bottom w:val="single" w:sz="4" w:space="0" w:color="auto"/>
            </w:tcBorders>
            <w:shd w:val="clear" w:color="auto" w:fill="auto"/>
            <w:noWrap/>
            <w:vAlign w:val="center"/>
          </w:tcPr>
          <w:p w14:paraId="6CB5967B" w14:textId="02A05FC5" w:rsidR="0084217C" w:rsidRPr="008E6E0D" w:rsidRDefault="00EF6179" w:rsidP="00DF0344">
            <w:pPr>
              <w:jc w:val="center"/>
              <w:rPr>
                <w:sz w:val="16"/>
                <w:szCs w:val="16"/>
              </w:rPr>
            </w:pPr>
            <w:r w:rsidRPr="008E6E0D">
              <w:rPr>
                <w:sz w:val="16"/>
                <w:szCs w:val="16"/>
              </w:rPr>
              <w:t xml:space="preserve">MESSI </w:t>
            </w:r>
            <w:r w:rsidR="00AC4437" w:rsidRPr="008E6E0D">
              <w:rPr>
                <w:sz w:val="16"/>
                <w:szCs w:val="16"/>
              </w:rPr>
              <w:t>(N=701)</w:t>
            </w:r>
          </w:p>
          <w:p w14:paraId="17302A4A" w14:textId="65459043" w:rsidR="00EF6179" w:rsidRPr="008E6E0D" w:rsidRDefault="00EF6179" w:rsidP="00DF0344">
            <w:pPr>
              <w:jc w:val="center"/>
              <w:rPr>
                <w:b/>
                <w:bCs/>
                <w:color w:val="000000"/>
                <w:sz w:val="16"/>
                <w:szCs w:val="16"/>
              </w:rPr>
            </w:pPr>
            <w:r w:rsidRPr="008E6E0D">
              <w:rPr>
                <w:sz w:val="16"/>
                <w:szCs w:val="16"/>
              </w:rPr>
              <w:t>(African</w:t>
            </w:r>
            <w:r w:rsidR="00D8712C" w:rsidRPr="008E6E0D">
              <w:rPr>
                <w:sz w:val="16"/>
                <w:szCs w:val="16"/>
              </w:rPr>
              <w:t xml:space="preserve"> </w:t>
            </w:r>
            <w:r w:rsidRPr="008E6E0D">
              <w:rPr>
                <w:sz w:val="16"/>
                <w:szCs w:val="16"/>
              </w:rPr>
              <w:t>Americans)</w:t>
            </w:r>
          </w:p>
        </w:tc>
        <w:tc>
          <w:tcPr>
            <w:tcW w:w="2485" w:type="dxa"/>
            <w:gridSpan w:val="3"/>
            <w:tcBorders>
              <w:top w:val="single" w:sz="4" w:space="0" w:color="auto"/>
              <w:bottom w:val="single" w:sz="4" w:space="0" w:color="auto"/>
            </w:tcBorders>
            <w:shd w:val="clear" w:color="auto" w:fill="auto"/>
            <w:noWrap/>
            <w:vAlign w:val="center"/>
          </w:tcPr>
          <w:p w14:paraId="17EC504C" w14:textId="397E6C77" w:rsidR="00EF6179" w:rsidRPr="008E6E0D" w:rsidRDefault="00EF6179" w:rsidP="00DF0344">
            <w:pPr>
              <w:jc w:val="center"/>
              <w:rPr>
                <w:b/>
                <w:bCs/>
                <w:color w:val="000000"/>
                <w:sz w:val="16"/>
                <w:szCs w:val="16"/>
              </w:rPr>
            </w:pPr>
            <w:r w:rsidRPr="008E6E0D">
              <w:rPr>
                <w:color w:val="000000"/>
                <w:sz w:val="16"/>
                <w:szCs w:val="16"/>
              </w:rPr>
              <w:t>Meta-analysis</w:t>
            </w:r>
            <w:r w:rsidR="00AC4437" w:rsidRPr="008E6E0D">
              <w:rPr>
                <w:color w:val="000000"/>
                <w:sz w:val="16"/>
                <w:szCs w:val="16"/>
              </w:rPr>
              <w:t xml:space="preserve"> (N=</w:t>
            </w:r>
            <w:r w:rsidR="00FB0BD3" w:rsidRPr="008E6E0D">
              <w:rPr>
                <w:color w:val="000000"/>
                <w:sz w:val="16"/>
                <w:szCs w:val="16"/>
              </w:rPr>
              <w:t>2</w:t>
            </w:r>
            <w:r w:rsidR="00D8712C" w:rsidRPr="008E6E0D">
              <w:rPr>
                <w:color w:val="000000"/>
                <w:sz w:val="16"/>
                <w:szCs w:val="16"/>
              </w:rPr>
              <w:t>,</w:t>
            </w:r>
            <w:r w:rsidR="000B71EB" w:rsidRPr="008E6E0D">
              <w:rPr>
                <w:color w:val="000000"/>
                <w:sz w:val="16"/>
                <w:szCs w:val="16"/>
              </w:rPr>
              <w:t>750</w:t>
            </w:r>
            <w:r w:rsidR="00AC4437" w:rsidRPr="008E6E0D">
              <w:rPr>
                <w:color w:val="000000"/>
                <w:sz w:val="16"/>
                <w:szCs w:val="16"/>
              </w:rPr>
              <w:t>)</w:t>
            </w:r>
          </w:p>
        </w:tc>
      </w:tr>
      <w:tr w:rsidR="0084217C" w:rsidRPr="008E6E0D" w14:paraId="13A21E65" w14:textId="77777777" w:rsidTr="006249CF">
        <w:trPr>
          <w:trHeight w:val="240"/>
          <w:jc w:val="center"/>
        </w:trPr>
        <w:tc>
          <w:tcPr>
            <w:tcW w:w="1042" w:type="dxa"/>
            <w:tcBorders>
              <w:top w:val="single" w:sz="4" w:space="0" w:color="auto"/>
              <w:bottom w:val="single" w:sz="4" w:space="0" w:color="auto"/>
            </w:tcBorders>
            <w:shd w:val="clear" w:color="auto" w:fill="auto"/>
            <w:noWrap/>
            <w:vAlign w:val="center"/>
            <w:hideMark/>
          </w:tcPr>
          <w:p w14:paraId="7A365639" w14:textId="77777777" w:rsidR="00F03A73" w:rsidRPr="008E6E0D" w:rsidRDefault="00F03A73" w:rsidP="00DF0344">
            <w:pPr>
              <w:jc w:val="center"/>
              <w:rPr>
                <w:b/>
                <w:bCs/>
                <w:color w:val="000000"/>
                <w:sz w:val="16"/>
                <w:szCs w:val="16"/>
              </w:rPr>
            </w:pPr>
            <w:r w:rsidRPr="008E6E0D">
              <w:rPr>
                <w:b/>
                <w:bCs/>
                <w:color w:val="000000"/>
                <w:sz w:val="16"/>
                <w:szCs w:val="16"/>
              </w:rPr>
              <w:t>rsID</w:t>
            </w:r>
          </w:p>
        </w:tc>
        <w:tc>
          <w:tcPr>
            <w:tcW w:w="1034" w:type="dxa"/>
            <w:tcBorders>
              <w:top w:val="single" w:sz="4" w:space="0" w:color="auto"/>
              <w:bottom w:val="single" w:sz="4" w:space="0" w:color="auto"/>
            </w:tcBorders>
            <w:shd w:val="clear" w:color="auto" w:fill="auto"/>
            <w:noWrap/>
            <w:vAlign w:val="center"/>
            <w:hideMark/>
          </w:tcPr>
          <w:p w14:paraId="1196CC82" w14:textId="77777777" w:rsidR="00F03A73" w:rsidRPr="008E6E0D" w:rsidRDefault="00F03A73" w:rsidP="00DF0344">
            <w:pPr>
              <w:jc w:val="center"/>
              <w:rPr>
                <w:b/>
                <w:bCs/>
                <w:color w:val="000000"/>
                <w:sz w:val="16"/>
                <w:szCs w:val="16"/>
              </w:rPr>
            </w:pPr>
            <w:r w:rsidRPr="008E6E0D">
              <w:rPr>
                <w:b/>
                <w:bCs/>
                <w:color w:val="000000"/>
                <w:sz w:val="16"/>
                <w:szCs w:val="16"/>
              </w:rPr>
              <w:t>Position (Hg19)</w:t>
            </w:r>
          </w:p>
        </w:tc>
        <w:tc>
          <w:tcPr>
            <w:tcW w:w="599" w:type="dxa"/>
            <w:tcBorders>
              <w:top w:val="single" w:sz="4" w:space="0" w:color="auto"/>
              <w:bottom w:val="single" w:sz="4" w:space="0" w:color="auto"/>
            </w:tcBorders>
            <w:shd w:val="clear" w:color="auto" w:fill="auto"/>
            <w:noWrap/>
            <w:vAlign w:val="center"/>
            <w:hideMark/>
          </w:tcPr>
          <w:p w14:paraId="61305E2F" w14:textId="77777777" w:rsidR="00F03A73" w:rsidRPr="008E6E0D" w:rsidRDefault="00F03A73" w:rsidP="00DF0344">
            <w:pPr>
              <w:jc w:val="center"/>
              <w:rPr>
                <w:b/>
                <w:bCs/>
                <w:color w:val="000000"/>
                <w:sz w:val="16"/>
                <w:szCs w:val="16"/>
              </w:rPr>
            </w:pPr>
            <w:r w:rsidRPr="008E6E0D">
              <w:rPr>
                <w:b/>
                <w:bCs/>
                <w:color w:val="000000"/>
                <w:sz w:val="16"/>
                <w:szCs w:val="16"/>
              </w:rPr>
              <w:t>A1/A2</w:t>
            </w:r>
          </w:p>
        </w:tc>
        <w:tc>
          <w:tcPr>
            <w:tcW w:w="933" w:type="dxa"/>
            <w:tcBorders>
              <w:top w:val="single" w:sz="4" w:space="0" w:color="auto"/>
              <w:bottom w:val="single" w:sz="4" w:space="0" w:color="auto"/>
            </w:tcBorders>
            <w:shd w:val="clear" w:color="auto" w:fill="auto"/>
            <w:noWrap/>
            <w:vAlign w:val="center"/>
            <w:hideMark/>
          </w:tcPr>
          <w:p w14:paraId="179A0B71" w14:textId="285845DD" w:rsidR="00F03A73" w:rsidRPr="008E6E0D" w:rsidRDefault="00F03A73" w:rsidP="00DF0344">
            <w:pPr>
              <w:jc w:val="center"/>
              <w:rPr>
                <w:b/>
                <w:bCs/>
                <w:color w:val="000000"/>
                <w:sz w:val="16"/>
                <w:szCs w:val="16"/>
              </w:rPr>
            </w:pPr>
            <w:r w:rsidRPr="008E6E0D">
              <w:rPr>
                <w:b/>
                <w:bCs/>
                <w:color w:val="000000"/>
                <w:sz w:val="16"/>
                <w:szCs w:val="16"/>
              </w:rPr>
              <w:t>Func</w:t>
            </w:r>
            <w:r w:rsidR="007277CD" w:rsidRPr="008E6E0D">
              <w:rPr>
                <w:b/>
                <w:bCs/>
                <w:color w:val="000000"/>
                <w:sz w:val="16"/>
                <w:szCs w:val="16"/>
              </w:rPr>
              <w:t>tion</w:t>
            </w:r>
          </w:p>
        </w:tc>
        <w:tc>
          <w:tcPr>
            <w:tcW w:w="1961" w:type="dxa"/>
            <w:tcBorders>
              <w:top w:val="single" w:sz="4" w:space="0" w:color="auto"/>
              <w:bottom w:val="single" w:sz="4" w:space="0" w:color="auto"/>
            </w:tcBorders>
            <w:shd w:val="clear" w:color="auto" w:fill="auto"/>
            <w:noWrap/>
            <w:vAlign w:val="center"/>
            <w:hideMark/>
          </w:tcPr>
          <w:p w14:paraId="0BB5A3C7" w14:textId="77777777" w:rsidR="00F03A73" w:rsidRPr="008E6E0D" w:rsidRDefault="00F03A73" w:rsidP="00DF0344">
            <w:pPr>
              <w:jc w:val="center"/>
              <w:rPr>
                <w:b/>
                <w:bCs/>
                <w:color w:val="000000"/>
                <w:sz w:val="16"/>
                <w:szCs w:val="16"/>
              </w:rPr>
            </w:pPr>
            <w:r w:rsidRPr="008E6E0D">
              <w:rPr>
                <w:b/>
                <w:bCs/>
                <w:color w:val="000000"/>
                <w:sz w:val="16"/>
                <w:szCs w:val="16"/>
              </w:rPr>
              <w:t>Gene</w:t>
            </w:r>
          </w:p>
        </w:tc>
        <w:tc>
          <w:tcPr>
            <w:tcW w:w="551" w:type="dxa"/>
            <w:tcBorders>
              <w:top w:val="single" w:sz="4" w:space="0" w:color="auto"/>
              <w:bottom w:val="single" w:sz="4" w:space="0" w:color="auto"/>
            </w:tcBorders>
            <w:shd w:val="clear" w:color="auto" w:fill="auto"/>
            <w:noWrap/>
            <w:vAlign w:val="center"/>
            <w:hideMark/>
          </w:tcPr>
          <w:p w14:paraId="5258C5D6" w14:textId="77777777" w:rsidR="00F03A73" w:rsidRPr="008E6E0D" w:rsidRDefault="00F03A73" w:rsidP="00DF0344">
            <w:pPr>
              <w:jc w:val="center"/>
              <w:rPr>
                <w:b/>
                <w:bCs/>
                <w:color w:val="000000"/>
                <w:sz w:val="16"/>
                <w:szCs w:val="16"/>
              </w:rPr>
            </w:pPr>
            <w:r w:rsidRPr="008E6E0D">
              <w:rPr>
                <w:b/>
                <w:bCs/>
                <w:color w:val="000000"/>
                <w:sz w:val="16"/>
                <w:szCs w:val="16"/>
              </w:rPr>
              <w:t>EAF</w:t>
            </w:r>
          </w:p>
        </w:tc>
        <w:tc>
          <w:tcPr>
            <w:tcW w:w="1351" w:type="dxa"/>
            <w:tcBorders>
              <w:top w:val="single" w:sz="4" w:space="0" w:color="auto"/>
              <w:bottom w:val="single" w:sz="4" w:space="0" w:color="auto"/>
            </w:tcBorders>
            <w:shd w:val="clear" w:color="auto" w:fill="auto"/>
            <w:noWrap/>
            <w:vAlign w:val="center"/>
            <w:hideMark/>
          </w:tcPr>
          <w:p w14:paraId="32AA7397" w14:textId="77777777" w:rsidR="00F03A73" w:rsidRPr="008E6E0D" w:rsidRDefault="00F03A73" w:rsidP="00DF0344">
            <w:pPr>
              <w:jc w:val="center"/>
              <w:rPr>
                <w:b/>
                <w:bCs/>
                <w:color w:val="000000"/>
                <w:sz w:val="16"/>
                <w:szCs w:val="16"/>
              </w:rPr>
            </w:pPr>
            <w:r w:rsidRPr="008E6E0D">
              <w:rPr>
                <w:b/>
                <w:bCs/>
                <w:color w:val="000000"/>
                <w:sz w:val="16"/>
                <w:szCs w:val="16"/>
              </w:rPr>
              <w:t>HR (95% CI)</w:t>
            </w:r>
          </w:p>
        </w:tc>
        <w:tc>
          <w:tcPr>
            <w:tcW w:w="935" w:type="dxa"/>
            <w:tcBorders>
              <w:top w:val="single" w:sz="4" w:space="0" w:color="auto"/>
              <w:bottom w:val="single" w:sz="4" w:space="0" w:color="auto"/>
            </w:tcBorders>
            <w:shd w:val="clear" w:color="auto" w:fill="auto"/>
            <w:noWrap/>
            <w:vAlign w:val="center"/>
            <w:hideMark/>
          </w:tcPr>
          <w:p w14:paraId="50214152" w14:textId="77777777" w:rsidR="00F03A73" w:rsidRPr="008E6E0D" w:rsidRDefault="00F03A73" w:rsidP="00DF0344">
            <w:pPr>
              <w:jc w:val="center"/>
              <w:rPr>
                <w:b/>
                <w:bCs/>
                <w:color w:val="000000"/>
                <w:sz w:val="16"/>
                <w:szCs w:val="16"/>
              </w:rPr>
            </w:pPr>
            <w:r w:rsidRPr="008E6E0D">
              <w:rPr>
                <w:b/>
                <w:bCs/>
                <w:i/>
                <w:iCs/>
                <w:color w:val="000000"/>
                <w:sz w:val="16"/>
                <w:szCs w:val="16"/>
              </w:rPr>
              <w:t>p</w:t>
            </w:r>
            <w:r w:rsidRPr="008E6E0D">
              <w:rPr>
                <w:b/>
                <w:bCs/>
                <w:color w:val="000000"/>
                <w:sz w:val="16"/>
                <w:szCs w:val="16"/>
              </w:rPr>
              <w:t>-value</w:t>
            </w:r>
          </w:p>
        </w:tc>
        <w:tc>
          <w:tcPr>
            <w:tcW w:w="1287" w:type="dxa"/>
            <w:tcBorders>
              <w:top w:val="single" w:sz="4" w:space="0" w:color="auto"/>
              <w:bottom w:val="single" w:sz="4" w:space="0" w:color="auto"/>
            </w:tcBorders>
            <w:shd w:val="clear" w:color="auto" w:fill="auto"/>
            <w:noWrap/>
            <w:vAlign w:val="center"/>
            <w:hideMark/>
          </w:tcPr>
          <w:p w14:paraId="26D3BBFC" w14:textId="77777777" w:rsidR="00F03A73" w:rsidRPr="008E6E0D" w:rsidRDefault="00F03A73" w:rsidP="00DF0344">
            <w:pPr>
              <w:jc w:val="center"/>
              <w:rPr>
                <w:b/>
                <w:bCs/>
                <w:color w:val="000000"/>
                <w:sz w:val="16"/>
                <w:szCs w:val="16"/>
              </w:rPr>
            </w:pPr>
            <w:r w:rsidRPr="008E6E0D">
              <w:rPr>
                <w:b/>
                <w:bCs/>
                <w:color w:val="000000"/>
                <w:sz w:val="16"/>
                <w:szCs w:val="16"/>
              </w:rPr>
              <w:t>HR (95% CI)</w:t>
            </w:r>
          </w:p>
        </w:tc>
        <w:tc>
          <w:tcPr>
            <w:tcW w:w="772" w:type="dxa"/>
            <w:tcBorders>
              <w:top w:val="single" w:sz="4" w:space="0" w:color="auto"/>
              <w:bottom w:val="single" w:sz="4" w:space="0" w:color="auto"/>
            </w:tcBorders>
            <w:shd w:val="clear" w:color="auto" w:fill="auto"/>
            <w:noWrap/>
            <w:vAlign w:val="center"/>
            <w:hideMark/>
          </w:tcPr>
          <w:p w14:paraId="23DF7A2E" w14:textId="77777777" w:rsidR="00F03A73" w:rsidRPr="008E6E0D" w:rsidRDefault="00F03A73" w:rsidP="00DF0344">
            <w:pPr>
              <w:jc w:val="center"/>
              <w:rPr>
                <w:b/>
                <w:bCs/>
                <w:color w:val="000000"/>
                <w:sz w:val="16"/>
                <w:szCs w:val="16"/>
              </w:rPr>
            </w:pPr>
            <w:r w:rsidRPr="008E6E0D">
              <w:rPr>
                <w:b/>
                <w:bCs/>
                <w:i/>
                <w:iCs/>
                <w:color w:val="000000"/>
                <w:sz w:val="16"/>
                <w:szCs w:val="16"/>
              </w:rPr>
              <w:t>p</w:t>
            </w:r>
            <w:r w:rsidRPr="008E6E0D">
              <w:rPr>
                <w:b/>
                <w:bCs/>
                <w:color w:val="000000"/>
                <w:sz w:val="16"/>
                <w:szCs w:val="16"/>
              </w:rPr>
              <w:t>-value</w:t>
            </w:r>
          </w:p>
        </w:tc>
        <w:tc>
          <w:tcPr>
            <w:tcW w:w="1287" w:type="dxa"/>
            <w:tcBorders>
              <w:top w:val="single" w:sz="4" w:space="0" w:color="auto"/>
              <w:bottom w:val="single" w:sz="4" w:space="0" w:color="auto"/>
            </w:tcBorders>
            <w:shd w:val="clear" w:color="auto" w:fill="auto"/>
            <w:noWrap/>
            <w:vAlign w:val="center"/>
            <w:hideMark/>
          </w:tcPr>
          <w:p w14:paraId="4F5F0310" w14:textId="77777777" w:rsidR="00F03A73" w:rsidRPr="008E6E0D" w:rsidRDefault="00F03A73" w:rsidP="00DF0344">
            <w:pPr>
              <w:jc w:val="center"/>
              <w:rPr>
                <w:b/>
                <w:bCs/>
                <w:color w:val="000000"/>
                <w:sz w:val="16"/>
                <w:szCs w:val="16"/>
              </w:rPr>
            </w:pPr>
            <w:r w:rsidRPr="008E6E0D">
              <w:rPr>
                <w:b/>
                <w:bCs/>
                <w:color w:val="000000"/>
                <w:sz w:val="16"/>
                <w:szCs w:val="16"/>
              </w:rPr>
              <w:t>HR (95% CI)</w:t>
            </w:r>
          </w:p>
        </w:tc>
        <w:tc>
          <w:tcPr>
            <w:tcW w:w="803" w:type="dxa"/>
            <w:gridSpan w:val="2"/>
            <w:tcBorders>
              <w:top w:val="single" w:sz="4" w:space="0" w:color="auto"/>
              <w:bottom w:val="single" w:sz="4" w:space="0" w:color="auto"/>
            </w:tcBorders>
            <w:shd w:val="clear" w:color="auto" w:fill="auto"/>
            <w:noWrap/>
            <w:vAlign w:val="center"/>
            <w:hideMark/>
          </w:tcPr>
          <w:p w14:paraId="0B055A2D" w14:textId="77777777" w:rsidR="00F03A73" w:rsidRPr="008E6E0D" w:rsidRDefault="00F03A73" w:rsidP="00DF0344">
            <w:pPr>
              <w:jc w:val="center"/>
              <w:rPr>
                <w:b/>
                <w:bCs/>
                <w:color w:val="000000"/>
                <w:sz w:val="16"/>
                <w:szCs w:val="16"/>
              </w:rPr>
            </w:pPr>
            <w:r w:rsidRPr="008E6E0D">
              <w:rPr>
                <w:b/>
                <w:bCs/>
                <w:i/>
                <w:iCs/>
                <w:color w:val="000000"/>
                <w:sz w:val="16"/>
                <w:szCs w:val="16"/>
              </w:rPr>
              <w:t>p</w:t>
            </w:r>
            <w:r w:rsidRPr="008E6E0D">
              <w:rPr>
                <w:b/>
                <w:bCs/>
                <w:color w:val="000000"/>
                <w:sz w:val="16"/>
                <w:szCs w:val="16"/>
              </w:rPr>
              <w:t>-value</w:t>
            </w:r>
          </w:p>
        </w:tc>
        <w:tc>
          <w:tcPr>
            <w:tcW w:w="1351" w:type="dxa"/>
            <w:tcBorders>
              <w:top w:val="single" w:sz="4" w:space="0" w:color="auto"/>
              <w:bottom w:val="single" w:sz="4" w:space="0" w:color="auto"/>
            </w:tcBorders>
            <w:shd w:val="clear" w:color="auto" w:fill="auto"/>
            <w:noWrap/>
            <w:vAlign w:val="center"/>
            <w:hideMark/>
          </w:tcPr>
          <w:p w14:paraId="67613042" w14:textId="77777777" w:rsidR="00F03A73" w:rsidRPr="008E6E0D" w:rsidRDefault="00F03A73" w:rsidP="00DF0344">
            <w:pPr>
              <w:jc w:val="center"/>
              <w:rPr>
                <w:b/>
                <w:bCs/>
                <w:color w:val="000000"/>
                <w:sz w:val="16"/>
                <w:szCs w:val="16"/>
              </w:rPr>
            </w:pPr>
            <w:r w:rsidRPr="008E6E0D">
              <w:rPr>
                <w:b/>
                <w:bCs/>
                <w:color w:val="000000"/>
                <w:sz w:val="16"/>
                <w:szCs w:val="16"/>
              </w:rPr>
              <w:t>HR (95% CI)</w:t>
            </w:r>
          </w:p>
        </w:tc>
        <w:tc>
          <w:tcPr>
            <w:tcW w:w="946" w:type="dxa"/>
            <w:tcBorders>
              <w:top w:val="single" w:sz="4" w:space="0" w:color="auto"/>
              <w:bottom w:val="single" w:sz="4" w:space="0" w:color="auto"/>
            </w:tcBorders>
            <w:shd w:val="clear" w:color="auto" w:fill="auto"/>
            <w:noWrap/>
            <w:vAlign w:val="center"/>
            <w:hideMark/>
          </w:tcPr>
          <w:p w14:paraId="168551DC" w14:textId="77777777" w:rsidR="00F03A73" w:rsidRPr="008E6E0D" w:rsidRDefault="00F03A73" w:rsidP="00DF0344">
            <w:pPr>
              <w:jc w:val="center"/>
              <w:rPr>
                <w:b/>
                <w:bCs/>
                <w:color w:val="000000"/>
                <w:sz w:val="16"/>
                <w:szCs w:val="16"/>
              </w:rPr>
            </w:pPr>
            <w:r w:rsidRPr="008E6E0D">
              <w:rPr>
                <w:b/>
                <w:bCs/>
                <w:i/>
                <w:iCs/>
                <w:color w:val="000000"/>
                <w:sz w:val="16"/>
                <w:szCs w:val="16"/>
              </w:rPr>
              <w:t>p</w:t>
            </w:r>
            <w:r w:rsidRPr="008E6E0D">
              <w:rPr>
                <w:b/>
                <w:bCs/>
                <w:color w:val="000000"/>
                <w:sz w:val="16"/>
                <w:szCs w:val="16"/>
              </w:rPr>
              <w:t>-value</w:t>
            </w:r>
          </w:p>
        </w:tc>
      </w:tr>
      <w:tr w:rsidR="0084217C" w:rsidRPr="008E6E0D" w14:paraId="6A211BA8" w14:textId="77777777" w:rsidTr="006249CF">
        <w:trPr>
          <w:trHeight w:val="240"/>
          <w:jc w:val="center"/>
        </w:trPr>
        <w:tc>
          <w:tcPr>
            <w:tcW w:w="1042" w:type="dxa"/>
            <w:tcBorders>
              <w:top w:val="single" w:sz="4" w:space="0" w:color="auto"/>
            </w:tcBorders>
            <w:shd w:val="clear" w:color="auto" w:fill="auto"/>
            <w:noWrap/>
            <w:vAlign w:val="center"/>
            <w:hideMark/>
          </w:tcPr>
          <w:p w14:paraId="4D74C861" w14:textId="77777777" w:rsidR="00F03A73" w:rsidRPr="008E6E0D" w:rsidRDefault="00F03A73" w:rsidP="00DF0344">
            <w:pPr>
              <w:jc w:val="center"/>
              <w:rPr>
                <w:color w:val="000000"/>
                <w:sz w:val="16"/>
                <w:szCs w:val="16"/>
              </w:rPr>
            </w:pPr>
            <w:r w:rsidRPr="008E6E0D">
              <w:rPr>
                <w:color w:val="000000"/>
                <w:sz w:val="16"/>
                <w:szCs w:val="16"/>
              </w:rPr>
              <w:t>rs114581095</w:t>
            </w:r>
          </w:p>
        </w:tc>
        <w:tc>
          <w:tcPr>
            <w:tcW w:w="1034" w:type="dxa"/>
            <w:tcBorders>
              <w:top w:val="single" w:sz="4" w:space="0" w:color="auto"/>
            </w:tcBorders>
            <w:shd w:val="clear" w:color="auto" w:fill="auto"/>
            <w:noWrap/>
            <w:vAlign w:val="center"/>
            <w:hideMark/>
          </w:tcPr>
          <w:p w14:paraId="14381A37" w14:textId="77777777" w:rsidR="00F03A73" w:rsidRPr="008E6E0D" w:rsidRDefault="00F03A73" w:rsidP="00DF0344">
            <w:pPr>
              <w:jc w:val="center"/>
              <w:rPr>
                <w:color w:val="000000"/>
                <w:sz w:val="16"/>
                <w:szCs w:val="16"/>
              </w:rPr>
            </w:pPr>
            <w:r w:rsidRPr="008E6E0D">
              <w:rPr>
                <w:color w:val="000000"/>
                <w:sz w:val="16"/>
                <w:szCs w:val="16"/>
              </w:rPr>
              <w:t>3:36047297</w:t>
            </w:r>
          </w:p>
        </w:tc>
        <w:tc>
          <w:tcPr>
            <w:tcW w:w="599" w:type="dxa"/>
            <w:tcBorders>
              <w:top w:val="single" w:sz="4" w:space="0" w:color="auto"/>
            </w:tcBorders>
            <w:shd w:val="clear" w:color="auto" w:fill="auto"/>
            <w:noWrap/>
            <w:vAlign w:val="center"/>
            <w:hideMark/>
          </w:tcPr>
          <w:p w14:paraId="475275D0" w14:textId="77777777" w:rsidR="00F03A73" w:rsidRPr="008E6E0D" w:rsidRDefault="00F03A73" w:rsidP="00DF0344">
            <w:pPr>
              <w:jc w:val="center"/>
              <w:rPr>
                <w:color w:val="000000"/>
                <w:sz w:val="16"/>
                <w:szCs w:val="16"/>
              </w:rPr>
            </w:pPr>
            <w:r w:rsidRPr="008E6E0D">
              <w:rPr>
                <w:color w:val="000000"/>
                <w:sz w:val="16"/>
                <w:szCs w:val="16"/>
              </w:rPr>
              <w:t>C/T</w:t>
            </w:r>
          </w:p>
        </w:tc>
        <w:tc>
          <w:tcPr>
            <w:tcW w:w="933" w:type="dxa"/>
            <w:tcBorders>
              <w:top w:val="single" w:sz="4" w:space="0" w:color="auto"/>
            </w:tcBorders>
            <w:shd w:val="clear" w:color="auto" w:fill="auto"/>
            <w:noWrap/>
            <w:vAlign w:val="center"/>
            <w:hideMark/>
          </w:tcPr>
          <w:p w14:paraId="417E917E" w14:textId="77777777" w:rsidR="00F03A73" w:rsidRPr="008E6E0D" w:rsidRDefault="00F03A73" w:rsidP="00DF0344">
            <w:pPr>
              <w:jc w:val="center"/>
              <w:rPr>
                <w:color w:val="000000"/>
                <w:sz w:val="16"/>
                <w:szCs w:val="16"/>
              </w:rPr>
            </w:pPr>
            <w:r w:rsidRPr="008E6E0D">
              <w:rPr>
                <w:color w:val="000000"/>
                <w:sz w:val="16"/>
                <w:szCs w:val="16"/>
              </w:rPr>
              <w:t>Intergenic</w:t>
            </w:r>
          </w:p>
        </w:tc>
        <w:tc>
          <w:tcPr>
            <w:tcW w:w="1961" w:type="dxa"/>
            <w:tcBorders>
              <w:top w:val="single" w:sz="4" w:space="0" w:color="auto"/>
            </w:tcBorders>
            <w:shd w:val="clear" w:color="auto" w:fill="auto"/>
            <w:noWrap/>
            <w:vAlign w:val="center"/>
            <w:hideMark/>
          </w:tcPr>
          <w:p w14:paraId="2FA05BF3" w14:textId="77777777" w:rsidR="00F03A73" w:rsidRPr="008E6E0D" w:rsidRDefault="00F03A73" w:rsidP="00DF0344">
            <w:pPr>
              <w:jc w:val="center"/>
              <w:rPr>
                <w:i/>
                <w:color w:val="000000"/>
                <w:sz w:val="16"/>
                <w:szCs w:val="16"/>
              </w:rPr>
            </w:pPr>
            <w:r w:rsidRPr="008E6E0D">
              <w:rPr>
                <w:i/>
                <w:color w:val="000000"/>
                <w:sz w:val="16"/>
                <w:szCs w:val="16"/>
              </w:rPr>
              <w:t>ARPP21\STAC</w:t>
            </w:r>
          </w:p>
        </w:tc>
        <w:tc>
          <w:tcPr>
            <w:tcW w:w="551" w:type="dxa"/>
            <w:tcBorders>
              <w:top w:val="single" w:sz="4" w:space="0" w:color="auto"/>
            </w:tcBorders>
            <w:shd w:val="clear" w:color="auto" w:fill="auto"/>
            <w:noWrap/>
            <w:vAlign w:val="center"/>
            <w:hideMark/>
          </w:tcPr>
          <w:p w14:paraId="35F45690" w14:textId="77777777" w:rsidR="00F03A73" w:rsidRPr="008E6E0D" w:rsidRDefault="00F03A73" w:rsidP="00DF0344">
            <w:pPr>
              <w:jc w:val="center"/>
              <w:rPr>
                <w:color w:val="000000"/>
                <w:sz w:val="16"/>
                <w:szCs w:val="16"/>
              </w:rPr>
            </w:pPr>
            <w:r w:rsidRPr="008E6E0D">
              <w:rPr>
                <w:color w:val="000000"/>
                <w:sz w:val="16"/>
                <w:szCs w:val="16"/>
              </w:rPr>
              <w:t>0.016</w:t>
            </w:r>
          </w:p>
        </w:tc>
        <w:tc>
          <w:tcPr>
            <w:tcW w:w="1351" w:type="dxa"/>
            <w:tcBorders>
              <w:top w:val="single" w:sz="4" w:space="0" w:color="auto"/>
            </w:tcBorders>
            <w:shd w:val="clear" w:color="auto" w:fill="auto"/>
            <w:noWrap/>
            <w:vAlign w:val="center"/>
            <w:hideMark/>
          </w:tcPr>
          <w:p w14:paraId="79A9B19E" w14:textId="77777777" w:rsidR="00F03A73" w:rsidRPr="008E6E0D" w:rsidRDefault="00F03A73" w:rsidP="00DF0344">
            <w:pPr>
              <w:jc w:val="center"/>
              <w:rPr>
                <w:color w:val="000000"/>
                <w:sz w:val="16"/>
                <w:szCs w:val="16"/>
              </w:rPr>
            </w:pPr>
            <w:r w:rsidRPr="008E6E0D">
              <w:rPr>
                <w:color w:val="000000"/>
                <w:sz w:val="16"/>
                <w:szCs w:val="16"/>
              </w:rPr>
              <w:t>6.07 (3.15-11.71)</w:t>
            </w:r>
          </w:p>
        </w:tc>
        <w:tc>
          <w:tcPr>
            <w:tcW w:w="935" w:type="dxa"/>
            <w:tcBorders>
              <w:top w:val="single" w:sz="4" w:space="0" w:color="auto"/>
            </w:tcBorders>
            <w:shd w:val="clear" w:color="auto" w:fill="auto"/>
            <w:noWrap/>
            <w:vAlign w:val="center"/>
            <w:hideMark/>
          </w:tcPr>
          <w:p w14:paraId="7E0FFC65" w14:textId="0681C084" w:rsidR="00F03A73" w:rsidRPr="008E6E0D" w:rsidRDefault="00F03A73" w:rsidP="00DF0344">
            <w:pPr>
              <w:jc w:val="center"/>
              <w:rPr>
                <w:color w:val="000000"/>
                <w:sz w:val="16"/>
                <w:szCs w:val="16"/>
              </w:rPr>
            </w:pPr>
            <w:r w:rsidRPr="008E6E0D">
              <w:rPr>
                <w:color w:val="000000"/>
                <w:sz w:val="16"/>
                <w:szCs w:val="16"/>
              </w:rPr>
              <w:t>7.59x10</w:t>
            </w:r>
            <w:r w:rsidRPr="008E6E0D">
              <w:rPr>
                <w:color w:val="000000"/>
                <w:sz w:val="16"/>
                <w:szCs w:val="16"/>
                <w:vertAlign w:val="superscript"/>
              </w:rPr>
              <w:t>-8</w:t>
            </w:r>
          </w:p>
        </w:tc>
        <w:tc>
          <w:tcPr>
            <w:tcW w:w="1287" w:type="dxa"/>
            <w:tcBorders>
              <w:top w:val="single" w:sz="4" w:space="0" w:color="auto"/>
            </w:tcBorders>
            <w:shd w:val="clear" w:color="auto" w:fill="auto"/>
            <w:noWrap/>
            <w:vAlign w:val="center"/>
            <w:hideMark/>
          </w:tcPr>
          <w:p w14:paraId="4652B497" w14:textId="77777777" w:rsidR="00F03A73" w:rsidRPr="008E6E0D" w:rsidRDefault="00F03A73" w:rsidP="00DF0344">
            <w:pPr>
              <w:jc w:val="center"/>
              <w:rPr>
                <w:color w:val="000000"/>
                <w:sz w:val="16"/>
                <w:szCs w:val="16"/>
              </w:rPr>
            </w:pPr>
            <w:r w:rsidRPr="008E6E0D">
              <w:rPr>
                <w:color w:val="000000"/>
                <w:sz w:val="16"/>
                <w:szCs w:val="16"/>
              </w:rPr>
              <w:t>1.14 (0.91-1.43)</w:t>
            </w:r>
          </w:p>
        </w:tc>
        <w:tc>
          <w:tcPr>
            <w:tcW w:w="772" w:type="dxa"/>
            <w:tcBorders>
              <w:top w:val="single" w:sz="4" w:space="0" w:color="auto"/>
            </w:tcBorders>
            <w:shd w:val="clear" w:color="auto" w:fill="auto"/>
            <w:noWrap/>
            <w:vAlign w:val="center"/>
            <w:hideMark/>
          </w:tcPr>
          <w:p w14:paraId="6DE6CF1B" w14:textId="20E2BF73" w:rsidR="00F03A73" w:rsidRPr="008E6E0D" w:rsidRDefault="00F03A73" w:rsidP="00DF0344">
            <w:pPr>
              <w:jc w:val="center"/>
              <w:rPr>
                <w:color w:val="000000"/>
                <w:sz w:val="16"/>
                <w:szCs w:val="16"/>
              </w:rPr>
            </w:pPr>
            <w:r w:rsidRPr="008E6E0D">
              <w:rPr>
                <w:color w:val="000000"/>
                <w:sz w:val="16"/>
                <w:szCs w:val="16"/>
              </w:rPr>
              <w:t>0.38</w:t>
            </w:r>
            <w:r w:rsidR="00097EAA" w:rsidRPr="008E6E0D">
              <w:rPr>
                <w:color w:val="000000"/>
                <w:sz w:val="16"/>
                <w:szCs w:val="16"/>
              </w:rPr>
              <w:t>0</w:t>
            </w:r>
          </w:p>
        </w:tc>
        <w:tc>
          <w:tcPr>
            <w:tcW w:w="1287" w:type="dxa"/>
            <w:tcBorders>
              <w:top w:val="single" w:sz="4" w:space="0" w:color="auto"/>
            </w:tcBorders>
            <w:shd w:val="clear" w:color="auto" w:fill="auto"/>
            <w:noWrap/>
            <w:vAlign w:val="center"/>
            <w:hideMark/>
          </w:tcPr>
          <w:p w14:paraId="4AA43F3C" w14:textId="77777777" w:rsidR="00F03A73" w:rsidRPr="008E6E0D" w:rsidRDefault="00F03A73" w:rsidP="00DF0344">
            <w:pPr>
              <w:jc w:val="center"/>
              <w:rPr>
                <w:color w:val="000000"/>
                <w:sz w:val="16"/>
                <w:szCs w:val="16"/>
              </w:rPr>
            </w:pPr>
            <w:r w:rsidRPr="008E6E0D">
              <w:rPr>
                <w:color w:val="000000"/>
                <w:sz w:val="16"/>
                <w:szCs w:val="16"/>
              </w:rPr>
              <w:t>0.79 (0.39-1.58)</w:t>
            </w:r>
          </w:p>
        </w:tc>
        <w:tc>
          <w:tcPr>
            <w:tcW w:w="803" w:type="dxa"/>
            <w:gridSpan w:val="2"/>
            <w:tcBorders>
              <w:top w:val="single" w:sz="4" w:space="0" w:color="auto"/>
            </w:tcBorders>
            <w:shd w:val="clear" w:color="auto" w:fill="auto"/>
            <w:noWrap/>
            <w:vAlign w:val="center"/>
            <w:hideMark/>
          </w:tcPr>
          <w:p w14:paraId="1A1AC787" w14:textId="77777777" w:rsidR="00F03A73" w:rsidRPr="008E6E0D" w:rsidRDefault="00F03A73" w:rsidP="00DF0344">
            <w:pPr>
              <w:jc w:val="center"/>
              <w:rPr>
                <w:color w:val="000000"/>
                <w:sz w:val="16"/>
                <w:szCs w:val="16"/>
              </w:rPr>
            </w:pPr>
            <w:r w:rsidRPr="008E6E0D">
              <w:rPr>
                <w:color w:val="000000"/>
                <w:sz w:val="16"/>
                <w:szCs w:val="16"/>
              </w:rPr>
              <w:t>0.712</w:t>
            </w:r>
          </w:p>
        </w:tc>
        <w:tc>
          <w:tcPr>
            <w:tcW w:w="1351" w:type="dxa"/>
            <w:tcBorders>
              <w:top w:val="single" w:sz="4" w:space="0" w:color="auto"/>
            </w:tcBorders>
            <w:shd w:val="clear" w:color="auto" w:fill="auto"/>
            <w:noWrap/>
            <w:vAlign w:val="center"/>
            <w:hideMark/>
          </w:tcPr>
          <w:p w14:paraId="10653AA5" w14:textId="77777777" w:rsidR="00F03A73" w:rsidRPr="008E6E0D" w:rsidRDefault="00F03A73" w:rsidP="00DF0344">
            <w:pPr>
              <w:jc w:val="center"/>
              <w:rPr>
                <w:color w:val="000000"/>
                <w:sz w:val="16"/>
                <w:szCs w:val="16"/>
              </w:rPr>
            </w:pPr>
            <w:r w:rsidRPr="008E6E0D">
              <w:rPr>
                <w:color w:val="000000"/>
                <w:sz w:val="16"/>
                <w:szCs w:val="16"/>
              </w:rPr>
              <w:t>1.79 (1.38-6.35)</w:t>
            </w:r>
          </w:p>
        </w:tc>
        <w:tc>
          <w:tcPr>
            <w:tcW w:w="946" w:type="dxa"/>
            <w:tcBorders>
              <w:top w:val="single" w:sz="4" w:space="0" w:color="auto"/>
            </w:tcBorders>
            <w:shd w:val="clear" w:color="auto" w:fill="auto"/>
            <w:noWrap/>
            <w:vAlign w:val="center"/>
            <w:hideMark/>
          </w:tcPr>
          <w:p w14:paraId="1687930D" w14:textId="48A152D1" w:rsidR="00F03A73" w:rsidRPr="008E6E0D" w:rsidRDefault="00F03A73" w:rsidP="00DF0344">
            <w:pPr>
              <w:jc w:val="center"/>
              <w:rPr>
                <w:color w:val="000000"/>
                <w:sz w:val="16"/>
                <w:szCs w:val="16"/>
              </w:rPr>
            </w:pPr>
            <w:r w:rsidRPr="008E6E0D">
              <w:rPr>
                <w:color w:val="000000"/>
                <w:sz w:val="16"/>
                <w:szCs w:val="16"/>
              </w:rPr>
              <w:t>7.8</w:t>
            </w:r>
            <w:r w:rsidR="00097EAA" w:rsidRPr="008E6E0D">
              <w:rPr>
                <w:color w:val="000000"/>
                <w:sz w:val="16"/>
                <w:szCs w:val="16"/>
              </w:rPr>
              <w:t>4</w:t>
            </w:r>
            <w:r w:rsidRPr="008E6E0D">
              <w:rPr>
                <w:color w:val="000000"/>
                <w:sz w:val="16"/>
                <w:szCs w:val="16"/>
              </w:rPr>
              <w:t>x10</w:t>
            </w:r>
            <w:r w:rsidRPr="008E6E0D">
              <w:rPr>
                <w:color w:val="000000"/>
                <w:sz w:val="16"/>
                <w:szCs w:val="16"/>
                <w:vertAlign w:val="superscript"/>
              </w:rPr>
              <w:t>-6</w:t>
            </w:r>
          </w:p>
        </w:tc>
      </w:tr>
      <w:tr w:rsidR="0084217C" w:rsidRPr="008E6E0D" w14:paraId="412DCF10" w14:textId="77777777" w:rsidTr="006249CF">
        <w:trPr>
          <w:trHeight w:val="240"/>
          <w:jc w:val="center"/>
        </w:trPr>
        <w:tc>
          <w:tcPr>
            <w:tcW w:w="1042" w:type="dxa"/>
            <w:shd w:val="clear" w:color="auto" w:fill="auto"/>
            <w:noWrap/>
            <w:vAlign w:val="center"/>
            <w:hideMark/>
          </w:tcPr>
          <w:p w14:paraId="132EF63E" w14:textId="77777777" w:rsidR="00F03A73" w:rsidRPr="008E6E0D" w:rsidRDefault="00F03A73" w:rsidP="00DF0344">
            <w:pPr>
              <w:jc w:val="center"/>
              <w:rPr>
                <w:color w:val="000000"/>
                <w:sz w:val="16"/>
                <w:szCs w:val="16"/>
              </w:rPr>
            </w:pPr>
            <w:r w:rsidRPr="008E6E0D">
              <w:rPr>
                <w:color w:val="000000"/>
                <w:sz w:val="16"/>
                <w:szCs w:val="16"/>
              </w:rPr>
              <w:t>rs114658749</w:t>
            </w:r>
          </w:p>
        </w:tc>
        <w:tc>
          <w:tcPr>
            <w:tcW w:w="1034" w:type="dxa"/>
            <w:shd w:val="clear" w:color="auto" w:fill="auto"/>
            <w:noWrap/>
            <w:vAlign w:val="center"/>
            <w:hideMark/>
          </w:tcPr>
          <w:p w14:paraId="0BA965D1" w14:textId="77777777" w:rsidR="00F03A73" w:rsidRPr="008E6E0D" w:rsidRDefault="00F03A73" w:rsidP="00DF0344">
            <w:pPr>
              <w:jc w:val="center"/>
              <w:rPr>
                <w:color w:val="000000"/>
                <w:sz w:val="16"/>
                <w:szCs w:val="16"/>
              </w:rPr>
            </w:pPr>
            <w:r w:rsidRPr="008E6E0D">
              <w:rPr>
                <w:color w:val="000000"/>
                <w:sz w:val="16"/>
                <w:szCs w:val="16"/>
              </w:rPr>
              <w:t>3:195775144</w:t>
            </w:r>
          </w:p>
        </w:tc>
        <w:tc>
          <w:tcPr>
            <w:tcW w:w="599" w:type="dxa"/>
            <w:shd w:val="clear" w:color="auto" w:fill="auto"/>
            <w:noWrap/>
            <w:vAlign w:val="center"/>
            <w:hideMark/>
          </w:tcPr>
          <w:p w14:paraId="7CB3CCBA" w14:textId="77777777" w:rsidR="00F03A73" w:rsidRPr="008E6E0D" w:rsidRDefault="00F03A73" w:rsidP="00DF0344">
            <w:pPr>
              <w:jc w:val="center"/>
              <w:rPr>
                <w:color w:val="000000"/>
                <w:sz w:val="16"/>
                <w:szCs w:val="16"/>
              </w:rPr>
            </w:pPr>
            <w:r w:rsidRPr="008E6E0D">
              <w:rPr>
                <w:color w:val="000000"/>
                <w:sz w:val="16"/>
                <w:szCs w:val="16"/>
              </w:rPr>
              <w:t>C/T</w:t>
            </w:r>
          </w:p>
        </w:tc>
        <w:tc>
          <w:tcPr>
            <w:tcW w:w="933" w:type="dxa"/>
            <w:shd w:val="clear" w:color="auto" w:fill="auto"/>
            <w:noWrap/>
            <w:vAlign w:val="center"/>
            <w:hideMark/>
          </w:tcPr>
          <w:p w14:paraId="18C1F88E" w14:textId="77777777" w:rsidR="00F03A73" w:rsidRPr="008E6E0D" w:rsidRDefault="00F03A73" w:rsidP="00DF0344">
            <w:pPr>
              <w:jc w:val="center"/>
              <w:rPr>
                <w:color w:val="000000"/>
                <w:sz w:val="16"/>
                <w:szCs w:val="16"/>
              </w:rPr>
            </w:pPr>
            <w:r w:rsidRPr="008E6E0D">
              <w:rPr>
                <w:color w:val="000000"/>
                <w:sz w:val="16"/>
                <w:szCs w:val="16"/>
              </w:rPr>
              <w:t>Intergenic</w:t>
            </w:r>
          </w:p>
        </w:tc>
        <w:tc>
          <w:tcPr>
            <w:tcW w:w="1961" w:type="dxa"/>
            <w:shd w:val="clear" w:color="auto" w:fill="auto"/>
            <w:noWrap/>
            <w:vAlign w:val="center"/>
            <w:hideMark/>
          </w:tcPr>
          <w:p w14:paraId="64691229" w14:textId="77777777" w:rsidR="00F03A73" w:rsidRPr="008E6E0D" w:rsidRDefault="00F03A73" w:rsidP="00DF0344">
            <w:pPr>
              <w:jc w:val="center"/>
              <w:rPr>
                <w:i/>
                <w:color w:val="000000"/>
                <w:sz w:val="16"/>
                <w:szCs w:val="16"/>
              </w:rPr>
            </w:pPr>
            <w:r w:rsidRPr="008E6E0D">
              <w:rPr>
                <w:i/>
                <w:color w:val="000000"/>
                <w:sz w:val="16"/>
                <w:szCs w:val="16"/>
              </w:rPr>
              <w:t>SDHAP1\TFRC</w:t>
            </w:r>
          </w:p>
        </w:tc>
        <w:tc>
          <w:tcPr>
            <w:tcW w:w="551" w:type="dxa"/>
            <w:shd w:val="clear" w:color="auto" w:fill="auto"/>
            <w:noWrap/>
            <w:vAlign w:val="center"/>
            <w:hideMark/>
          </w:tcPr>
          <w:p w14:paraId="2DEAA00A" w14:textId="77777777" w:rsidR="00F03A73" w:rsidRPr="008E6E0D" w:rsidRDefault="00F03A73" w:rsidP="00DF0344">
            <w:pPr>
              <w:jc w:val="center"/>
              <w:rPr>
                <w:color w:val="000000"/>
                <w:sz w:val="16"/>
                <w:szCs w:val="16"/>
              </w:rPr>
            </w:pPr>
            <w:r w:rsidRPr="008E6E0D">
              <w:rPr>
                <w:color w:val="000000"/>
                <w:sz w:val="16"/>
                <w:szCs w:val="16"/>
              </w:rPr>
              <w:t>0.062</w:t>
            </w:r>
          </w:p>
        </w:tc>
        <w:tc>
          <w:tcPr>
            <w:tcW w:w="1351" w:type="dxa"/>
            <w:shd w:val="clear" w:color="auto" w:fill="auto"/>
            <w:noWrap/>
            <w:vAlign w:val="center"/>
            <w:hideMark/>
          </w:tcPr>
          <w:p w14:paraId="1D0A5DC0" w14:textId="77777777" w:rsidR="00F03A73" w:rsidRPr="008E6E0D" w:rsidRDefault="00F03A73" w:rsidP="00DF0344">
            <w:pPr>
              <w:jc w:val="center"/>
              <w:rPr>
                <w:color w:val="000000"/>
                <w:sz w:val="16"/>
                <w:szCs w:val="16"/>
              </w:rPr>
            </w:pPr>
            <w:r w:rsidRPr="008E6E0D">
              <w:rPr>
                <w:color w:val="000000"/>
                <w:sz w:val="16"/>
                <w:szCs w:val="16"/>
              </w:rPr>
              <w:t>3.05 (2.03-4.60)</w:t>
            </w:r>
          </w:p>
        </w:tc>
        <w:tc>
          <w:tcPr>
            <w:tcW w:w="935" w:type="dxa"/>
            <w:shd w:val="clear" w:color="auto" w:fill="auto"/>
            <w:noWrap/>
            <w:vAlign w:val="center"/>
            <w:hideMark/>
          </w:tcPr>
          <w:p w14:paraId="31BB587B" w14:textId="34C8EB19" w:rsidR="00F03A73" w:rsidRPr="008E6E0D" w:rsidRDefault="00F03A73" w:rsidP="00DF0344">
            <w:pPr>
              <w:jc w:val="center"/>
              <w:rPr>
                <w:color w:val="000000"/>
                <w:sz w:val="16"/>
                <w:szCs w:val="16"/>
              </w:rPr>
            </w:pPr>
            <w:r w:rsidRPr="008E6E0D">
              <w:rPr>
                <w:color w:val="000000"/>
                <w:sz w:val="16"/>
                <w:szCs w:val="16"/>
              </w:rPr>
              <w:t>9.1</w:t>
            </w:r>
            <w:r w:rsidR="00CC1BC5" w:rsidRPr="008E6E0D">
              <w:rPr>
                <w:color w:val="000000"/>
                <w:sz w:val="16"/>
                <w:szCs w:val="16"/>
              </w:rPr>
              <w:t>6</w:t>
            </w:r>
            <w:r w:rsidRPr="008E6E0D">
              <w:rPr>
                <w:color w:val="000000"/>
                <w:sz w:val="16"/>
                <w:szCs w:val="16"/>
              </w:rPr>
              <w:t>x10</w:t>
            </w:r>
            <w:r w:rsidRPr="008E6E0D">
              <w:rPr>
                <w:color w:val="000000"/>
                <w:sz w:val="16"/>
                <w:szCs w:val="16"/>
                <w:vertAlign w:val="superscript"/>
              </w:rPr>
              <w:t>-8</w:t>
            </w:r>
          </w:p>
        </w:tc>
        <w:tc>
          <w:tcPr>
            <w:tcW w:w="1287" w:type="dxa"/>
            <w:shd w:val="clear" w:color="auto" w:fill="auto"/>
            <w:noWrap/>
            <w:vAlign w:val="center"/>
            <w:hideMark/>
          </w:tcPr>
          <w:p w14:paraId="7B3E3654" w14:textId="77777777" w:rsidR="00F03A73" w:rsidRPr="008E6E0D" w:rsidRDefault="00F03A73" w:rsidP="00DF0344">
            <w:pPr>
              <w:jc w:val="center"/>
              <w:rPr>
                <w:color w:val="000000"/>
                <w:sz w:val="16"/>
                <w:szCs w:val="16"/>
              </w:rPr>
            </w:pPr>
            <w:r w:rsidRPr="008E6E0D">
              <w:rPr>
                <w:color w:val="000000"/>
                <w:sz w:val="16"/>
                <w:szCs w:val="16"/>
              </w:rPr>
              <w:t>0.83 (0.55-1.26)</w:t>
            </w:r>
          </w:p>
        </w:tc>
        <w:tc>
          <w:tcPr>
            <w:tcW w:w="772" w:type="dxa"/>
            <w:shd w:val="clear" w:color="auto" w:fill="auto"/>
            <w:noWrap/>
            <w:vAlign w:val="center"/>
            <w:hideMark/>
          </w:tcPr>
          <w:p w14:paraId="1CB737F1" w14:textId="77777777" w:rsidR="00F03A73" w:rsidRPr="008E6E0D" w:rsidRDefault="00F03A73" w:rsidP="00DF0344">
            <w:pPr>
              <w:jc w:val="center"/>
              <w:rPr>
                <w:color w:val="000000"/>
                <w:sz w:val="16"/>
                <w:szCs w:val="16"/>
              </w:rPr>
            </w:pPr>
            <w:r w:rsidRPr="008E6E0D">
              <w:rPr>
                <w:color w:val="000000"/>
                <w:sz w:val="16"/>
                <w:szCs w:val="16"/>
              </w:rPr>
              <w:t>0.255</w:t>
            </w:r>
          </w:p>
        </w:tc>
        <w:tc>
          <w:tcPr>
            <w:tcW w:w="1287" w:type="dxa"/>
            <w:shd w:val="clear" w:color="auto" w:fill="auto"/>
            <w:noWrap/>
            <w:vAlign w:val="center"/>
            <w:hideMark/>
          </w:tcPr>
          <w:p w14:paraId="3BE9E31B" w14:textId="77777777" w:rsidR="00F03A73" w:rsidRPr="008E6E0D" w:rsidRDefault="00F03A73" w:rsidP="00DF0344">
            <w:pPr>
              <w:jc w:val="center"/>
              <w:rPr>
                <w:color w:val="000000"/>
                <w:sz w:val="16"/>
                <w:szCs w:val="16"/>
              </w:rPr>
            </w:pPr>
            <w:r w:rsidRPr="008E6E0D">
              <w:rPr>
                <w:color w:val="000000"/>
                <w:sz w:val="16"/>
                <w:szCs w:val="16"/>
              </w:rPr>
              <w:t>1.17 (0.51-2.64)</w:t>
            </w:r>
          </w:p>
        </w:tc>
        <w:tc>
          <w:tcPr>
            <w:tcW w:w="803" w:type="dxa"/>
            <w:gridSpan w:val="2"/>
            <w:shd w:val="clear" w:color="auto" w:fill="auto"/>
            <w:noWrap/>
            <w:vAlign w:val="center"/>
            <w:hideMark/>
          </w:tcPr>
          <w:p w14:paraId="16BA5263" w14:textId="77777777" w:rsidR="00F03A73" w:rsidRPr="008E6E0D" w:rsidRDefault="00F03A73" w:rsidP="00DF0344">
            <w:pPr>
              <w:jc w:val="center"/>
              <w:rPr>
                <w:color w:val="000000"/>
                <w:sz w:val="16"/>
                <w:szCs w:val="16"/>
              </w:rPr>
            </w:pPr>
            <w:r w:rsidRPr="008E6E0D">
              <w:rPr>
                <w:color w:val="000000"/>
                <w:sz w:val="16"/>
                <w:szCs w:val="16"/>
              </w:rPr>
              <w:t>0.501</w:t>
            </w:r>
          </w:p>
        </w:tc>
        <w:tc>
          <w:tcPr>
            <w:tcW w:w="1351" w:type="dxa"/>
            <w:shd w:val="clear" w:color="auto" w:fill="auto"/>
            <w:noWrap/>
            <w:vAlign w:val="center"/>
            <w:hideMark/>
          </w:tcPr>
          <w:p w14:paraId="04F74FB3" w14:textId="77777777" w:rsidR="00F03A73" w:rsidRPr="008E6E0D" w:rsidRDefault="00F03A73" w:rsidP="00DF0344">
            <w:pPr>
              <w:jc w:val="center"/>
              <w:rPr>
                <w:color w:val="000000"/>
                <w:sz w:val="16"/>
                <w:szCs w:val="16"/>
              </w:rPr>
            </w:pPr>
            <w:r w:rsidRPr="008E6E0D">
              <w:rPr>
                <w:color w:val="000000"/>
                <w:sz w:val="16"/>
                <w:szCs w:val="16"/>
              </w:rPr>
              <w:t>1.44 (1.22-3.02)</w:t>
            </w:r>
          </w:p>
        </w:tc>
        <w:tc>
          <w:tcPr>
            <w:tcW w:w="946" w:type="dxa"/>
            <w:shd w:val="clear" w:color="auto" w:fill="auto"/>
            <w:noWrap/>
            <w:vAlign w:val="center"/>
            <w:hideMark/>
          </w:tcPr>
          <w:p w14:paraId="1EB92E31" w14:textId="6FF2E787" w:rsidR="00F03A73" w:rsidRPr="008E6E0D" w:rsidRDefault="00F03A73" w:rsidP="00DF0344">
            <w:pPr>
              <w:jc w:val="center"/>
              <w:rPr>
                <w:color w:val="000000"/>
                <w:sz w:val="16"/>
                <w:szCs w:val="16"/>
              </w:rPr>
            </w:pPr>
            <w:r w:rsidRPr="008E6E0D">
              <w:rPr>
                <w:color w:val="000000"/>
                <w:sz w:val="16"/>
                <w:szCs w:val="16"/>
              </w:rPr>
              <w:t>5.56x10</w:t>
            </w:r>
            <w:r w:rsidRPr="008E6E0D">
              <w:rPr>
                <w:color w:val="000000"/>
                <w:sz w:val="16"/>
                <w:szCs w:val="16"/>
                <w:vertAlign w:val="superscript"/>
              </w:rPr>
              <w:t>-6</w:t>
            </w:r>
          </w:p>
        </w:tc>
      </w:tr>
      <w:tr w:rsidR="0084217C" w:rsidRPr="008E6E0D" w14:paraId="0084D1F0" w14:textId="77777777" w:rsidTr="006249CF">
        <w:trPr>
          <w:trHeight w:val="240"/>
          <w:jc w:val="center"/>
        </w:trPr>
        <w:tc>
          <w:tcPr>
            <w:tcW w:w="1042" w:type="dxa"/>
            <w:shd w:val="clear" w:color="auto" w:fill="auto"/>
            <w:noWrap/>
            <w:vAlign w:val="center"/>
            <w:hideMark/>
          </w:tcPr>
          <w:p w14:paraId="156D7AAC" w14:textId="77777777" w:rsidR="00F03A73" w:rsidRPr="008E6E0D" w:rsidRDefault="00F03A73" w:rsidP="00DF0344">
            <w:pPr>
              <w:jc w:val="center"/>
              <w:rPr>
                <w:color w:val="000000"/>
                <w:sz w:val="16"/>
                <w:szCs w:val="16"/>
              </w:rPr>
            </w:pPr>
            <w:r w:rsidRPr="008E6E0D">
              <w:rPr>
                <w:color w:val="000000"/>
                <w:sz w:val="16"/>
                <w:szCs w:val="16"/>
              </w:rPr>
              <w:t>rs76805442</w:t>
            </w:r>
          </w:p>
        </w:tc>
        <w:tc>
          <w:tcPr>
            <w:tcW w:w="1034" w:type="dxa"/>
            <w:shd w:val="clear" w:color="auto" w:fill="auto"/>
            <w:noWrap/>
            <w:vAlign w:val="center"/>
            <w:hideMark/>
          </w:tcPr>
          <w:p w14:paraId="2407D481" w14:textId="77777777" w:rsidR="00F03A73" w:rsidRPr="008E6E0D" w:rsidRDefault="00F03A73" w:rsidP="00DF0344">
            <w:pPr>
              <w:jc w:val="center"/>
              <w:rPr>
                <w:color w:val="000000"/>
                <w:sz w:val="16"/>
                <w:szCs w:val="16"/>
              </w:rPr>
            </w:pPr>
            <w:r w:rsidRPr="008E6E0D">
              <w:rPr>
                <w:color w:val="000000"/>
                <w:sz w:val="16"/>
                <w:szCs w:val="16"/>
              </w:rPr>
              <w:t>5:84399852</w:t>
            </w:r>
          </w:p>
        </w:tc>
        <w:tc>
          <w:tcPr>
            <w:tcW w:w="599" w:type="dxa"/>
            <w:shd w:val="clear" w:color="auto" w:fill="auto"/>
            <w:noWrap/>
            <w:vAlign w:val="center"/>
            <w:hideMark/>
          </w:tcPr>
          <w:p w14:paraId="5B701F4B" w14:textId="77777777" w:rsidR="00F03A73" w:rsidRPr="008E6E0D" w:rsidRDefault="00F03A73" w:rsidP="00DF0344">
            <w:pPr>
              <w:jc w:val="center"/>
              <w:rPr>
                <w:color w:val="000000"/>
                <w:sz w:val="16"/>
                <w:szCs w:val="16"/>
              </w:rPr>
            </w:pPr>
            <w:r w:rsidRPr="008E6E0D">
              <w:rPr>
                <w:color w:val="000000"/>
                <w:sz w:val="16"/>
                <w:szCs w:val="16"/>
              </w:rPr>
              <w:t>G/A</w:t>
            </w:r>
          </w:p>
        </w:tc>
        <w:tc>
          <w:tcPr>
            <w:tcW w:w="933" w:type="dxa"/>
            <w:shd w:val="clear" w:color="auto" w:fill="auto"/>
            <w:noWrap/>
            <w:vAlign w:val="center"/>
            <w:hideMark/>
          </w:tcPr>
          <w:p w14:paraId="776D768E" w14:textId="77777777" w:rsidR="00F03A73" w:rsidRPr="008E6E0D" w:rsidRDefault="00F03A73" w:rsidP="00DF0344">
            <w:pPr>
              <w:jc w:val="center"/>
              <w:rPr>
                <w:color w:val="000000"/>
                <w:sz w:val="16"/>
                <w:szCs w:val="16"/>
              </w:rPr>
            </w:pPr>
            <w:r w:rsidRPr="008E6E0D">
              <w:rPr>
                <w:color w:val="000000"/>
                <w:sz w:val="16"/>
                <w:szCs w:val="16"/>
              </w:rPr>
              <w:t>Intergenic</w:t>
            </w:r>
          </w:p>
        </w:tc>
        <w:tc>
          <w:tcPr>
            <w:tcW w:w="1961" w:type="dxa"/>
            <w:shd w:val="clear" w:color="auto" w:fill="auto"/>
            <w:noWrap/>
            <w:vAlign w:val="center"/>
            <w:hideMark/>
          </w:tcPr>
          <w:p w14:paraId="3D6A1E85" w14:textId="77777777" w:rsidR="00F03A73" w:rsidRPr="008E6E0D" w:rsidRDefault="00F03A73" w:rsidP="00DF0344">
            <w:pPr>
              <w:jc w:val="center"/>
              <w:rPr>
                <w:i/>
                <w:color w:val="000000"/>
                <w:sz w:val="16"/>
                <w:szCs w:val="16"/>
              </w:rPr>
            </w:pPr>
            <w:r w:rsidRPr="008E6E0D">
              <w:rPr>
                <w:i/>
                <w:color w:val="000000"/>
                <w:sz w:val="16"/>
                <w:szCs w:val="16"/>
              </w:rPr>
              <w:t>EDIL3\NBPF22P</w:t>
            </w:r>
          </w:p>
        </w:tc>
        <w:tc>
          <w:tcPr>
            <w:tcW w:w="551" w:type="dxa"/>
            <w:shd w:val="clear" w:color="auto" w:fill="auto"/>
            <w:noWrap/>
            <w:vAlign w:val="center"/>
            <w:hideMark/>
          </w:tcPr>
          <w:p w14:paraId="2B21B4C0" w14:textId="77777777" w:rsidR="00F03A73" w:rsidRPr="008E6E0D" w:rsidRDefault="00F03A73" w:rsidP="00DF0344">
            <w:pPr>
              <w:jc w:val="center"/>
              <w:rPr>
                <w:color w:val="000000"/>
                <w:sz w:val="16"/>
                <w:szCs w:val="16"/>
              </w:rPr>
            </w:pPr>
            <w:r w:rsidRPr="008E6E0D">
              <w:rPr>
                <w:color w:val="000000"/>
                <w:sz w:val="16"/>
                <w:szCs w:val="16"/>
              </w:rPr>
              <w:t>0.066</w:t>
            </w:r>
          </w:p>
        </w:tc>
        <w:tc>
          <w:tcPr>
            <w:tcW w:w="1351" w:type="dxa"/>
            <w:shd w:val="clear" w:color="auto" w:fill="auto"/>
            <w:noWrap/>
            <w:vAlign w:val="center"/>
            <w:hideMark/>
          </w:tcPr>
          <w:p w14:paraId="471FFAD3" w14:textId="77777777" w:rsidR="00F03A73" w:rsidRPr="008E6E0D" w:rsidRDefault="00F03A73" w:rsidP="00DF0344">
            <w:pPr>
              <w:jc w:val="center"/>
              <w:rPr>
                <w:color w:val="000000"/>
                <w:sz w:val="16"/>
                <w:szCs w:val="16"/>
              </w:rPr>
            </w:pPr>
            <w:r w:rsidRPr="008E6E0D">
              <w:rPr>
                <w:color w:val="000000"/>
                <w:sz w:val="16"/>
                <w:szCs w:val="16"/>
              </w:rPr>
              <w:t>2.41 (1.71-3.39)</w:t>
            </w:r>
          </w:p>
        </w:tc>
        <w:tc>
          <w:tcPr>
            <w:tcW w:w="935" w:type="dxa"/>
            <w:shd w:val="clear" w:color="auto" w:fill="auto"/>
            <w:noWrap/>
            <w:vAlign w:val="center"/>
            <w:hideMark/>
          </w:tcPr>
          <w:p w14:paraId="30E638A9" w14:textId="1AEFF454" w:rsidR="00F03A73" w:rsidRPr="008E6E0D" w:rsidRDefault="00F03A73" w:rsidP="00DF0344">
            <w:pPr>
              <w:jc w:val="center"/>
              <w:rPr>
                <w:color w:val="000000"/>
                <w:sz w:val="16"/>
                <w:szCs w:val="16"/>
              </w:rPr>
            </w:pPr>
            <w:r w:rsidRPr="008E6E0D">
              <w:rPr>
                <w:color w:val="000000"/>
                <w:sz w:val="16"/>
                <w:szCs w:val="16"/>
              </w:rPr>
              <w:t>4.37 x10</w:t>
            </w:r>
            <w:r w:rsidRPr="008E6E0D">
              <w:rPr>
                <w:color w:val="000000"/>
                <w:sz w:val="16"/>
                <w:szCs w:val="16"/>
                <w:vertAlign w:val="superscript"/>
              </w:rPr>
              <w:t>-7</w:t>
            </w:r>
          </w:p>
        </w:tc>
        <w:tc>
          <w:tcPr>
            <w:tcW w:w="1287" w:type="dxa"/>
            <w:shd w:val="clear" w:color="auto" w:fill="auto"/>
            <w:noWrap/>
            <w:vAlign w:val="center"/>
            <w:hideMark/>
          </w:tcPr>
          <w:p w14:paraId="0B18743A" w14:textId="77777777" w:rsidR="00F03A73" w:rsidRPr="008E6E0D" w:rsidRDefault="00F03A73" w:rsidP="00DF0344">
            <w:pPr>
              <w:jc w:val="center"/>
              <w:rPr>
                <w:color w:val="000000"/>
                <w:sz w:val="16"/>
                <w:szCs w:val="16"/>
              </w:rPr>
            </w:pPr>
            <w:r w:rsidRPr="008E6E0D">
              <w:rPr>
                <w:color w:val="000000"/>
                <w:sz w:val="16"/>
                <w:szCs w:val="16"/>
              </w:rPr>
              <w:t>1.05 (0.83-1.32)</w:t>
            </w:r>
          </w:p>
        </w:tc>
        <w:tc>
          <w:tcPr>
            <w:tcW w:w="772" w:type="dxa"/>
            <w:shd w:val="clear" w:color="auto" w:fill="auto"/>
            <w:noWrap/>
            <w:vAlign w:val="center"/>
            <w:hideMark/>
          </w:tcPr>
          <w:p w14:paraId="442F9DD3" w14:textId="77777777" w:rsidR="00F03A73" w:rsidRPr="008E6E0D" w:rsidRDefault="00F03A73" w:rsidP="00DF0344">
            <w:pPr>
              <w:jc w:val="center"/>
              <w:rPr>
                <w:color w:val="000000"/>
                <w:sz w:val="16"/>
                <w:szCs w:val="16"/>
              </w:rPr>
            </w:pPr>
            <w:r w:rsidRPr="008E6E0D">
              <w:rPr>
                <w:color w:val="000000"/>
                <w:sz w:val="16"/>
                <w:szCs w:val="16"/>
              </w:rPr>
              <w:t>0.694</w:t>
            </w:r>
          </w:p>
        </w:tc>
        <w:tc>
          <w:tcPr>
            <w:tcW w:w="1287" w:type="dxa"/>
            <w:shd w:val="clear" w:color="auto" w:fill="auto"/>
            <w:noWrap/>
            <w:vAlign w:val="center"/>
            <w:hideMark/>
          </w:tcPr>
          <w:p w14:paraId="71C68FCD" w14:textId="77777777" w:rsidR="00F03A73" w:rsidRPr="008E6E0D" w:rsidRDefault="00F03A73" w:rsidP="00DF0344">
            <w:pPr>
              <w:jc w:val="center"/>
              <w:rPr>
                <w:color w:val="000000"/>
                <w:sz w:val="16"/>
                <w:szCs w:val="16"/>
              </w:rPr>
            </w:pPr>
            <w:r w:rsidRPr="008E6E0D">
              <w:rPr>
                <w:color w:val="000000"/>
                <w:sz w:val="16"/>
                <w:szCs w:val="16"/>
              </w:rPr>
              <w:t>1.88 (0.99-3.58)</w:t>
            </w:r>
          </w:p>
        </w:tc>
        <w:tc>
          <w:tcPr>
            <w:tcW w:w="803" w:type="dxa"/>
            <w:gridSpan w:val="2"/>
            <w:shd w:val="clear" w:color="auto" w:fill="auto"/>
            <w:noWrap/>
            <w:vAlign w:val="center"/>
            <w:hideMark/>
          </w:tcPr>
          <w:p w14:paraId="698797BE" w14:textId="77777777" w:rsidR="00F03A73" w:rsidRPr="008E6E0D" w:rsidRDefault="00F03A73" w:rsidP="00DF0344">
            <w:pPr>
              <w:jc w:val="center"/>
              <w:rPr>
                <w:color w:val="000000"/>
                <w:sz w:val="16"/>
                <w:szCs w:val="16"/>
              </w:rPr>
            </w:pPr>
            <w:r w:rsidRPr="008E6E0D">
              <w:rPr>
                <w:color w:val="000000"/>
                <w:sz w:val="16"/>
                <w:szCs w:val="16"/>
              </w:rPr>
              <w:t>0.054</w:t>
            </w:r>
          </w:p>
        </w:tc>
        <w:tc>
          <w:tcPr>
            <w:tcW w:w="1351" w:type="dxa"/>
            <w:shd w:val="clear" w:color="auto" w:fill="auto"/>
            <w:noWrap/>
            <w:vAlign w:val="center"/>
            <w:hideMark/>
          </w:tcPr>
          <w:p w14:paraId="11D54000" w14:textId="77777777" w:rsidR="00F03A73" w:rsidRPr="008E6E0D" w:rsidRDefault="00F03A73" w:rsidP="00DF0344">
            <w:pPr>
              <w:jc w:val="center"/>
              <w:rPr>
                <w:color w:val="000000"/>
                <w:sz w:val="16"/>
                <w:szCs w:val="16"/>
              </w:rPr>
            </w:pPr>
            <w:r w:rsidRPr="008E6E0D">
              <w:rPr>
                <w:color w:val="000000"/>
                <w:sz w:val="16"/>
                <w:szCs w:val="16"/>
              </w:rPr>
              <w:t>1.65 (1.33-3.05)</w:t>
            </w:r>
          </w:p>
        </w:tc>
        <w:tc>
          <w:tcPr>
            <w:tcW w:w="946" w:type="dxa"/>
            <w:shd w:val="clear" w:color="auto" w:fill="auto"/>
            <w:noWrap/>
            <w:vAlign w:val="center"/>
            <w:hideMark/>
          </w:tcPr>
          <w:p w14:paraId="3D04E9A9" w14:textId="54A90A72" w:rsidR="00F03A73" w:rsidRPr="008E6E0D" w:rsidRDefault="00F03A73" w:rsidP="00DF0344">
            <w:pPr>
              <w:jc w:val="center"/>
              <w:rPr>
                <w:color w:val="000000"/>
                <w:sz w:val="16"/>
                <w:szCs w:val="16"/>
              </w:rPr>
            </w:pPr>
            <w:r w:rsidRPr="008E6E0D">
              <w:rPr>
                <w:color w:val="000000"/>
                <w:sz w:val="16"/>
                <w:szCs w:val="16"/>
              </w:rPr>
              <w:t>3.39x10</w:t>
            </w:r>
            <w:r w:rsidRPr="008E6E0D">
              <w:rPr>
                <w:color w:val="000000"/>
                <w:sz w:val="16"/>
                <w:szCs w:val="16"/>
                <w:vertAlign w:val="superscript"/>
              </w:rPr>
              <w:t>-6</w:t>
            </w:r>
          </w:p>
        </w:tc>
      </w:tr>
      <w:tr w:rsidR="0084217C" w:rsidRPr="008E6E0D" w14:paraId="6EA72FD4" w14:textId="77777777" w:rsidTr="006249CF">
        <w:trPr>
          <w:trHeight w:val="240"/>
          <w:jc w:val="center"/>
        </w:trPr>
        <w:tc>
          <w:tcPr>
            <w:tcW w:w="1042" w:type="dxa"/>
            <w:shd w:val="clear" w:color="auto" w:fill="auto"/>
            <w:noWrap/>
            <w:vAlign w:val="center"/>
            <w:hideMark/>
          </w:tcPr>
          <w:p w14:paraId="027699FD" w14:textId="77777777" w:rsidR="00F03A73" w:rsidRPr="008E6E0D" w:rsidRDefault="00F03A73" w:rsidP="00DF0344">
            <w:pPr>
              <w:jc w:val="center"/>
              <w:rPr>
                <w:color w:val="000000"/>
                <w:sz w:val="16"/>
                <w:szCs w:val="16"/>
              </w:rPr>
            </w:pPr>
            <w:r w:rsidRPr="008E6E0D">
              <w:rPr>
                <w:color w:val="000000"/>
                <w:sz w:val="16"/>
                <w:szCs w:val="16"/>
              </w:rPr>
              <w:t>rs73285901</w:t>
            </w:r>
          </w:p>
        </w:tc>
        <w:tc>
          <w:tcPr>
            <w:tcW w:w="1034" w:type="dxa"/>
            <w:shd w:val="clear" w:color="auto" w:fill="auto"/>
            <w:noWrap/>
            <w:vAlign w:val="center"/>
            <w:hideMark/>
          </w:tcPr>
          <w:p w14:paraId="1AFE426D" w14:textId="77777777" w:rsidR="00F03A73" w:rsidRPr="008E6E0D" w:rsidRDefault="00F03A73" w:rsidP="00DF0344">
            <w:pPr>
              <w:jc w:val="center"/>
              <w:rPr>
                <w:color w:val="000000"/>
                <w:sz w:val="16"/>
                <w:szCs w:val="16"/>
              </w:rPr>
            </w:pPr>
            <w:r w:rsidRPr="008E6E0D">
              <w:rPr>
                <w:color w:val="000000"/>
                <w:sz w:val="16"/>
                <w:szCs w:val="16"/>
              </w:rPr>
              <w:t>7:25189764</w:t>
            </w:r>
          </w:p>
        </w:tc>
        <w:tc>
          <w:tcPr>
            <w:tcW w:w="599" w:type="dxa"/>
            <w:shd w:val="clear" w:color="auto" w:fill="auto"/>
            <w:noWrap/>
            <w:vAlign w:val="center"/>
            <w:hideMark/>
          </w:tcPr>
          <w:p w14:paraId="27470176" w14:textId="77777777" w:rsidR="00F03A73" w:rsidRPr="008E6E0D" w:rsidRDefault="00F03A73" w:rsidP="00DF0344">
            <w:pPr>
              <w:jc w:val="center"/>
              <w:rPr>
                <w:color w:val="000000"/>
                <w:sz w:val="16"/>
                <w:szCs w:val="16"/>
              </w:rPr>
            </w:pPr>
            <w:r w:rsidRPr="008E6E0D">
              <w:rPr>
                <w:color w:val="000000"/>
                <w:sz w:val="16"/>
                <w:szCs w:val="16"/>
              </w:rPr>
              <w:t>G/A</w:t>
            </w:r>
          </w:p>
        </w:tc>
        <w:tc>
          <w:tcPr>
            <w:tcW w:w="933" w:type="dxa"/>
            <w:shd w:val="clear" w:color="auto" w:fill="auto"/>
            <w:noWrap/>
            <w:vAlign w:val="center"/>
            <w:hideMark/>
          </w:tcPr>
          <w:p w14:paraId="6A0FDD59" w14:textId="77777777" w:rsidR="00F03A73" w:rsidRPr="008E6E0D" w:rsidRDefault="00F03A73" w:rsidP="00DF0344">
            <w:pPr>
              <w:jc w:val="center"/>
              <w:rPr>
                <w:color w:val="000000"/>
                <w:sz w:val="16"/>
                <w:szCs w:val="16"/>
              </w:rPr>
            </w:pPr>
            <w:r w:rsidRPr="008E6E0D">
              <w:rPr>
                <w:color w:val="000000"/>
                <w:sz w:val="16"/>
                <w:szCs w:val="16"/>
              </w:rPr>
              <w:t>Intronic</w:t>
            </w:r>
          </w:p>
        </w:tc>
        <w:tc>
          <w:tcPr>
            <w:tcW w:w="1961" w:type="dxa"/>
            <w:shd w:val="clear" w:color="auto" w:fill="auto"/>
            <w:noWrap/>
            <w:vAlign w:val="center"/>
            <w:hideMark/>
          </w:tcPr>
          <w:p w14:paraId="7DABA0D8" w14:textId="77777777" w:rsidR="00F03A73" w:rsidRPr="008E6E0D" w:rsidRDefault="00F03A73" w:rsidP="00DF0344">
            <w:pPr>
              <w:jc w:val="center"/>
              <w:rPr>
                <w:i/>
                <w:color w:val="000000"/>
                <w:sz w:val="16"/>
                <w:szCs w:val="16"/>
              </w:rPr>
            </w:pPr>
            <w:r w:rsidRPr="008E6E0D">
              <w:rPr>
                <w:i/>
                <w:color w:val="000000"/>
                <w:sz w:val="16"/>
                <w:szCs w:val="16"/>
              </w:rPr>
              <w:t>C7orf31</w:t>
            </w:r>
          </w:p>
        </w:tc>
        <w:tc>
          <w:tcPr>
            <w:tcW w:w="551" w:type="dxa"/>
            <w:shd w:val="clear" w:color="auto" w:fill="auto"/>
            <w:noWrap/>
            <w:vAlign w:val="center"/>
            <w:hideMark/>
          </w:tcPr>
          <w:p w14:paraId="3C466A37" w14:textId="77777777" w:rsidR="00F03A73" w:rsidRPr="008E6E0D" w:rsidRDefault="00F03A73" w:rsidP="00DF0344">
            <w:pPr>
              <w:jc w:val="center"/>
              <w:rPr>
                <w:color w:val="000000"/>
                <w:sz w:val="16"/>
                <w:szCs w:val="16"/>
              </w:rPr>
            </w:pPr>
            <w:r w:rsidRPr="008E6E0D">
              <w:rPr>
                <w:color w:val="000000"/>
                <w:sz w:val="16"/>
                <w:szCs w:val="16"/>
              </w:rPr>
              <w:t>0.032</w:t>
            </w:r>
          </w:p>
        </w:tc>
        <w:tc>
          <w:tcPr>
            <w:tcW w:w="1351" w:type="dxa"/>
            <w:shd w:val="clear" w:color="auto" w:fill="auto"/>
            <w:noWrap/>
            <w:vAlign w:val="center"/>
            <w:hideMark/>
          </w:tcPr>
          <w:p w14:paraId="7465A19C" w14:textId="77777777" w:rsidR="00F03A73" w:rsidRPr="008E6E0D" w:rsidRDefault="00F03A73" w:rsidP="00DF0344">
            <w:pPr>
              <w:jc w:val="center"/>
              <w:rPr>
                <w:color w:val="000000"/>
                <w:sz w:val="16"/>
                <w:szCs w:val="16"/>
              </w:rPr>
            </w:pPr>
            <w:r w:rsidRPr="008E6E0D">
              <w:rPr>
                <w:color w:val="000000"/>
                <w:sz w:val="16"/>
                <w:szCs w:val="16"/>
              </w:rPr>
              <w:t>3.19 (2.03-5.01)</w:t>
            </w:r>
          </w:p>
        </w:tc>
        <w:tc>
          <w:tcPr>
            <w:tcW w:w="935" w:type="dxa"/>
            <w:shd w:val="clear" w:color="auto" w:fill="auto"/>
            <w:noWrap/>
            <w:vAlign w:val="center"/>
            <w:hideMark/>
          </w:tcPr>
          <w:p w14:paraId="79F5D182" w14:textId="027CF09E" w:rsidR="00F03A73" w:rsidRPr="008E6E0D" w:rsidRDefault="00F03A73" w:rsidP="00DF0344">
            <w:pPr>
              <w:jc w:val="center"/>
              <w:rPr>
                <w:color w:val="000000"/>
                <w:sz w:val="16"/>
                <w:szCs w:val="16"/>
              </w:rPr>
            </w:pPr>
            <w:r w:rsidRPr="008E6E0D">
              <w:rPr>
                <w:color w:val="000000"/>
                <w:sz w:val="16"/>
                <w:szCs w:val="16"/>
              </w:rPr>
              <w:t>4.76x10</w:t>
            </w:r>
            <w:r w:rsidRPr="008E6E0D">
              <w:rPr>
                <w:color w:val="000000"/>
                <w:sz w:val="16"/>
                <w:szCs w:val="16"/>
                <w:vertAlign w:val="superscript"/>
              </w:rPr>
              <w:t>-7</w:t>
            </w:r>
          </w:p>
        </w:tc>
        <w:tc>
          <w:tcPr>
            <w:tcW w:w="1287" w:type="dxa"/>
            <w:shd w:val="clear" w:color="auto" w:fill="auto"/>
            <w:noWrap/>
            <w:vAlign w:val="center"/>
            <w:hideMark/>
          </w:tcPr>
          <w:p w14:paraId="66736189" w14:textId="77777777" w:rsidR="00F03A73" w:rsidRPr="008E6E0D" w:rsidRDefault="00F03A73" w:rsidP="00DF0344">
            <w:pPr>
              <w:jc w:val="center"/>
              <w:rPr>
                <w:color w:val="000000"/>
                <w:sz w:val="16"/>
                <w:szCs w:val="16"/>
              </w:rPr>
            </w:pPr>
            <w:r w:rsidRPr="008E6E0D">
              <w:rPr>
                <w:color w:val="000000"/>
                <w:sz w:val="16"/>
                <w:szCs w:val="16"/>
              </w:rPr>
              <w:t>0.99 (0.74-1.34)</w:t>
            </w:r>
          </w:p>
        </w:tc>
        <w:tc>
          <w:tcPr>
            <w:tcW w:w="772" w:type="dxa"/>
            <w:shd w:val="clear" w:color="auto" w:fill="auto"/>
            <w:noWrap/>
            <w:vAlign w:val="center"/>
            <w:hideMark/>
          </w:tcPr>
          <w:p w14:paraId="7371A19A" w14:textId="77777777" w:rsidR="00F03A73" w:rsidRPr="008E6E0D" w:rsidRDefault="00F03A73" w:rsidP="00DF0344">
            <w:pPr>
              <w:jc w:val="center"/>
              <w:rPr>
                <w:color w:val="000000"/>
                <w:sz w:val="16"/>
                <w:szCs w:val="16"/>
              </w:rPr>
            </w:pPr>
            <w:r w:rsidRPr="008E6E0D">
              <w:rPr>
                <w:color w:val="000000"/>
                <w:sz w:val="16"/>
                <w:szCs w:val="16"/>
              </w:rPr>
              <w:t>0.968</w:t>
            </w:r>
          </w:p>
        </w:tc>
        <w:tc>
          <w:tcPr>
            <w:tcW w:w="1287" w:type="dxa"/>
            <w:shd w:val="clear" w:color="auto" w:fill="auto"/>
            <w:noWrap/>
            <w:vAlign w:val="center"/>
            <w:hideMark/>
          </w:tcPr>
          <w:p w14:paraId="6951932B" w14:textId="77777777" w:rsidR="00F03A73" w:rsidRPr="008E6E0D" w:rsidRDefault="00F03A73" w:rsidP="00DF0344">
            <w:pPr>
              <w:jc w:val="center"/>
              <w:rPr>
                <w:color w:val="000000"/>
                <w:sz w:val="16"/>
                <w:szCs w:val="16"/>
              </w:rPr>
            </w:pPr>
            <w:r w:rsidRPr="008E6E0D">
              <w:rPr>
                <w:color w:val="000000"/>
                <w:sz w:val="16"/>
                <w:szCs w:val="16"/>
              </w:rPr>
              <w:t>0.89 (0.74-1.07)</w:t>
            </w:r>
          </w:p>
        </w:tc>
        <w:tc>
          <w:tcPr>
            <w:tcW w:w="803" w:type="dxa"/>
            <w:gridSpan w:val="2"/>
            <w:shd w:val="clear" w:color="auto" w:fill="auto"/>
            <w:noWrap/>
            <w:vAlign w:val="center"/>
            <w:hideMark/>
          </w:tcPr>
          <w:p w14:paraId="7987CD22" w14:textId="77777777" w:rsidR="00F03A73" w:rsidRPr="008E6E0D" w:rsidRDefault="00F03A73" w:rsidP="00DF0344">
            <w:pPr>
              <w:jc w:val="center"/>
              <w:rPr>
                <w:color w:val="000000"/>
                <w:sz w:val="16"/>
                <w:szCs w:val="16"/>
              </w:rPr>
            </w:pPr>
            <w:r w:rsidRPr="008E6E0D">
              <w:rPr>
                <w:color w:val="000000"/>
                <w:sz w:val="16"/>
                <w:szCs w:val="16"/>
              </w:rPr>
              <w:t>0.199</w:t>
            </w:r>
          </w:p>
        </w:tc>
        <w:tc>
          <w:tcPr>
            <w:tcW w:w="1351" w:type="dxa"/>
            <w:shd w:val="clear" w:color="auto" w:fill="auto"/>
            <w:noWrap/>
            <w:vAlign w:val="center"/>
            <w:hideMark/>
          </w:tcPr>
          <w:p w14:paraId="69D57C7F" w14:textId="77777777" w:rsidR="00F03A73" w:rsidRPr="008E6E0D" w:rsidRDefault="00F03A73" w:rsidP="00DF0344">
            <w:pPr>
              <w:jc w:val="center"/>
              <w:rPr>
                <w:color w:val="000000"/>
                <w:sz w:val="16"/>
                <w:szCs w:val="16"/>
              </w:rPr>
            </w:pPr>
            <w:r w:rsidRPr="008E6E0D">
              <w:rPr>
                <w:color w:val="000000"/>
                <w:sz w:val="16"/>
                <w:szCs w:val="16"/>
              </w:rPr>
              <w:t>1.37 (1.37-2.55)</w:t>
            </w:r>
          </w:p>
        </w:tc>
        <w:tc>
          <w:tcPr>
            <w:tcW w:w="946" w:type="dxa"/>
            <w:shd w:val="clear" w:color="auto" w:fill="auto"/>
            <w:noWrap/>
            <w:vAlign w:val="center"/>
            <w:hideMark/>
          </w:tcPr>
          <w:p w14:paraId="3E160AC0" w14:textId="55B0F7C1" w:rsidR="00F03A73" w:rsidRPr="008E6E0D" w:rsidRDefault="00F03A73" w:rsidP="00DF0344">
            <w:pPr>
              <w:jc w:val="center"/>
              <w:rPr>
                <w:color w:val="000000"/>
                <w:sz w:val="16"/>
                <w:szCs w:val="16"/>
              </w:rPr>
            </w:pPr>
            <w:r w:rsidRPr="008E6E0D">
              <w:rPr>
                <w:color w:val="000000"/>
                <w:sz w:val="16"/>
                <w:szCs w:val="16"/>
              </w:rPr>
              <w:t>8.7</w:t>
            </w:r>
            <w:r w:rsidR="00097EAA" w:rsidRPr="008E6E0D">
              <w:rPr>
                <w:color w:val="000000"/>
                <w:sz w:val="16"/>
                <w:szCs w:val="16"/>
              </w:rPr>
              <w:t>7</w:t>
            </w:r>
            <w:r w:rsidRPr="008E6E0D">
              <w:rPr>
                <w:color w:val="000000"/>
                <w:sz w:val="16"/>
                <w:szCs w:val="16"/>
              </w:rPr>
              <w:t>x10</w:t>
            </w:r>
            <w:r w:rsidRPr="008E6E0D">
              <w:rPr>
                <w:color w:val="000000"/>
                <w:sz w:val="16"/>
                <w:szCs w:val="16"/>
                <w:vertAlign w:val="superscript"/>
              </w:rPr>
              <w:t>-5</w:t>
            </w:r>
          </w:p>
        </w:tc>
      </w:tr>
      <w:tr w:rsidR="0084217C" w:rsidRPr="008E6E0D" w14:paraId="2AAB802A" w14:textId="77777777" w:rsidTr="006249CF">
        <w:trPr>
          <w:trHeight w:val="240"/>
          <w:jc w:val="center"/>
        </w:trPr>
        <w:tc>
          <w:tcPr>
            <w:tcW w:w="1042" w:type="dxa"/>
            <w:shd w:val="clear" w:color="auto" w:fill="auto"/>
            <w:noWrap/>
            <w:vAlign w:val="center"/>
            <w:hideMark/>
          </w:tcPr>
          <w:p w14:paraId="1EE2CE2E" w14:textId="77777777" w:rsidR="00F03A73" w:rsidRPr="008E6E0D" w:rsidRDefault="00F03A73" w:rsidP="00DF0344">
            <w:pPr>
              <w:jc w:val="center"/>
              <w:rPr>
                <w:bCs/>
                <w:color w:val="000000"/>
                <w:sz w:val="16"/>
                <w:szCs w:val="16"/>
              </w:rPr>
            </w:pPr>
            <w:r w:rsidRPr="008E6E0D">
              <w:rPr>
                <w:bCs/>
                <w:color w:val="000000"/>
                <w:sz w:val="16"/>
                <w:szCs w:val="16"/>
              </w:rPr>
              <w:t>rs34896991</w:t>
            </w:r>
          </w:p>
        </w:tc>
        <w:tc>
          <w:tcPr>
            <w:tcW w:w="1034" w:type="dxa"/>
            <w:shd w:val="clear" w:color="auto" w:fill="auto"/>
            <w:noWrap/>
            <w:vAlign w:val="center"/>
            <w:hideMark/>
          </w:tcPr>
          <w:p w14:paraId="7E0C7F6B" w14:textId="77777777" w:rsidR="00F03A73" w:rsidRPr="008E6E0D" w:rsidRDefault="00F03A73" w:rsidP="00DF0344">
            <w:pPr>
              <w:jc w:val="center"/>
              <w:rPr>
                <w:bCs/>
                <w:color w:val="000000"/>
                <w:sz w:val="16"/>
                <w:szCs w:val="16"/>
              </w:rPr>
            </w:pPr>
            <w:r w:rsidRPr="008E6E0D">
              <w:rPr>
                <w:bCs/>
                <w:color w:val="000000"/>
                <w:sz w:val="16"/>
                <w:szCs w:val="16"/>
              </w:rPr>
              <w:t>7:92730745</w:t>
            </w:r>
          </w:p>
        </w:tc>
        <w:tc>
          <w:tcPr>
            <w:tcW w:w="599" w:type="dxa"/>
            <w:shd w:val="clear" w:color="auto" w:fill="auto"/>
            <w:noWrap/>
            <w:vAlign w:val="center"/>
            <w:hideMark/>
          </w:tcPr>
          <w:p w14:paraId="40811B5D" w14:textId="77777777" w:rsidR="00F03A73" w:rsidRPr="008E6E0D" w:rsidRDefault="00F03A73" w:rsidP="00DF0344">
            <w:pPr>
              <w:jc w:val="center"/>
              <w:rPr>
                <w:bCs/>
                <w:color w:val="000000"/>
                <w:sz w:val="16"/>
                <w:szCs w:val="16"/>
              </w:rPr>
            </w:pPr>
            <w:r w:rsidRPr="008E6E0D">
              <w:rPr>
                <w:bCs/>
                <w:color w:val="000000"/>
                <w:sz w:val="16"/>
                <w:szCs w:val="16"/>
              </w:rPr>
              <w:t>C/T</w:t>
            </w:r>
          </w:p>
        </w:tc>
        <w:tc>
          <w:tcPr>
            <w:tcW w:w="933" w:type="dxa"/>
            <w:shd w:val="clear" w:color="auto" w:fill="auto"/>
            <w:noWrap/>
            <w:vAlign w:val="center"/>
            <w:hideMark/>
          </w:tcPr>
          <w:p w14:paraId="3403A36A" w14:textId="77777777" w:rsidR="00F03A73" w:rsidRPr="008E6E0D" w:rsidRDefault="00F03A73" w:rsidP="00DF0344">
            <w:pPr>
              <w:jc w:val="center"/>
              <w:rPr>
                <w:bCs/>
                <w:color w:val="000000"/>
                <w:sz w:val="16"/>
                <w:szCs w:val="16"/>
              </w:rPr>
            </w:pPr>
            <w:r w:rsidRPr="008E6E0D">
              <w:rPr>
                <w:bCs/>
                <w:color w:val="000000"/>
                <w:sz w:val="16"/>
                <w:szCs w:val="16"/>
              </w:rPr>
              <w:t>Exonic</w:t>
            </w:r>
          </w:p>
        </w:tc>
        <w:tc>
          <w:tcPr>
            <w:tcW w:w="1961" w:type="dxa"/>
            <w:shd w:val="clear" w:color="auto" w:fill="auto"/>
            <w:noWrap/>
            <w:vAlign w:val="center"/>
            <w:hideMark/>
          </w:tcPr>
          <w:p w14:paraId="0AA0F12D" w14:textId="77777777" w:rsidR="00F03A73" w:rsidRPr="008E6E0D" w:rsidRDefault="00F03A73" w:rsidP="00DF0344">
            <w:pPr>
              <w:jc w:val="center"/>
              <w:rPr>
                <w:bCs/>
                <w:i/>
                <w:color w:val="000000"/>
                <w:sz w:val="16"/>
                <w:szCs w:val="16"/>
              </w:rPr>
            </w:pPr>
            <w:r w:rsidRPr="008E6E0D">
              <w:rPr>
                <w:bCs/>
                <w:i/>
                <w:color w:val="000000"/>
                <w:sz w:val="16"/>
                <w:szCs w:val="16"/>
              </w:rPr>
              <w:t>SAMD9</w:t>
            </w:r>
          </w:p>
        </w:tc>
        <w:tc>
          <w:tcPr>
            <w:tcW w:w="551" w:type="dxa"/>
            <w:shd w:val="clear" w:color="auto" w:fill="auto"/>
            <w:noWrap/>
            <w:vAlign w:val="center"/>
            <w:hideMark/>
          </w:tcPr>
          <w:p w14:paraId="5B5112C1" w14:textId="77777777" w:rsidR="00F03A73" w:rsidRPr="008E6E0D" w:rsidRDefault="00F03A73" w:rsidP="00DF0344">
            <w:pPr>
              <w:jc w:val="center"/>
              <w:rPr>
                <w:bCs/>
                <w:color w:val="000000"/>
                <w:sz w:val="16"/>
                <w:szCs w:val="16"/>
              </w:rPr>
            </w:pPr>
            <w:r w:rsidRPr="008E6E0D">
              <w:rPr>
                <w:bCs/>
                <w:color w:val="000000"/>
                <w:sz w:val="16"/>
                <w:szCs w:val="16"/>
              </w:rPr>
              <w:t>0.018</w:t>
            </w:r>
          </w:p>
        </w:tc>
        <w:tc>
          <w:tcPr>
            <w:tcW w:w="1351" w:type="dxa"/>
            <w:shd w:val="clear" w:color="auto" w:fill="auto"/>
            <w:noWrap/>
            <w:vAlign w:val="center"/>
            <w:hideMark/>
          </w:tcPr>
          <w:p w14:paraId="504953EC" w14:textId="77777777" w:rsidR="00F03A73" w:rsidRPr="008E6E0D" w:rsidRDefault="00F03A73" w:rsidP="00DF0344">
            <w:pPr>
              <w:jc w:val="center"/>
              <w:rPr>
                <w:bCs/>
                <w:color w:val="000000"/>
                <w:sz w:val="16"/>
                <w:szCs w:val="16"/>
              </w:rPr>
            </w:pPr>
            <w:r w:rsidRPr="008E6E0D">
              <w:rPr>
                <w:bCs/>
                <w:color w:val="000000"/>
                <w:sz w:val="16"/>
                <w:szCs w:val="16"/>
              </w:rPr>
              <w:t>4.75 (2.86-7.89)</w:t>
            </w:r>
          </w:p>
        </w:tc>
        <w:tc>
          <w:tcPr>
            <w:tcW w:w="935" w:type="dxa"/>
            <w:shd w:val="clear" w:color="auto" w:fill="auto"/>
            <w:noWrap/>
            <w:vAlign w:val="center"/>
            <w:hideMark/>
          </w:tcPr>
          <w:p w14:paraId="28256E76" w14:textId="0E27966C" w:rsidR="00F03A73" w:rsidRPr="008E6E0D" w:rsidRDefault="00F03A73" w:rsidP="00DF0344">
            <w:pPr>
              <w:jc w:val="center"/>
              <w:rPr>
                <w:bCs/>
                <w:color w:val="000000"/>
                <w:sz w:val="16"/>
                <w:szCs w:val="16"/>
              </w:rPr>
            </w:pPr>
            <w:r w:rsidRPr="008E6E0D">
              <w:rPr>
                <w:bCs/>
                <w:color w:val="000000"/>
                <w:sz w:val="16"/>
                <w:szCs w:val="16"/>
              </w:rPr>
              <w:t>1.77x10</w:t>
            </w:r>
            <w:r w:rsidRPr="008E6E0D">
              <w:rPr>
                <w:bCs/>
                <w:color w:val="000000"/>
                <w:sz w:val="16"/>
                <w:szCs w:val="16"/>
                <w:vertAlign w:val="superscript"/>
              </w:rPr>
              <w:t>-9</w:t>
            </w:r>
          </w:p>
        </w:tc>
        <w:tc>
          <w:tcPr>
            <w:tcW w:w="1287" w:type="dxa"/>
            <w:shd w:val="clear" w:color="auto" w:fill="auto"/>
            <w:noWrap/>
            <w:vAlign w:val="center"/>
            <w:hideMark/>
          </w:tcPr>
          <w:p w14:paraId="3F0B63A8" w14:textId="77777777" w:rsidR="00F03A73" w:rsidRPr="008E6E0D" w:rsidRDefault="00F03A73" w:rsidP="00DF0344">
            <w:pPr>
              <w:jc w:val="center"/>
              <w:rPr>
                <w:bCs/>
                <w:color w:val="000000"/>
                <w:sz w:val="16"/>
                <w:szCs w:val="16"/>
              </w:rPr>
            </w:pPr>
            <w:r w:rsidRPr="008E6E0D">
              <w:rPr>
                <w:bCs/>
                <w:color w:val="000000"/>
                <w:sz w:val="16"/>
                <w:szCs w:val="16"/>
              </w:rPr>
              <w:t>0.61 (0.29-1.28)</w:t>
            </w:r>
          </w:p>
        </w:tc>
        <w:tc>
          <w:tcPr>
            <w:tcW w:w="772" w:type="dxa"/>
            <w:shd w:val="clear" w:color="auto" w:fill="auto"/>
            <w:noWrap/>
            <w:vAlign w:val="center"/>
            <w:hideMark/>
          </w:tcPr>
          <w:p w14:paraId="32FB061D" w14:textId="77777777" w:rsidR="00F03A73" w:rsidRPr="008E6E0D" w:rsidRDefault="00F03A73" w:rsidP="00DF0344">
            <w:pPr>
              <w:jc w:val="center"/>
              <w:rPr>
                <w:bCs/>
                <w:color w:val="000000"/>
                <w:sz w:val="16"/>
                <w:szCs w:val="16"/>
              </w:rPr>
            </w:pPr>
            <w:r w:rsidRPr="008E6E0D">
              <w:rPr>
                <w:bCs/>
                <w:color w:val="000000"/>
                <w:sz w:val="16"/>
                <w:szCs w:val="16"/>
              </w:rPr>
              <w:t>0.188</w:t>
            </w:r>
          </w:p>
        </w:tc>
        <w:tc>
          <w:tcPr>
            <w:tcW w:w="1287" w:type="dxa"/>
            <w:shd w:val="clear" w:color="auto" w:fill="auto"/>
            <w:noWrap/>
            <w:vAlign w:val="center"/>
            <w:hideMark/>
          </w:tcPr>
          <w:p w14:paraId="63265775" w14:textId="77777777" w:rsidR="00F03A73" w:rsidRPr="008E6E0D" w:rsidRDefault="00F03A73" w:rsidP="00DF0344">
            <w:pPr>
              <w:jc w:val="center"/>
              <w:rPr>
                <w:bCs/>
                <w:color w:val="000000"/>
                <w:sz w:val="16"/>
                <w:szCs w:val="16"/>
              </w:rPr>
            </w:pPr>
            <w:r w:rsidRPr="008E6E0D">
              <w:rPr>
                <w:bCs/>
                <w:color w:val="000000"/>
                <w:sz w:val="16"/>
                <w:szCs w:val="16"/>
              </w:rPr>
              <w:t>1.44 (0.46-4.50)</w:t>
            </w:r>
          </w:p>
        </w:tc>
        <w:tc>
          <w:tcPr>
            <w:tcW w:w="803" w:type="dxa"/>
            <w:gridSpan w:val="2"/>
            <w:shd w:val="clear" w:color="auto" w:fill="auto"/>
            <w:noWrap/>
            <w:vAlign w:val="center"/>
            <w:hideMark/>
          </w:tcPr>
          <w:p w14:paraId="50F603F0" w14:textId="77777777" w:rsidR="00F03A73" w:rsidRPr="008E6E0D" w:rsidRDefault="00F03A73" w:rsidP="00DF0344">
            <w:pPr>
              <w:jc w:val="center"/>
              <w:rPr>
                <w:bCs/>
                <w:color w:val="000000"/>
                <w:sz w:val="16"/>
                <w:szCs w:val="16"/>
              </w:rPr>
            </w:pPr>
            <w:r w:rsidRPr="008E6E0D">
              <w:rPr>
                <w:bCs/>
                <w:color w:val="000000"/>
                <w:sz w:val="16"/>
                <w:szCs w:val="16"/>
              </w:rPr>
              <w:t>0.534</w:t>
            </w:r>
          </w:p>
        </w:tc>
        <w:tc>
          <w:tcPr>
            <w:tcW w:w="1351" w:type="dxa"/>
            <w:shd w:val="clear" w:color="auto" w:fill="auto"/>
            <w:noWrap/>
            <w:vAlign w:val="center"/>
            <w:hideMark/>
          </w:tcPr>
          <w:p w14:paraId="0901DF43" w14:textId="77777777" w:rsidR="00F03A73" w:rsidRPr="008E6E0D" w:rsidRDefault="00F03A73" w:rsidP="00DF0344">
            <w:pPr>
              <w:jc w:val="center"/>
              <w:rPr>
                <w:bCs/>
                <w:color w:val="000000"/>
                <w:sz w:val="16"/>
                <w:szCs w:val="16"/>
              </w:rPr>
            </w:pPr>
            <w:r w:rsidRPr="008E6E0D">
              <w:rPr>
                <w:bCs/>
                <w:color w:val="000000"/>
                <w:sz w:val="16"/>
                <w:szCs w:val="16"/>
              </w:rPr>
              <w:t>1.64 (1.37-6.78)</w:t>
            </w:r>
          </w:p>
        </w:tc>
        <w:tc>
          <w:tcPr>
            <w:tcW w:w="946" w:type="dxa"/>
            <w:shd w:val="clear" w:color="auto" w:fill="auto"/>
            <w:noWrap/>
            <w:vAlign w:val="center"/>
            <w:hideMark/>
          </w:tcPr>
          <w:p w14:paraId="27DED559" w14:textId="011D82FB" w:rsidR="00F03A73" w:rsidRPr="008E6E0D" w:rsidRDefault="00F03A73" w:rsidP="00DF0344">
            <w:pPr>
              <w:jc w:val="center"/>
              <w:rPr>
                <w:bCs/>
                <w:color w:val="000000"/>
                <w:sz w:val="16"/>
                <w:szCs w:val="16"/>
              </w:rPr>
            </w:pPr>
            <w:r w:rsidRPr="008E6E0D">
              <w:rPr>
                <w:bCs/>
                <w:color w:val="000000"/>
                <w:sz w:val="16"/>
                <w:szCs w:val="16"/>
              </w:rPr>
              <w:t>4.92x10</w:t>
            </w:r>
            <w:r w:rsidRPr="008E6E0D">
              <w:rPr>
                <w:bCs/>
                <w:color w:val="000000"/>
                <w:sz w:val="16"/>
                <w:szCs w:val="16"/>
                <w:vertAlign w:val="superscript"/>
              </w:rPr>
              <w:t>-8</w:t>
            </w:r>
          </w:p>
        </w:tc>
      </w:tr>
      <w:tr w:rsidR="0084217C" w:rsidRPr="008E6E0D" w14:paraId="08191D2F" w14:textId="77777777" w:rsidTr="006249CF">
        <w:trPr>
          <w:trHeight w:val="240"/>
          <w:jc w:val="center"/>
        </w:trPr>
        <w:tc>
          <w:tcPr>
            <w:tcW w:w="1042" w:type="dxa"/>
            <w:shd w:val="clear" w:color="auto" w:fill="auto"/>
            <w:noWrap/>
            <w:vAlign w:val="center"/>
            <w:hideMark/>
          </w:tcPr>
          <w:p w14:paraId="10609404" w14:textId="77777777" w:rsidR="00F03A73" w:rsidRPr="008E6E0D" w:rsidRDefault="00F03A73" w:rsidP="00DF0344">
            <w:pPr>
              <w:jc w:val="center"/>
              <w:rPr>
                <w:bCs/>
                <w:color w:val="000000"/>
                <w:sz w:val="16"/>
                <w:szCs w:val="16"/>
              </w:rPr>
            </w:pPr>
            <w:r w:rsidRPr="008E6E0D">
              <w:rPr>
                <w:bCs/>
                <w:color w:val="000000"/>
                <w:sz w:val="16"/>
                <w:szCs w:val="16"/>
              </w:rPr>
              <w:t>rs146257041</w:t>
            </w:r>
          </w:p>
        </w:tc>
        <w:tc>
          <w:tcPr>
            <w:tcW w:w="1034" w:type="dxa"/>
            <w:shd w:val="clear" w:color="auto" w:fill="auto"/>
            <w:noWrap/>
            <w:vAlign w:val="center"/>
            <w:hideMark/>
          </w:tcPr>
          <w:p w14:paraId="641B1F3D" w14:textId="77777777" w:rsidR="00F03A73" w:rsidRPr="008E6E0D" w:rsidRDefault="00F03A73" w:rsidP="00DF0344">
            <w:pPr>
              <w:jc w:val="center"/>
              <w:rPr>
                <w:bCs/>
                <w:color w:val="000000"/>
                <w:sz w:val="16"/>
                <w:szCs w:val="16"/>
              </w:rPr>
            </w:pPr>
            <w:r w:rsidRPr="008E6E0D">
              <w:rPr>
                <w:bCs/>
                <w:color w:val="000000"/>
                <w:sz w:val="16"/>
                <w:szCs w:val="16"/>
              </w:rPr>
              <w:t>11:26983813</w:t>
            </w:r>
          </w:p>
        </w:tc>
        <w:tc>
          <w:tcPr>
            <w:tcW w:w="599" w:type="dxa"/>
            <w:shd w:val="clear" w:color="auto" w:fill="auto"/>
            <w:noWrap/>
            <w:vAlign w:val="center"/>
            <w:hideMark/>
          </w:tcPr>
          <w:p w14:paraId="7F8A536E" w14:textId="77777777" w:rsidR="00F03A73" w:rsidRPr="008E6E0D" w:rsidRDefault="00F03A73" w:rsidP="00DF0344">
            <w:pPr>
              <w:jc w:val="center"/>
              <w:rPr>
                <w:bCs/>
                <w:color w:val="000000"/>
                <w:sz w:val="16"/>
                <w:szCs w:val="16"/>
              </w:rPr>
            </w:pPr>
            <w:r w:rsidRPr="008E6E0D">
              <w:rPr>
                <w:bCs/>
                <w:color w:val="000000"/>
                <w:sz w:val="16"/>
                <w:szCs w:val="16"/>
              </w:rPr>
              <w:t>A/G</w:t>
            </w:r>
          </w:p>
        </w:tc>
        <w:tc>
          <w:tcPr>
            <w:tcW w:w="933" w:type="dxa"/>
            <w:shd w:val="clear" w:color="auto" w:fill="auto"/>
            <w:noWrap/>
            <w:vAlign w:val="center"/>
            <w:hideMark/>
          </w:tcPr>
          <w:p w14:paraId="78AF8EDB" w14:textId="77777777" w:rsidR="00F03A73" w:rsidRPr="008E6E0D" w:rsidRDefault="00F03A73" w:rsidP="00DF0344">
            <w:pPr>
              <w:jc w:val="center"/>
              <w:rPr>
                <w:bCs/>
                <w:color w:val="000000"/>
                <w:sz w:val="16"/>
                <w:szCs w:val="16"/>
              </w:rPr>
            </w:pPr>
            <w:r w:rsidRPr="008E6E0D">
              <w:rPr>
                <w:bCs/>
                <w:color w:val="000000"/>
                <w:sz w:val="16"/>
                <w:szCs w:val="16"/>
              </w:rPr>
              <w:t>Intergenic</w:t>
            </w:r>
          </w:p>
        </w:tc>
        <w:tc>
          <w:tcPr>
            <w:tcW w:w="1961" w:type="dxa"/>
            <w:shd w:val="clear" w:color="auto" w:fill="auto"/>
            <w:noWrap/>
            <w:vAlign w:val="center"/>
            <w:hideMark/>
          </w:tcPr>
          <w:p w14:paraId="020856FB" w14:textId="77777777" w:rsidR="00F03A73" w:rsidRPr="008E6E0D" w:rsidRDefault="00F03A73" w:rsidP="00DF0344">
            <w:pPr>
              <w:jc w:val="center"/>
              <w:rPr>
                <w:bCs/>
                <w:i/>
                <w:color w:val="000000"/>
                <w:sz w:val="16"/>
                <w:szCs w:val="16"/>
              </w:rPr>
            </w:pPr>
            <w:r w:rsidRPr="008E6E0D">
              <w:rPr>
                <w:bCs/>
                <w:i/>
                <w:color w:val="000000"/>
                <w:sz w:val="16"/>
                <w:szCs w:val="16"/>
              </w:rPr>
              <w:t>SLC5A12\FIBIN</w:t>
            </w:r>
          </w:p>
        </w:tc>
        <w:tc>
          <w:tcPr>
            <w:tcW w:w="551" w:type="dxa"/>
            <w:shd w:val="clear" w:color="auto" w:fill="auto"/>
            <w:noWrap/>
            <w:vAlign w:val="center"/>
            <w:hideMark/>
          </w:tcPr>
          <w:p w14:paraId="14FD928F" w14:textId="77777777" w:rsidR="00F03A73" w:rsidRPr="008E6E0D" w:rsidRDefault="00F03A73" w:rsidP="00DF0344">
            <w:pPr>
              <w:jc w:val="center"/>
              <w:rPr>
                <w:bCs/>
                <w:color w:val="000000"/>
                <w:sz w:val="16"/>
                <w:szCs w:val="16"/>
              </w:rPr>
            </w:pPr>
            <w:r w:rsidRPr="008E6E0D">
              <w:rPr>
                <w:bCs/>
                <w:color w:val="000000"/>
                <w:sz w:val="16"/>
                <w:szCs w:val="16"/>
              </w:rPr>
              <w:t>0.015</w:t>
            </w:r>
          </w:p>
        </w:tc>
        <w:tc>
          <w:tcPr>
            <w:tcW w:w="1351" w:type="dxa"/>
            <w:shd w:val="clear" w:color="auto" w:fill="auto"/>
            <w:noWrap/>
            <w:vAlign w:val="center"/>
            <w:hideMark/>
          </w:tcPr>
          <w:p w14:paraId="5EEC3458" w14:textId="77777777" w:rsidR="00F03A73" w:rsidRPr="008E6E0D" w:rsidRDefault="00F03A73" w:rsidP="00DF0344">
            <w:pPr>
              <w:jc w:val="center"/>
              <w:rPr>
                <w:bCs/>
                <w:color w:val="000000"/>
                <w:sz w:val="16"/>
                <w:szCs w:val="16"/>
              </w:rPr>
            </w:pPr>
            <w:r w:rsidRPr="008E6E0D">
              <w:rPr>
                <w:bCs/>
                <w:color w:val="000000"/>
                <w:sz w:val="16"/>
                <w:szCs w:val="16"/>
              </w:rPr>
              <w:t>5.14 (3.06-8.65)</w:t>
            </w:r>
          </w:p>
        </w:tc>
        <w:tc>
          <w:tcPr>
            <w:tcW w:w="935" w:type="dxa"/>
            <w:shd w:val="clear" w:color="auto" w:fill="auto"/>
            <w:noWrap/>
            <w:vAlign w:val="center"/>
            <w:hideMark/>
          </w:tcPr>
          <w:p w14:paraId="26A0EDE2" w14:textId="1FC2697B" w:rsidR="00F03A73" w:rsidRPr="008E6E0D" w:rsidRDefault="00F03A73" w:rsidP="00DF0344">
            <w:pPr>
              <w:jc w:val="center"/>
              <w:rPr>
                <w:bCs/>
                <w:color w:val="000000"/>
                <w:sz w:val="16"/>
                <w:szCs w:val="16"/>
              </w:rPr>
            </w:pPr>
            <w:r w:rsidRPr="008E6E0D">
              <w:rPr>
                <w:bCs/>
                <w:color w:val="000000"/>
                <w:sz w:val="16"/>
                <w:szCs w:val="16"/>
              </w:rPr>
              <w:t>7.04x10</w:t>
            </w:r>
            <w:r w:rsidRPr="008E6E0D">
              <w:rPr>
                <w:bCs/>
                <w:color w:val="000000"/>
                <w:sz w:val="16"/>
                <w:szCs w:val="16"/>
                <w:vertAlign w:val="superscript"/>
              </w:rPr>
              <w:t>-10</w:t>
            </w:r>
          </w:p>
        </w:tc>
        <w:tc>
          <w:tcPr>
            <w:tcW w:w="1287" w:type="dxa"/>
            <w:shd w:val="clear" w:color="auto" w:fill="auto"/>
            <w:noWrap/>
            <w:vAlign w:val="center"/>
            <w:hideMark/>
          </w:tcPr>
          <w:p w14:paraId="06D2CFBF" w14:textId="766F57BD" w:rsidR="00F03A73" w:rsidRPr="008E6E0D" w:rsidRDefault="007F218C" w:rsidP="00DF0344">
            <w:pPr>
              <w:jc w:val="center"/>
              <w:rPr>
                <w:bCs/>
                <w:color w:val="000000"/>
                <w:sz w:val="16"/>
                <w:szCs w:val="16"/>
              </w:rPr>
            </w:pPr>
            <w:r>
              <w:rPr>
                <w:bCs/>
                <w:color w:val="000000"/>
                <w:sz w:val="16"/>
                <w:szCs w:val="16"/>
              </w:rPr>
              <w:t>NA</w:t>
            </w:r>
          </w:p>
        </w:tc>
        <w:tc>
          <w:tcPr>
            <w:tcW w:w="772" w:type="dxa"/>
            <w:shd w:val="clear" w:color="auto" w:fill="auto"/>
            <w:noWrap/>
            <w:vAlign w:val="center"/>
            <w:hideMark/>
          </w:tcPr>
          <w:p w14:paraId="6078814A" w14:textId="6BE08FF7" w:rsidR="00F03A73" w:rsidRPr="008E6E0D" w:rsidRDefault="007F218C" w:rsidP="00DF0344">
            <w:pPr>
              <w:jc w:val="center"/>
              <w:rPr>
                <w:bCs/>
                <w:color w:val="000000"/>
                <w:sz w:val="16"/>
                <w:szCs w:val="16"/>
              </w:rPr>
            </w:pPr>
            <w:r>
              <w:rPr>
                <w:bCs/>
                <w:color w:val="000000"/>
                <w:sz w:val="16"/>
                <w:szCs w:val="16"/>
              </w:rPr>
              <w:t>NA</w:t>
            </w:r>
          </w:p>
        </w:tc>
        <w:tc>
          <w:tcPr>
            <w:tcW w:w="1287" w:type="dxa"/>
            <w:shd w:val="clear" w:color="auto" w:fill="auto"/>
            <w:noWrap/>
            <w:vAlign w:val="center"/>
            <w:hideMark/>
          </w:tcPr>
          <w:p w14:paraId="0A04E8D9" w14:textId="77777777" w:rsidR="00F03A73" w:rsidRPr="008E6E0D" w:rsidRDefault="00F03A73" w:rsidP="00DF0344">
            <w:pPr>
              <w:jc w:val="center"/>
              <w:rPr>
                <w:bCs/>
                <w:sz w:val="16"/>
                <w:szCs w:val="16"/>
              </w:rPr>
            </w:pPr>
            <w:r w:rsidRPr="008E6E0D">
              <w:rPr>
                <w:bCs/>
                <w:sz w:val="16"/>
                <w:szCs w:val="16"/>
              </w:rPr>
              <w:t>0.89 (0.12-6.39)</w:t>
            </w:r>
          </w:p>
        </w:tc>
        <w:tc>
          <w:tcPr>
            <w:tcW w:w="803" w:type="dxa"/>
            <w:gridSpan w:val="2"/>
            <w:shd w:val="clear" w:color="auto" w:fill="auto"/>
            <w:noWrap/>
            <w:vAlign w:val="center"/>
            <w:hideMark/>
          </w:tcPr>
          <w:p w14:paraId="7965950F" w14:textId="77777777" w:rsidR="00F03A73" w:rsidRPr="008E6E0D" w:rsidRDefault="00F03A73" w:rsidP="00DF0344">
            <w:pPr>
              <w:jc w:val="center"/>
              <w:rPr>
                <w:bCs/>
                <w:sz w:val="16"/>
                <w:szCs w:val="16"/>
              </w:rPr>
            </w:pPr>
            <w:r w:rsidRPr="008E6E0D">
              <w:rPr>
                <w:bCs/>
                <w:sz w:val="16"/>
                <w:szCs w:val="16"/>
              </w:rPr>
              <w:t>0.911</w:t>
            </w:r>
          </w:p>
        </w:tc>
        <w:tc>
          <w:tcPr>
            <w:tcW w:w="1351" w:type="dxa"/>
            <w:shd w:val="clear" w:color="auto" w:fill="auto"/>
            <w:noWrap/>
            <w:vAlign w:val="center"/>
            <w:hideMark/>
          </w:tcPr>
          <w:p w14:paraId="4914648C" w14:textId="4F1355A7" w:rsidR="00F03A73" w:rsidRPr="008E6E0D" w:rsidRDefault="004E66ED" w:rsidP="00DF0344">
            <w:pPr>
              <w:jc w:val="center"/>
              <w:rPr>
                <w:bCs/>
                <w:color w:val="000000"/>
                <w:sz w:val="16"/>
                <w:szCs w:val="16"/>
              </w:rPr>
            </w:pPr>
            <w:r w:rsidRPr="008E6E0D">
              <w:rPr>
                <w:bCs/>
                <w:color w:val="000000"/>
                <w:sz w:val="16"/>
                <w:szCs w:val="16"/>
              </w:rPr>
              <w:t>4.59 (2.77-7.59)</w:t>
            </w:r>
          </w:p>
        </w:tc>
        <w:tc>
          <w:tcPr>
            <w:tcW w:w="946" w:type="dxa"/>
            <w:shd w:val="clear" w:color="auto" w:fill="auto"/>
            <w:noWrap/>
            <w:vAlign w:val="center"/>
            <w:hideMark/>
          </w:tcPr>
          <w:p w14:paraId="2E6231B1" w14:textId="7AD8E0F5" w:rsidR="00F03A73" w:rsidRPr="008E6E0D" w:rsidRDefault="004E66ED" w:rsidP="00DF0344">
            <w:pPr>
              <w:jc w:val="center"/>
              <w:rPr>
                <w:bCs/>
                <w:color w:val="000000"/>
                <w:sz w:val="16"/>
                <w:szCs w:val="16"/>
              </w:rPr>
            </w:pPr>
            <w:r w:rsidRPr="008E6E0D">
              <w:rPr>
                <w:bCs/>
                <w:color w:val="000000"/>
                <w:sz w:val="16"/>
                <w:szCs w:val="16"/>
              </w:rPr>
              <w:t>3.00x10</w:t>
            </w:r>
            <w:r w:rsidRPr="008E6E0D">
              <w:rPr>
                <w:bCs/>
                <w:color w:val="000000"/>
                <w:sz w:val="16"/>
                <w:szCs w:val="16"/>
                <w:vertAlign w:val="superscript"/>
              </w:rPr>
              <w:t>-9</w:t>
            </w:r>
            <w:r w:rsidR="008A41C7" w:rsidRPr="008E6E0D">
              <w:rPr>
                <w:bCs/>
                <w:color w:val="000000"/>
                <w:sz w:val="16"/>
                <w:szCs w:val="16"/>
              </w:rPr>
              <w:t>*</w:t>
            </w:r>
          </w:p>
        </w:tc>
      </w:tr>
      <w:tr w:rsidR="0084217C" w:rsidRPr="008E6E0D" w14:paraId="7A64CB9D" w14:textId="77777777" w:rsidTr="006249CF">
        <w:trPr>
          <w:trHeight w:val="240"/>
          <w:jc w:val="center"/>
        </w:trPr>
        <w:tc>
          <w:tcPr>
            <w:tcW w:w="1042" w:type="dxa"/>
            <w:shd w:val="clear" w:color="auto" w:fill="auto"/>
            <w:noWrap/>
            <w:vAlign w:val="center"/>
            <w:hideMark/>
          </w:tcPr>
          <w:p w14:paraId="46814B4C" w14:textId="77777777" w:rsidR="00F03A73" w:rsidRPr="008E6E0D" w:rsidRDefault="00F03A73" w:rsidP="00DF0344">
            <w:pPr>
              <w:jc w:val="center"/>
              <w:rPr>
                <w:bCs/>
                <w:color w:val="000000"/>
                <w:sz w:val="16"/>
                <w:szCs w:val="16"/>
              </w:rPr>
            </w:pPr>
            <w:r w:rsidRPr="008E6E0D">
              <w:rPr>
                <w:bCs/>
                <w:color w:val="000000"/>
                <w:sz w:val="16"/>
                <w:szCs w:val="16"/>
              </w:rPr>
              <w:t>rs138347802</w:t>
            </w:r>
          </w:p>
        </w:tc>
        <w:tc>
          <w:tcPr>
            <w:tcW w:w="1034" w:type="dxa"/>
            <w:shd w:val="clear" w:color="auto" w:fill="auto"/>
            <w:noWrap/>
            <w:vAlign w:val="center"/>
            <w:hideMark/>
          </w:tcPr>
          <w:p w14:paraId="6932776D" w14:textId="77777777" w:rsidR="00F03A73" w:rsidRPr="008E6E0D" w:rsidRDefault="00F03A73" w:rsidP="00DF0344">
            <w:pPr>
              <w:jc w:val="center"/>
              <w:rPr>
                <w:bCs/>
                <w:color w:val="000000"/>
                <w:sz w:val="16"/>
                <w:szCs w:val="16"/>
              </w:rPr>
            </w:pPr>
            <w:r w:rsidRPr="008E6E0D">
              <w:rPr>
                <w:bCs/>
                <w:color w:val="000000"/>
                <w:sz w:val="16"/>
                <w:szCs w:val="16"/>
              </w:rPr>
              <w:t>13:61367197</w:t>
            </w:r>
          </w:p>
        </w:tc>
        <w:tc>
          <w:tcPr>
            <w:tcW w:w="599" w:type="dxa"/>
            <w:shd w:val="clear" w:color="auto" w:fill="auto"/>
            <w:noWrap/>
            <w:vAlign w:val="center"/>
            <w:hideMark/>
          </w:tcPr>
          <w:p w14:paraId="501C821D" w14:textId="77777777" w:rsidR="00F03A73" w:rsidRPr="008E6E0D" w:rsidRDefault="00F03A73" w:rsidP="00DF0344">
            <w:pPr>
              <w:jc w:val="center"/>
              <w:rPr>
                <w:bCs/>
                <w:color w:val="000000"/>
                <w:sz w:val="16"/>
                <w:szCs w:val="16"/>
              </w:rPr>
            </w:pPr>
            <w:r w:rsidRPr="008E6E0D">
              <w:rPr>
                <w:bCs/>
                <w:color w:val="000000"/>
                <w:sz w:val="16"/>
                <w:szCs w:val="16"/>
              </w:rPr>
              <w:t>A/G</w:t>
            </w:r>
          </w:p>
        </w:tc>
        <w:tc>
          <w:tcPr>
            <w:tcW w:w="933" w:type="dxa"/>
            <w:shd w:val="clear" w:color="auto" w:fill="auto"/>
            <w:noWrap/>
            <w:vAlign w:val="center"/>
            <w:hideMark/>
          </w:tcPr>
          <w:p w14:paraId="70B8737D" w14:textId="77777777" w:rsidR="00F03A73" w:rsidRPr="008E6E0D" w:rsidRDefault="00F03A73" w:rsidP="00DF0344">
            <w:pPr>
              <w:jc w:val="center"/>
              <w:rPr>
                <w:bCs/>
                <w:color w:val="000000"/>
                <w:sz w:val="16"/>
                <w:szCs w:val="16"/>
              </w:rPr>
            </w:pPr>
            <w:r w:rsidRPr="008E6E0D">
              <w:rPr>
                <w:bCs/>
                <w:color w:val="000000"/>
                <w:sz w:val="16"/>
                <w:szCs w:val="16"/>
              </w:rPr>
              <w:t>Intergenic</w:t>
            </w:r>
          </w:p>
        </w:tc>
        <w:tc>
          <w:tcPr>
            <w:tcW w:w="1961" w:type="dxa"/>
            <w:shd w:val="clear" w:color="auto" w:fill="auto"/>
            <w:noWrap/>
            <w:vAlign w:val="center"/>
            <w:hideMark/>
          </w:tcPr>
          <w:p w14:paraId="6F338442" w14:textId="77777777" w:rsidR="00F03A73" w:rsidRPr="008E6E0D" w:rsidRDefault="00F03A73" w:rsidP="00DF0344">
            <w:pPr>
              <w:jc w:val="center"/>
              <w:rPr>
                <w:bCs/>
                <w:i/>
                <w:color w:val="000000"/>
                <w:sz w:val="16"/>
                <w:szCs w:val="16"/>
              </w:rPr>
            </w:pPr>
            <w:r w:rsidRPr="008E6E0D">
              <w:rPr>
                <w:bCs/>
                <w:i/>
                <w:color w:val="000000"/>
                <w:sz w:val="16"/>
                <w:szCs w:val="16"/>
              </w:rPr>
              <w:t>LINC00378\MIR3169</w:t>
            </w:r>
          </w:p>
        </w:tc>
        <w:tc>
          <w:tcPr>
            <w:tcW w:w="551" w:type="dxa"/>
            <w:shd w:val="clear" w:color="auto" w:fill="auto"/>
            <w:noWrap/>
            <w:vAlign w:val="center"/>
            <w:hideMark/>
          </w:tcPr>
          <w:p w14:paraId="2665CFF0" w14:textId="77777777" w:rsidR="00F03A73" w:rsidRPr="008E6E0D" w:rsidRDefault="00F03A73" w:rsidP="00DF0344">
            <w:pPr>
              <w:jc w:val="center"/>
              <w:rPr>
                <w:bCs/>
                <w:color w:val="000000"/>
                <w:sz w:val="16"/>
                <w:szCs w:val="16"/>
              </w:rPr>
            </w:pPr>
            <w:r w:rsidRPr="008E6E0D">
              <w:rPr>
                <w:bCs/>
                <w:color w:val="000000"/>
                <w:sz w:val="16"/>
                <w:szCs w:val="16"/>
              </w:rPr>
              <w:t>0.014</w:t>
            </w:r>
          </w:p>
        </w:tc>
        <w:tc>
          <w:tcPr>
            <w:tcW w:w="1351" w:type="dxa"/>
            <w:shd w:val="clear" w:color="auto" w:fill="auto"/>
            <w:noWrap/>
            <w:vAlign w:val="center"/>
            <w:hideMark/>
          </w:tcPr>
          <w:p w14:paraId="2AE6FCAF" w14:textId="77777777" w:rsidR="00F03A73" w:rsidRPr="008E6E0D" w:rsidRDefault="00F03A73" w:rsidP="00DF0344">
            <w:pPr>
              <w:jc w:val="center"/>
              <w:rPr>
                <w:bCs/>
                <w:color w:val="000000"/>
                <w:sz w:val="16"/>
                <w:szCs w:val="16"/>
              </w:rPr>
            </w:pPr>
            <w:r w:rsidRPr="008E6E0D">
              <w:rPr>
                <w:bCs/>
                <w:color w:val="000000"/>
                <w:sz w:val="16"/>
                <w:szCs w:val="16"/>
              </w:rPr>
              <w:t>8.33 (4.1-16.91)</w:t>
            </w:r>
          </w:p>
        </w:tc>
        <w:tc>
          <w:tcPr>
            <w:tcW w:w="935" w:type="dxa"/>
            <w:shd w:val="clear" w:color="auto" w:fill="auto"/>
            <w:noWrap/>
            <w:vAlign w:val="center"/>
            <w:hideMark/>
          </w:tcPr>
          <w:p w14:paraId="7A789EE3" w14:textId="00555FAA" w:rsidR="00F03A73" w:rsidRPr="008E6E0D" w:rsidRDefault="00F03A73" w:rsidP="00DF0344">
            <w:pPr>
              <w:jc w:val="center"/>
              <w:rPr>
                <w:bCs/>
                <w:color w:val="000000"/>
                <w:sz w:val="16"/>
                <w:szCs w:val="16"/>
              </w:rPr>
            </w:pPr>
            <w:r w:rsidRPr="008E6E0D">
              <w:rPr>
                <w:bCs/>
                <w:color w:val="000000"/>
                <w:sz w:val="16"/>
                <w:szCs w:val="16"/>
              </w:rPr>
              <w:t>4.56x10</w:t>
            </w:r>
            <w:r w:rsidRPr="008E6E0D">
              <w:rPr>
                <w:bCs/>
                <w:color w:val="000000"/>
                <w:sz w:val="16"/>
                <w:szCs w:val="16"/>
                <w:vertAlign w:val="superscript"/>
              </w:rPr>
              <w:t>-9</w:t>
            </w:r>
          </w:p>
        </w:tc>
        <w:tc>
          <w:tcPr>
            <w:tcW w:w="1287" w:type="dxa"/>
            <w:shd w:val="clear" w:color="auto" w:fill="auto"/>
            <w:noWrap/>
            <w:vAlign w:val="center"/>
            <w:hideMark/>
          </w:tcPr>
          <w:p w14:paraId="00745817" w14:textId="77777777" w:rsidR="00F03A73" w:rsidRPr="008E6E0D" w:rsidRDefault="00F03A73" w:rsidP="00DF0344">
            <w:pPr>
              <w:jc w:val="center"/>
              <w:rPr>
                <w:bCs/>
                <w:color w:val="000000"/>
                <w:sz w:val="16"/>
                <w:szCs w:val="16"/>
              </w:rPr>
            </w:pPr>
            <w:r w:rsidRPr="008E6E0D">
              <w:rPr>
                <w:bCs/>
                <w:color w:val="000000"/>
                <w:sz w:val="16"/>
                <w:szCs w:val="16"/>
              </w:rPr>
              <w:t>0.68 (0.3-1.52)</w:t>
            </w:r>
          </w:p>
        </w:tc>
        <w:tc>
          <w:tcPr>
            <w:tcW w:w="772" w:type="dxa"/>
            <w:shd w:val="clear" w:color="auto" w:fill="auto"/>
            <w:noWrap/>
            <w:vAlign w:val="center"/>
            <w:hideMark/>
          </w:tcPr>
          <w:p w14:paraId="0A6413F2" w14:textId="77777777" w:rsidR="00F03A73" w:rsidRPr="008E6E0D" w:rsidRDefault="00F03A73" w:rsidP="00DF0344">
            <w:pPr>
              <w:jc w:val="center"/>
              <w:rPr>
                <w:bCs/>
                <w:color w:val="000000"/>
                <w:sz w:val="16"/>
                <w:szCs w:val="16"/>
              </w:rPr>
            </w:pPr>
            <w:r w:rsidRPr="008E6E0D">
              <w:rPr>
                <w:bCs/>
                <w:color w:val="000000"/>
                <w:sz w:val="16"/>
                <w:szCs w:val="16"/>
              </w:rPr>
              <w:t>0.345</w:t>
            </w:r>
          </w:p>
        </w:tc>
        <w:tc>
          <w:tcPr>
            <w:tcW w:w="1287" w:type="dxa"/>
            <w:shd w:val="clear" w:color="auto" w:fill="auto"/>
            <w:noWrap/>
            <w:vAlign w:val="center"/>
            <w:hideMark/>
          </w:tcPr>
          <w:p w14:paraId="3C5DD720" w14:textId="77777777" w:rsidR="00F03A73" w:rsidRPr="008E6E0D" w:rsidRDefault="00F03A73" w:rsidP="00DF0344">
            <w:pPr>
              <w:jc w:val="center"/>
              <w:rPr>
                <w:bCs/>
                <w:color w:val="000000"/>
                <w:sz w:val="16"/>
                <w:szCs w:val="16"/>
              </w:rPr>
            </w:pPr>
            <w:r w:rsidRPr="008E6E0D">
              <w:rPr>
                <w:bCs/>
                <w:color w:val="000000"/>
                <w:sz w:val="16"/>
                <w:szCs w:val="16"/>
              </w:rPr>
              <w:t>2.98 (0.95-9.38)</w:t>
            </w:r>
          </w:p>
        </w:tc>
        <w:tc>
          <w:tcPr>
            <w:tcW w:w="803" w:type="dxa"/>
            <w:gridSpan w:val="2"/>
            <w:shd w:val="clear" w:color="auto" w:fill="auto"/>
            <w:noWrap/>
            <w:vAlign w:val="center"/>
            <w:hideMark/>
          </w:tcPr>
          <w:p w14:paraId="7712AC0B" w14:textId="35D77146" w:rsidR="00F03A73" w:rsidRPr="008E6E0D" w:rsidRDefault="00F03A73" w:rsidP="00DF0344">
            <w:pPr>
              <w:jc w:val="center"/>
              <w:rPr>
                <w:bCs/>
                <w:color w:val="000000"/>
                <w:sz w:val="16"/>
                <w:szCs w:val="16"/>
              </w:rPr>
            </w:pPr>
            <w:r w:rsidRPr="008E6E0D">
              <w:rPr>
                <w:bCs/>
                <w:color w:val="000000"/>
                <w:sz w:val="16"/>
                <w:szCs w:val="16"/>
              </w:rPr>
              <w:t>0.062</w:t>
            </w:r>
          </w:p>
        </w:tc>
        <w:tc>
          <w:tcPr>
            <w:tcW w:w="1351" w:type="dxa"/>
            <w:shd w:val="clear" w:color="auto" w:fill="auto"/>
            <w:noWrap/>
            <w:vAlign w:val="center"/>
            <w:hideMark/>
          </w:tcPr>
          <w:p w14:paraId="225F1A2F" w14:textId="77777777" w:rsidR="00F03A73" w:rsidRPr="008E6E0D" w:rsidRDefault="00F03A73" w:rsidP="00DF0344">
            <w:pPr>
              <w:jc w:val="center"/>
              <w:rPr>
                <w:bCs/>
                <w:color w:val="000000"/>
                <w:sz w:val="16"/>
                <w:szCs w:val="16"/>
              </w:rPr>
            </w:pPr>
            <w:r w:rsidRPr="008E6E0D">
              <w:rPr>
                <w:bCs/>
                <w:color w:val="000000"/>
                <w:sz w:val="16"/>
                <w:szCs w:val="16"/>
              </w:rPr>
              <w:t>2.57 (1.82-13.03)</w:t>
            </w:r>
          </w:p>
        </w:tc>
        <w:tc>
          <w:tcPr>
            <w:tcW w:w="946" w:type="dxa"/>
            <w:shd w:val="clear" w:color="auto" w:fill="auto"/>
            <w:noWrap/>
            <w:vAlign w:val="center"/>
            <w:hideMark/>
          </w:tcPr>
          <w:p w14:paraId="357C3E0A" w14:textId="64367ED2" w:rsidR="00F03A73" w:rsidRPr="008E6E0D" w:rsidRDefault="00F03A73" w:rsidP="00DF0344">
            <w:pPr>
              <w:jc w:val="center"/>
              <w:rPr>
                <w:bCs/>
                <w:color w:val="000000"/>
                <w:sz w:val="16"/>
                <w:szCs w:val="16"/>
              </w:rPr>
            </w:pPr>
            <w:r w:rsidRPr="008E6E0D">
              <w:rPr>
                <w:bCs/>
                <w:color w:val="000000"/>
                <w:sz w:val="16"/>
                <w:szCs w:val="16"/>
              </w:rPr>
              <w:t>4.44x10</w:t>
            </w:r>
            <w:r w:rsidRPr="008E6E0D">
              <w:rPr>
                <w:bCs/>
                <w:color w:val="000000"/>
                <w:sz w:val="16"/>
                <w:szCs w:val="16"/>
                <w:vertAlign w:val="superscript"/>
              </w:rPr>
              <w:t>-8</w:t>
            </w:r>
          </w:p>
        </w:tc>
      </w:tr>
      <w:tr w:rsidR="0084217C" w:rsidRPr="008E6E0D" w14:paraId="23E2EB9B" w14:textId="77777777" w:rsidTr="006249CF">
        <w:trPr>
          <w:trHeight w:val="240"/>
          <w:jc w:val="center"/>
        </w:trPr>
        <w:tc>
          <w:tcPr>
            <w:tcW w:w="1042" w:type="dxa"/>
            <w:shd w:val="clear" w:color="auto" w:fill="auto"/>
            <w:noWrap/>
            <w:vAlign w:val="center"/>
            <w:hideMark/>
          </w:tcPr>
          <w:p w14:paraId="07E438E7" w14:textId="77777777" w:rsidR="00F03A73" w:rsidRPr="008E6E0D" w:rsidRDefault="00F03A73" w:rsidP="00DF0344">
            <w:pPr>
              <w:jc w:val="center"/>
              <w:rPr>
                <w:color w:val="000000"/>
                <w:sz w:val="16"/>
                <w:szCs w:val="16"/>
              </w:rPr>
            </w:pPr>
            <w:r w:rsidRPr="008E6E0D">
              <w:rPr>
                <w:color w:val="000000"/>
                <w:sz w:val="16"/>
                <w:szCs w:val="16"/>
              </w:rPr>
              <w:t>rs113925942</w:t>
            </w:r>
          </w:p>
        </w:tc>
        <w:tc>
          <w:tcPr>
            <w:tcW w:w="1034" w:type="dxa"/>
            <w:shd w:val="clear" w:color="auto" w:fill="auto"/>
            <w:noWrap/>
            <w:vAlign w:val="center"/>
            <w:hideMark/>
          </w:tcPr>
          <w:p w14:paraId="5967BAED" w14:textId="77777777" w:rsidR="00F03A73" w:rsidRPr="008E6E0D" w:rsidRDefault="00F03A73" w:rsidP="00DF0344">
            <w:pPr>
              <w:jc w:val="center"/>
              <w:rPr>
                <w:color w:val="000000"/>
                <w:sz w:val="16"/>
                <w:szCs w:val="16"/>
              </w:rPr>
            </w:pPr>
            <w:r w:rsidRPr="008E6E0D">
              <w:rPr>
                <w:color w:val="000000"/>
                <w:sz w:val="16"/>
                <w:szCs w:val="16"/>
              </w:rPr>
              <w:t>13:93552176</w:t>
            </w:r>
          </w:p>
        </w:tc>
        <w:tc>
          <w:tcPr>
            <w:tcW w:w="599" w:type="dxa"/>
            <w:shd w:val="clear" w:color="auto" w:fill="auto"/>
            <w:noWrap/>
            <w:vAlign w:val="center"/>
            <w:hideMark/>
          </w:tcPr>
          <w:p w14:paraId="7B7AFB19" w14:textId="77777777" w:rsidR="00F03A73" w:rsidRPr="008E6E0D" w:rsidRDefault="00F03A73" w:rsidP="00DF0344">
            <w:pPr>
              <w:jc w:val="center"/>
              <w:rPr>
                <w:color w:val="000000"/>
                <w:sz w:val="16"/>
                <w:szCs w:val="16"/>
              </w:rPr>
            </w:pPr>
            <w:r w:rsidRPr="008E6E0D">
              <w:rPr>
                <w:color w:val="000000"/>
                <w:sz w:val="16"/>
                <w:szCs w:val="16"/>
              </w:rPr>
              <w:t>T/C</w:t>
            </w:r>
          </w:p>
        </w:tc>
        <w:tc>
          <w:tcPr>
            <w:tcW w:w="933" w:type="dxa"/>
            <w:shd w:val="clear" w:color="auto" w:fill="auto"/>
            <w:noWrap/>
            <w:vAlign w:val="center"/>
            <w:hideMark/>
          </w:tcPr>
          <w:p w14:paraId="37FFE897" w14:textId="77777777" w:rsidR="00F03A73" w:rsidRPr="008E6E0D" w:rsidRDefault="00F03A73" w:rsidP="00DF0344">
            <w:pPr>
              <w:jc w:val="center"/>
              <w:rPr>
                <w:color w:val="000000"/>
                <w:sz w:val="16"/>
                <w:szCs w:val="16"/>
              </w:rPr>
            </w:pPr>
            <w:r w:rsidRPr="008E6E0D">
              <w:rPr>
                <w:color w:val="000000"/>
                <w:sz w:val="16"/>
                <w:szCs w:val="16"/>
              </w:rPr>
              <w:t>Intergenic</w:t>
            </w:r>
          </w:p>
        </w:tc>
        <w:tc>
          <w:tcPr>
            <w:tcW w:w="1961" w:type="dxa"/>
            <w:shd w:val="clear" w:color="auto" w:fill="auto"/>
            <w:noWrap/>
            <w:vAlign w:val="center"/>
            <w:hideMark/>
          </w:tcPr>
          <w:p w14:paraId="6F8AC218" w14:textId="77777777" w:rsidR="00F03A73" w:rsidRPr="008E6E0D" w:rsidRDefault="00F03A73" w:rsidP="00DF0344">
            <w:pPr>
              <w:jc w:val="center"/>
              <w:rPr>
                <w:i/>
                <w:color w:val="000000"/>
                <w:sz w:val="16"/>
                <w:szCs w:val="16"/>
              </w:rPr>
            </w:pPr>
            <w:r w:rsidRPr="008E6E0D">
              <w:rPr>
                <w:i/>
                <w:color w:val="000000"/>
                <w:sz w:val="16"/>
                <w:szCs w:val="16"/>
              </w:rPr>
              <w:t>GPC5\LINC00363</w:t>
            </w:r>
          </w:p>
        </w:tc>
        <w:tc>
          <w:tcPr>
            <w:tcW w:w="551" w:type="dxa"/>
            <w:shd w:val="clear" w:color="auto" w:fill="auto"/>
            <w:noWrap/>
            <w:vAlign w:val="center"/>
            <w:hideMark/>
          </w:tcPr>
          <w:p w14:paraId="3944F95F" w14:textId="77777777" w:rsidR="00F03A73" w:rsidRPr="008E6E0D" w:rsidRDefault="00F03A73" w:rsidP="00DF0344">
            <w:pPr>
              <w:jc w:val="center"/>
              <w:rPr>
                <w:color w:val="000000"/>
                <w:sz w:val="16"/>
                <w:szCs w:val="16"/>
              </w:rPr>
            </w:pPr>
            <w:r w:rsidRPr="008E6E0D">
              <w:rPr>
                <w:color w:val="000000"/>
                <w:sz w:val="16"/>
                <w:szCs w:val="16"/>
              </w:rPr>
              <w:t>0.022</w:t>
            </w:r>
          </w:p>
        </w:tc>
        <w:tc>
          <w:tcPr>
            <w:tcW w:w="1351" w:type="dxa"/>
            <w:shd w:val="clear" w:color="auto" w:fill="auto"/>
            <w:noWrap/>
            <w:vAlign w:val="center"/>
            <w:hideMark/>
          </w:tcPr>
          <w:p w14:paraId="261F85A8" w14:textId="77777777" w:rsidR="00F03A73" w:rsidRPr="008E6E0D" w:rsidRDefault="00F03A73" w:rsidP="00DF0344">
            <w:pPr>
              <w:jc w:val="center"/>
              <w:rPr>
                <w:color w:val="000000"/>
                <w:sz w:val="16"/>
                <w:szCs w:val="16"/>
              </w:rPr>
            </w:pPr>
            <w:r w:rsidRPr="008E6E0D">
              <w:rPr>
                <w:color w:val="000000"/>
                <w:sz w:val="16"/>
                <w:szCs w:val="16"/>
              </w:rPr>
              <w:t>4.10 (2.44-6.88)</w:t>
            </w:r>
          </w:p>
        </w:tc>
        <w:tc>
          <w:tcPr>
            <w:tcW w:w="935" w:type="dxa"/>
            <w:shd w:val="clear" w:color="auto" w:fill="auto"/>
            <w:noWrap/>
            <w:vAlign w:val="center"/>
            <w:hideMark/>
          </w:tcPr>
          <w:p w14:paraId="22575733" w14:textId="6643B746" w:rsidR="00F03A73" w:rsidRPr="008E6E0D" w:rsidRDefault="00F03A73" w:rsidP="00DF0344">
            <w:pPr>
              <w:jc w:val="center"/>
              <w:rPr>
                <w:color w:val="000000"/>
                <w:sz w:val="16"/>
                <w:szCs w:val="16"/>
              </w:rPr>
            </w:pPr>
            <w:r w:rsidRPr="008E6E0D">
              <w:rPr>
                <w:color w:val="000000"/>
                <w:sz w:val="16"/>
                <w:szCs w:val="16"/>
              </w:rPr>
              <w:t>9.63x10</w:t>
            </w:r>
            <w:r w:rsidRPr="008E6E0D">
              <w:rPr>
                <w:color w:val="000000"/>
                <w:sz w:val="16"/>
                <w:szCs w:val="16"/>
                <w:vertAlign w:val="superscript"/>
              </w:rPr>
              <w:t>-8</w:t>
            </w:r>
          </w:p>
        </w:tc>
        <w:tc>
          <w:tcPr>
            <w:tcW w:w="1287" w:type="dxa"/>
            <w:shd w:val="clear" w:color="auto" w:fill="auto"/>
            <w:noWrap/>
            <w:vAlign w:val="center"/>
            <w:hideMark/>
          </w:tcPr>
          <w:p w14:paraId="0BB8F8DA" w14:textId="77777777" w:rsidR="00F03A73" w:rsidRPr="008E6E0D" w:rsidRDefault="00F03A73" w:rsidP="00DF0344">
            <w:pPr>
              <w:jc w:val="center"/>
              <w:rPr>
                <w:color w:val="000000"/>
                <w:sz w:val="16"/>
                <w:szCs w:val="16"/>
              </w:rPr>
            </w:pPr>
            <w:r w:rsidRPr="008E6E0D">
              <w:rPr>
                <w:color w:val="000000"/>
                <w:sz w:val="16"/>
                <w:szCs w:val="16"/>
              </w:rPr>
              <w:t>1.10 (0.49-2.46)</w:t>
            </w:r>
          </w:p>
        </w:tc>
        <w:tc>
          <w:tcPr>
            <w:tcW w:w="772" w:type="dxa"/>
            <w:shd w:val="clear" w:color="auto" w:fill="auto"/>
            <w:noWrap/>
            <w:vAlign w:val="center"/>
            <w:hideMark/>
          </w:tcPr>
          <w:p w14:paraId="522F74F2" w14:textId="77777777" w:rsidR="00F03A73" w:rsidRPr="008E6E0D" w:rsidRDefault="00F03A73" w:rsidP="00DF0344">
            <w:pPr>
              <w:jc w:val="center"/>
              <w:rPr>
                <w:color w:val="000000"/>
                <w:sz w:val="16"/>
                <w:szCs w:val="16"/>
              </w:rPr>
            </w:pPr>
            <w:r w:rsidRPr="008E6E0D">
              <w:rPr>
                <w:color w:val="000000"/>
                <w:sz w:val="16"/>
                <w:szCs w:val="16"/>
              </w:rPr>
              <w:t>0.813</w:t>
            </w:r>
          </w:p>
        </w:tc>
        <w:tc>
          <w:tcPr>
            <w:tcW w:w="1287" w:type="dxa"/>
            <w:shd w:val="clear" w:color="auto" w:fill="auto"/>
            <w:noWrap/>
            <w:vAlign w:val="center"/>
            <w:hideMark/>
          </w:tcPr>
          <w:p w14:paraId="01A65923" w14:textId="022D9BCE" w:rsidR="00F03A73" w:rsidRPr="008E6E0D" w:rsidRDefault="007F218C" w:rsidP="00DF0344">
            <w:pPr>
              <w:jc w:val="center"/>
              <w:rPr>
                <w:color w:val="000000"/>
                <w:sz w:val="16"/>
                <w:szCs w:val="16"/>
              </w:rPr>
            </w:pPr>
            <w:r>
              <w:rPr>
                <w:color w:val="000000"/>
                <w:sz w:val="16"/>
                <w:szCs w:val="16"/>
              </w:rPr>
              <w:t>NA</w:t>
            </w:r>
          </w:p>
        </w:tc>
        <w:tc>
          <w:tcPr>
            <w:tcW w:w="803" w:type="dxa"/>
            <w:gridSpan w:val="2"/>
            <w:shd w:val="clear" w:color="auto" w:fill="auto"/>
            <w:noWrap/>
            <w:vAlign w:val="center"/>
            <w:hideMark/>
          </w:tcPr>
          <w:p w14:paraId="65B6326F" w14:textId="202EC7E9" w:rsidR="00F03A73" w:rsidRPr="008E6E0D" w:rsidRDefault="007F218C" w:rsidP="00DF0344">
            <w:pPr>
              <w:jc w:val="center"/>
              <w:rPr>
                <w:color w:val="000000"/>
                <w:sz w:val="16"/>
                <w:szCs w:val="16"/>
              </w:rPr>
            </w:pPr>
            <w:r>
              <w:rPr>
                <w:color w:val="000000"/>
                <w:sz w:val="16"/>
                <w:szCs w:val="16"/>
              </w:rPr>
              <w:t>NA</w:t>
            </w:r>
          </w:p>
        </w:tc>
        <w:tc>
          <w:tcPr>
            <w:tcW w:w="1351" w:type="dxa"/>
            <w:shd w:val="clear" w:color="auto" w:fill="auto"/>
            <w:noWrap/>
            <w:vAlign w:val="center"/>
            <w:hideMark/>
          </w:tcPr>
          <w:p w14:paraId="19B9B84D" w14:textId="4112E2B2" w:rsidR="00F03A73" w:rsidRPr="008E6E0D" w:rsidRDefault="002D0315" w:rsidP="00DF0344">
            <w:pPr>
              <w:jc w:val="center"/>
              <w:rPr>
                <w:color w:val="000000"/>
                <w:sz w:val="16"/>
                <w:szCs w:val="16"/>
              </w:rPr>
            </w:pPr>
            <w:r w:rsidRPr="008E6E0D">
              <w:rPr>
                <w:color w:val="000000"/>
                <w:sz w:val="16"/>
                <w:szCs w:val="16"/>
              </w:rPr>
              <w:t>2.21 (1.59-3.07)</w:t>
            </w:r>
          </w:p>
        </w:tc>
        <w:tc>
          <w:tcPr>
            <w:tcW w:w="946" w:type="dxa"/>
            <w:shd w:val="clear" w:color="auto" w:fill="auto"/>
            <w:noWrap/>
            <w:vAlign w:val="center"/>
            <w:hideMark/>
          </w:tcPr>
          <w:p w14:paraId="04E0171A" w14:textId="6D3B0093" w:rsidR="00F03A73" w:rsidRPr="008E6E0D" w:rsidRDefault="00EB69D9" w:rsidP="00DF0344">
            <w:pPr>
              <w:jc w:val="center"/>
              <w:rPr>
                <w:color w:val="000000"/>
                <w:sz w:val="16"/>
                <w:szCs w:val="16"/>
              </w:rPr>
            </w:pPr>
            <w:r w:rsidRPr="008E6E0D">
              <w:rPr>
                <w:color w:val="000000"/>
                <w:sz w:val="16"/>
                <w:szCs w:val="16"/>
              </w:rPr>
              <w:t>1.34x10</w:t>
            </w:r>
            <w:r w:rsidRPr="008E6E0D">
              <w:rPr>
                <w:color w:val="000000"/>
                <w:sz w:val="16"/>
                <w:szCs w:val="16"/>
                <w:vertAlign w:val="superscript"/>
              </w:rPr>
              <w:t>-6</w:t>
            </w:r>
            <w:r w:rsidR="008A41C7" w:rsidRPr="008E6E0D">
              <w:rPr>
                <w:color w:val="000000"/>
                <w:sz w:val="16"/>
                <w:szCs w:val="16"/>
              </w:rPr>
              <w:t>*</w:t>
            </w:r>
          </w:p>
        </w:tc>
      </w:tr>
      <w:tr w:rsidR="0084217C" w:rsidRPr="008E6E0D" w14:paraId="56F0A254" w14:textId="77777777" w:rsidTr="006249CF">
        <w:trPr>
          <w:trHeight w:val="240"/>
          <w:jc w:val="center"/>
        </w:trPr>
        <w:tc>
          <w:tcPr>
            <w:tcW w:w="1042" w:type="dxa"/>
            <w:shd w:val="clear" w:color="auto" w:fill="auto"/>
            <w:noWrap/>
            <w:vAlign w:val="center"/>
            <w:hideMark/>
          </w:tcPr>
          <w:p w14:paraId="537564C3" w14:textId="77777777" w:rsidR="00F03A73" w:rsidRPr="008E6E0D" w:rsidRDefault="00F03A73" w:rsidP="00DF0344">
            <w:pPr>
              <w:jc w:val="center"/>
              <w:rPr>
                <w:color w:val="000000"/>
                <w:sz w:val="16"/>
                <w:szCs w:val="16"/>
              </w:rPr>
            </w:pPr>
            <w:r w:rsidRPr="008E6E0D">
              <w:rPr>
                <w:color w:val="000000"/>
                <w:sz w:val="16"/>
                <w:szCs w:val="16"/>
              </w:rPr>
              <w:t>rs183364907</w:t>
            </w:r>
          </w:p>
        </w:tc>
        <w:tc>
          <w:tcPr>
            <w:tcW w:w="1034" w:type="dxa"/>
            <w:shd w:val="clear" w:color="auto" w:fill="auto"/>
            <w:noWrap/>
            <w:vAlign w:val="center"/>
            <w:hideMark/>
          </w:tcPr>
          <w:p w14:paraId="59A7634E" w14:textId="77777777" w:rsidR="00F03A73" w:rsidRPr="008E6E0D" w:rsidRDefault="00F03A73" w:rsidP="00DF0344">
            <w:pPr>
              <w:jc w:val="center"/>
              <w:rPr>
                <w:color w:val="000000"/>
                <w:sz w:val="16"/>
                <w:szCs w:val="16"/>
              </w:rPr>
            </w:pPr>
            <w:r w:rsidRPr="008E6E0D">
              <w:rPr>
                <w:color w:val="000000"/>
                <w:sz w:val="16"/>
                <w:szCs w:val="16"/>
              </w:rPr>
              <w:t>14:58109460</w:t>
            </w:r>
          </w:p>
        </w:tc>
        <w:tc>
          <w:tcPr>
            <w:tcW w:w="599" w:type="dxa"/>
            <w:shd w:val="clear" w:color="auto" w:fill="auto"/>
            <w:noWrap/>
            <w:vAlign w:val="center"/>
            <w:hideMark/>
          </w:tcPr>
          <w:p w14:paraId="059998B5" w14:textId="77777777" w:rsidR="00F03A73" w:rsidRPr="008E6E0D" w:rsidRDefault="00F03A73" w:rsidP="00DF0344">
            <w:pPr>
              <w:jc w:val="center"/>
              <w:rPr>
                <w:color w:val="000000"/>
                <w:sz w:val="16"/>
                <w:szCs w:val="16"/>
              </w:rPr>
            </w:pPr>
            <w:r w:rsidRPr="008E6E0D">
              <w:rPr>
                <w:color w:val="000000"/>
                <w:sz w:val="16"/>
                <w:szCs w:val="16"/>
              </w:rPr>
              <w:t>A/T</w:t>
            </w:r>
          </w:p>
        </w:tc>
        <w:tc>
          <w:tcPr>
            <w:tcW w:w="933" w:type="dxa"/>
            <w:shd w:val="clear" w:color="auto" w:fill="auto"/>
            <w:noWrap/>
            <w:vAlign w:val="center"/>
            <w:hideMark/>
          </w:tcPr>
          <w:p w14:paraId="70840469" w14:textId="77777777" w:rsidR="00F03A73" w:rsidRPr="008E6E0D" w:rsidRDefault="00F03A73" w:rsidP="00DF0344">
            <w:pPr>
              <w:jc w:val="center"/>
              <w:rPr>
                <w:color w:val="000000"/>
                <w:sz w:val="16"/>
                <w:szCs w:val="16"/>
              </w:rPr>
            </w:pPr>
            <w:r w:rsidRPr="008E6E0D">
              <w:rPr>
                <w:color w:val="000000"/>
                <w:sz w:val="16"/>
                <w:szCs w:val="16"/>
              </w:rPr>
              <w:t>Intronic</w:t>
            </w:r>
          </w:p>
        </w:tc>
        <w:tc>
          <w:tcPr>
            <w:tcW w:w="1961" w:type="dxa"/>
            <w:shd w:val="clear" w:color="auto" w:fill="auto"/>
            <w:noWrap/>
            <w:vAlign w:val="center"/>
            <w:hideMark/>
          </w:tcPr>
          <w:p w14:paraId="13AA13E1" w14:textId="77777777" w:rsidR="00F03A73" w:rsidRPr="008E6E0D" w:rsidRDefault="00F03A73" w:rsidP="00DF0344">
            <w:pPr>
              <w:jc w:val="center"/>
              <w:rPr>
                <w:i/>
                <w:color w:val="000000"/>
                <w:sz w:val="16"/>
                <w:szCs w:val="16"/>
              </w:rPr>
            </w:pPr>
            <w:r w:rsidRPr="008E6E0D">
              <w:rPr>
                <w:i/>
                <w:color w:val="000000"/>
                <w:sz w:val="16"/>
                <w:szCs w:val="16"/>
              </w:rPr>
              <w:t>SLC35F4</w:t>
            </w:r>
          </w:p>
        </w:tc>
        <w:tc>
          <w:tcPr>
            <w:tcW w:w="551" w:type="dxa"/>
            <w:shd w:val="clear" w:color="auto" w:fill="auto"/>
            <w:noWrap/>
            <w:vAlign w:val="center"/>
            <w:hideMark/>
          </w:tcPr>
          <w:p w14:paraId="7EC94938" w14:textId="77777777" w:rsidR="00F03A73" w:rsidRPr="008E6E0D" w:rsidRDefault="00F03A73" w:rsidP="00DF0344">
            <w:pPr>
              <w:jc w:val="center"/>
              <w:rPr>
                <w:color w:val="000000"/>
                <w:sz w:val="16"/>
                <w:szCs w:val="16"/>
              </w:rPr>
            </w:pPr>
            <w:r w:rsidRPr="008E6E0D">
              <w:rPr>
                <w:color w:val="000000"/>
                <w:sz w:val="16"/>
                <w:szCs w:val="16"/>
              </w:rPr>
              <w:t>0.011</w:t>
            </w:r>
          </w:p>
        </w:tc>
        <w:tc>
          <w:tcPr>
            <w:tcW w:w="1351" w:type="dxa"/>
            <w:shd w:val="clear" w:color="auto" w:fill="auto"/>
            <w:noWrap/>
            <w:vAlign w:val="center"/>
            <w:hideMark/>
          </w:tcPr>
          <w:p w14:paraId="0B0AE92D" w14:textId="77777777" w:rsidR="00F03A73" w:rsidRPr="008E6E0D" w:rsidRDefault="00F03A73" w:rsidP="00DF0344">
            <w:pPr>
              <w:jc w:val="center"/>
              <w:rPr>
                <w:color w:val="000000"/>
                <w:sz w:val="16"/>
                <w:szCs w:val="16"/>
              </w:rPr>
            </w:pPr>
            <w:r w:rsidRPr="008E6E0D">
              <w:rPr>
                <w:color w:val="000000"/>
                <w:sz w:val="16"/>
                <w:szCs w:val="16"/>
              </w:rPr>
              <w:t>7.40 (3.55-15.45)</w:t>
            </w:r>
          </w:p>
        </w:tc>
        <w:tc>
          <w:tcPr>
            <w:tcW w:w="935" w:type="dxa"/>
            <w:shd w:val="clear" w:color="auto" w:fill="auto"/>
            <w:noWrap/>
            <w:vAlign w:val="center"/>
            <w:hideMark/>
          </w:tcPr>
          <w:p w14:paraId="3CA01254" w14:textId="00CFE701" w:rsidR="00F03A73" w:rsidRPr="008E6E0D" w:rsidRDefault="00F03A73" w:rsidP="00DF0344">
            <w:pPr>
              <w:jc w:val="center"/>
              <w:rPr>
                <w:color w:val="000000"/>
                <w:sz w:val="16"/>
                <w:szCs w:val="16"/>
              </w:rPr>
            </w:pPr>
            <w:r w:rsidRPr="008E6E0D">
              <w:rPr>
                <w:color w:val="000000"/>
                <w:sz w:val="16"/>
                <w:szCs w:val="16"/>
              </w:rPr>
              <w:t>9.7</w:t>
            </w:r>
            <w:r w:rsidR="00CC1BC5" w:rsidRPr="008E6E0D">
              <w:rPr>
                <w:color w:val="000000"/>
                <w:sz w:val="16"/>
                <w:szCs w:val="16"/>
              </w:rPr>
              <w:t>9</w:t>
            </w:r>
            <w:r w:rsidRPr="008E6E0D">
              <w:rPr>
                <w:color w:val="000000"/>
                <w:sz w:val="16"/>
                <w:szCs w:val="16"/>
              </w:rPr>
              <w:t>x10</w:t>
            </w:r>
            <w:r w:rsidRPr="008E6E0D">
              <w:rPr>
                <w:color w:val="000000"/>
                <w:sz w:val="16"/>
                <w:szCs w:val="16"/>
                <w:vertAlign w:val="superscript"/>
              </w:rPr>
              <w:t>-8</w:t>
            </w:r>
          </w:p>
        </w:tc>
        <w:tc>
          <w:tcPr>
            <w:tcW w:w="1287" w:type="dxa"/>
            <w:shd w:val="clear" w:color="auto" w:fill="auto"/>
            <w:noWrap/>
            <w:vAlign w:val="center"/>
            <w:hideMark/>
          </w:tcPr>
          <w:p w14:paraId="63EBF615" w14:textId="77777777" w:rsidR="00F03A73" w:rsidRPr="008E6E0D" w:rsidRDefault="00F03A73" w:rsidP="00DF0344">
            <w:pPr>
              <w:jc w:val="center"/>
              <w:rPr>
                <w:color w:val="000000"/>
                <w:sz w:val="16"/>
                <w:szCs w:val="16"/>
              </w:rPr>
            </w:pPr>
            <w:r w:rsidRPr="008E6E0D">
              <w:rPr>
                <w:color w:val="000000"/>
                <w:sz w:val="16"/>
                <w:szCs w:val="16"/>
              </w:rPr>
              <w:t>0.54 (0.22-1.3)</w:t>
            </w:r>
          </w:p>
        </w:tc>
        <w:tc>
          <w:tcPr>
            <w:tcW w:w="772" w:type="dxa"/>
            <w:shd w:val="clear" w:color="auto" w:fill="auto"/>
            <w:noWrap/>
            <w:vAlign w:val="center"/>
            <w:hideMark/>
          </w:tcPr>
          <w:p w14:paraId="6E4C6E19" w14:textId="77777777" w:rsidR="00F03A73" w:rsidRPr="008E6E0D" w:rsidRDefault="00F03A73" w:rsidP="00DF0344">
            <w:pPr>
              <w:jc w:val="center"/>
              <w:rPr>
                <w:color w:val="000000"/>
                <w:sz w:val="16"/>
                <w:szCs w:val="16"/>
              </w:rPr>
            </w:pPr>
            <w:r w:rsidRPr="008E6E0D">
              <w:rPr>
                <w:color w:val="000000"/>
                <w:sz w:val="16"/>
                <w:szCs w:val="16"/>
              </w:rPr>
              <w:t>0.171</w:t>
            </w:r>
          </w:p>
        </w:tc>
        <w:tc>
          <w:tcPr>
            <w:tcW w:w="1287" w:type="dxa"/>
            <w:shd w:val="clear" w:color="auto" w:fill="auto"/>
            <w:noWrap/>
            <w:vAlign w:val="center"/>
            <w:hideMark/>
          </w:tcPr>
          <w:p w14:paraId="0528B98F" w14:textId="4289F15A" w:rsidR="00F03A73" w:rsidRPr="008E6E0D" w:rsidRDefault="00EB69D9" w:rsidP="00DF0344">
            <w:pPr>
              <w:jc w:val="center"/>
              <w:rPr>
                <w:color w:val="000000"/>
                <w:sz w:val="16"/>
                <w:szCs w:val="16"/>
              </w:rPr>
            </w:pPr>
            <w:r w:rsidRPr="008E6E0D">
              <w:rPr>
                <w:color w:val="000000"/>
                <w:sz w:val="16"/>
                <w:szCs w:val="16"/>
              </w:rPr>
              <w:t>2.88x10</w:t>
            </w:r>
            <w:r w:rsidRPr="008E6E0D">
              <w:rPr>
                <w:color w:val="000000"/>
                <w:sz w:val="16"/>
                <w:szCs w:val="16"/>
                <w:vertAlign w:val="superscript"/>
              </w:rPr>
              <w:t>-7</w:t>
            </w:r>
            <w:r w:rsidR="00981A97" w:rsidRPr="008E6E0D">
              <w:rPr>
                <w:color w:val="000000"/>
                <w:sz w:val="16"/>
                <w:szCs w:val="16"/>
              </w:rPr>
              <w:t xml:space="preserve"> </w:t>
            </w:r>
            <w:r w:rsidR="00F03A73" w:rsidRPr="008E6E0D">
              <w:rPr>
                <w:color w:val="000000"/>
                <w:sz w:val="16"/>
                <w:szCs w:val="16"/>
              </w:rPr>
              <w:t>(0-Inf)</w:t>
            </w:r>
          </w:p>
        </w:tc>
        <w:tc>
          <w:tcPr>
            <w:tcW w:w="803" w:type="dxa"/>
            <w:gridSpan w:val="2"/>
            <w:shd w:val="clear" w:color="auto" w:fill="auto"/>
            <w:noWrap/>
            <w:vAlign w:val="center"/>
            <w:hideMark/>
          </w:tcPr>
          <w:p w14:paraId="06635BD3" w14:textId="77777777" w:rsidR="00F03A73" w:rsidRPr="008E6E0D" w:rsidRDefault="00F03A73" w:rsidP="00DF0344">
            <w:pPr>
              <w:jc w:val="center"/>
              <w:rPr>
                <w:color w:val="000000"/>
                <w:sz w:val="16"/>
                <w:szCs w:val="16"/>
              </w:rPr>
            </w:pPr>
            <w:r w:rsidRPr="008E6E0D">
              <w:rPr>
                <w:color w:val="000000"/>
                <w:sz w:val="16"/>
                <w:szCs w:val="16"/>
              </w:rPr>
              <w:t>0.992</w:t>
            </w:r>
          </w:p>
        </w:tc>
        <w:tc>
          <w:tcPr>
            <w:tcW w:w="1351" w:type="dxa"/>
            <w:shd w:val="clear" w:color="auto" w:fill="auto"/>
            <w:noWrap/>
            <w:vAlign w:val="center"/>
            <w:hideMark/>
          </w:tcPr>
          <w:p w14:paraId="2CC65BF6" w14:textId="15FBA7D5" w:rsidR="00F03A73" w:rsidRPr="008E6E0D" w:rsidRDefault="002D0315" w:rsidP="00DF0344">
            <w:pPr>
              <w:jc w:val="center"/>
              <w:rPr>
                <w:color w:val="000000"/>
                <w:sz w:val="16"/>
                <w:szCs w:val="16"/>
              </w:rPr>
            </w:pPr>
            <w:r w:rsidRPr="008E6E0D">
              <w:rPr>
                <w:color w:val="000000"/>
                <w:sz w:val="16"/>
                <w:szCs w:val="16"/>
              </w:rPr>
              <w:t>2.02 (1.51-2.72)</w:t>
            </w:r>
          </w:p>
        </w:tc>
        <w:tc>
          <w:tcPr>
            <w:tcW w:w="946" w:type="dxa"/>
            <w:shd w:val="clear" w:color="auto" w:fill="auto"/>
            <w:noWrap/>
            <w:vAlign w:val="center"/>
            <w:hideMark/>
          </w:tcPr>
          <w:p w14:paraId="50C2A995" w14:textId="3E85A2FC" w:rsidR="00F03A73" w:rsidRPr="008E6E0D" w:rsidRDefault="002D0315" w:rsidP="00DF0344">
            <w:pPr>
              <w:jc w:val="center"/>
              <w:rPr>
                <w:color w:val="000000"/>
                <w:sz w:val="16"/>
                <w:szCs w:val="16"/>
              </w:rPr>
            </w:pPr>
            <w:r w:rsidRPr="008E6E0D">
              <w:rPr>
                <w:color w:val="000000"/>
                <w:sz w:val="16"/>
                <w:szCs w:val="16"/>
              </w:rPr>
              <w:t>1.41</w:t>
            </w:r>
            <w:r w:rsidR="005D2513" w:rsidRPr="008E6E0D">
              <w:rPr>
                <w:color w:val="000000"/>
                <w:sz w:val="16"/>
                <w:szCs w:val="16"/>
              </w:rPr>
              <w:t>x10</w:t>
            </w:r>
            <w:r w:rsidR="005D2513" w:rsidRPr="008E6E0D">
              <w:rPr>
                <w:color w:val="000000"/>
                <w:sz w:val="16"/>
                <w:szCs w:val="16"/>
                <w:vertAlign w:val="superscript"/>
              </w:rPr>
              <w:t>-6</w:t>
            </w:r>
          </w:p>
        </w:tc>
      </w:tr>
      <w:tr w:rsidR="0084217C" w:rsidRPr="008E6E0D" w14:paraId="28AB5F7F" w14:textId="77777777" w:rsidTr="006249CF">
        <w:trPr>
          <w:trHeight w:val="240"/>
          <w:jc w:val="center"/>
        </w:trPr>
        <w:tc>
          <w:tcPr>
            <w:tcW w:w="1042" w:type="dxa"/>
            <w:shd w:val="clear" w:color="auto" w:fill="auto"/>
            <w:noWrap/>
            <w:vAlign w:val="center"/>
            <w:hideMark/>
          </w:tcPr>
          <w:p w14:paraId="68904B40" w14:textId="77777777" w:rsidR="00F03A73" w:rsidRPr="008E6E0D" w:rsidRDefault="00F03A73" w:rsidP="00DF0344">
            <w:pPr>
              <w:jc w:val="center"/>
              <w:rPr>
                <w:color w:val="000000"/>
                <w:sz w:val="16"/>
                <w:szCs w:val="16"/>
              </w:rPr>
            </w:pPr>
            <w:r w:rsidRPr="008E6E0D">
              <w:rPr>
                <w:color w:val="000000"/>
                <w:sz w:val="16"/>
                <w:szCs w:val="16"/>
              </w:rPr>
              <w:t>rs146077854</w:t>
            </w:r>
          </w:p>
        </w:tc>
        <w:tc>
          <w:tcPr>
            <w:tcW w:w="1034" w:type="dxa"/>
            <w:shd w:val="clear" w:color="auto" w:fill="auto"/>
            <w:noWrap/>
            <w:vAlign w:val="center"/>
            <w:hideMark/>
          </w:tcPr>
          <w:p w14:paraId="02A3D52F" w14:textId="77777777" w:rsidR="00F03A73" w:rsidRPr="008E6E0D" w:rsidRDefault="00F03A73" w:rsidP="00DF0344">
            <w:pPr>
              <w:jc w:val="center"/>
              <w:rPr>
                <w:color w:val="000000"/>
                <w:sz w:val="16"/>
                <w:szCs w:val="16"/>
              </w:rPr>
            </w:pPr>
            <w:r w:rsidRPr="008E6E0D">
              <w:rPr>
                <w:color w:val="000000"/>
                <w:sz w:val="16"/>
                <w:szCs w:val="16"/>
              </w:rPr>
              <w:t>17:14555200</w:t>
            </w:r>
          </w:p>
        </w:tc>
        <w:tc>
          <w:tcPr>
            <w:tcW w:w="599" w:type="dxa"/>
            <w:shd w:val="clear" w:color="auto" w:fill="auto"/>
            <w:noWrap/>
            <w:vAlign w:val="center"/>
            <w:hideMark/>
          </w:tcPr>
          <w:p w14:paraId="62361402" w14:textId="77777777" w:rsidR="00F03A73" w:rsidRPr="008E6E0D" w:rsidRDefault="00F03A73" w:rsidP="00DF0344">
            <w:pPr>
              <w:jc w:val="center"/>
              <w:rPr>
                <w:color w:val="000000"/>
                <w:sz w:val="16"/>
                <w:szCs w:val="16"/>
              </w:rPr>
            </w:pPr>
            <w:r w:rsidRPr="008E6E0D">
              <w:rPr>
                <w:color w:val="000000"/>
                <w:sz w:val="16"/>
                <w:szCs w:val="16"/>
              </w:rPr>
              <w:t>G/A</w:t>
            </w:r>
          </w:p>
        </w:tc>
        <w:tc>
          <w:tcPr>
            <w:tcW w:w="933" w:type="dxa"/>
            <w:shd w:val="clear" w:color="auto" w:fill="auto"/>
            <w:noWrap/>
            <w:vAlign w:val="center"/>
            <w:hideMark/>
          </w:tcPr>
          <w:p w14:paraId="4FAA89D0" w14:textId="77777777" w:rsidR="00F03A73" w:rsidRPr="008E6E0D" w:rsidRDefault="00F03A73" w:rsidP="00DF0344">
            <w:pPr>
              <w:jc w:val="center"/>
              <w:rPr>
                <w:color w:val="000000"/>
                <w:sz w:val="16"/>
                <w:szCs w:val="16"/>
              </w:rPr>
            </w:pPr>
            <w:r w:rsidRPr="008E6E0D">
              <w:rPr>
                <w:color w:val="000000"/>
                <w:sz w:val="16"/>
                <w:szCs w:val="16"/>
              </w:rPr>
              <w:t>Intergenic</w:t>
            </w:r>
          </w:p>
        </w:tc>
        <w:tc>
          <w:tcPr>
            <w:tcW w:w="1961" w:type="dxa"/>
            <w:shd w:val="clear" w:color="auto" w:fill="auto"/>
            <w:noWrap/>
            <w:vAlign w:val="center"/>
            <w:hideMark/>
          </w:tcPr>
          <w:p w14:paraId="5C75CF6C" w14:textId="77777777" w:rsidR="00F03A73" w:rsidRPr="008E6E0D" w:rsidRDefault="00F03A73" w:rsidP="00DF0344">
            <w:pPr>
              <w:jc w:val="center"/>
              <w:rPr>
                <w:i/>
                <w:color w:val="000000"/>
                <w:sz w:val="16"/>
                <w:szCs w:val="16"/>
              </w:rPr>
            </w:pPr>
            <w:r w:rsidRPr="008E6E0D">
              <w:rPr>
                <w:i/>
                <w:color w:val="000000"/>
                <w:sz w:val="16"/>
                <w:szCs w:val="16"/>
              </w:rPr>
              <w:t>HS3ST3B1\LOC101928475</w:t>
            </w:r>
          </w:p>
        </w:tc>
        <w:tc>
          <w:tcPr>
            <w:tcW w:w="551" w:type="dxa"/>
            <w:shd w:val="clear" w:color="auto" w:fill="auto"/>
            <w:noWrap/>
            <w:vAlign w:val="center"/>
            <w:hideMark/>
          </w:tcPr>
          <w:p w14:paraId="2EA33A6D" w14:textId="77777777" w:rsidR="00F03A73" w:rsidRPr="008E6E0D" w:rsidRDefault="00F03A73" w:rsidP="00DF0344">
            <w:pPr>
              <w:jc w:val="center"/>
              <w:rPr>
                <w:color w:val="000000"/>
                <w:sz w:val="16"/>
                <w:szCs w:val="16"/>
              </w:rPr>
            </w:pPr>
            <w:r w:rsidRPr="008E6E0D">
              <w:rPr>
                <w:color w:val="000000"/>
                <w:sz w:val="16"/>
                <w:szCs w:val="16"/>
              </w:rPr>
              <w:t>0.010</w:t>
            </w:r>
          </w:p>
        </w:tc>
        <w:tc>
          <w:tcPr>
            <w:tcW w:w="1351" w:type="dxa"/>
            <w:shd w:val="clear" w:color="auto" w:fill="auto"/>
            <w:noWrap/>
            <w:vAlign w:val="center"/>
            <w:hideMark/>
          </w:tcPr>
          <w:p w14:paraId="4705396B" w14:textId="77777777" w:rsidR="00F03A73" w:rsidRPr="008E6E0D" w:rsidRDefault="00F03A73" w:rsidP="00DF0344">
            <w:pPr>
              <w:jc w:val="center"/>
              <w:rPr>
                <w:color w:val="000000"/>
                <w:sz w:val="16"/>
                <w:szCs w:val="16"/>
              </w:rPr>
            </w:pPr>
            <w:r w:rsidRPr="008E6E0D">
              <w:rPr>
                <w:color w:val="000000"/>
                <w:sz w:val="16"/>
                <w:szCs w:val="16"/>
              </w:rPr>
              <w:t>7.25 (3.36-15.67)</w:t>
            </w:r>
          </w:p>
        </w:tc>
        <w:tc>
          <w:tcPr>
            <w:tcW w:w="935" w:type="dxa"/>
            <w:shd w:val="clear" w:color="auto" w:fill="auto"/>
            <w:noWrap/>
            <w:vAlign w:val="center"/>
            <w:hideMark/>
          </w:tcPr>
          <w:p w14:paraId="2E78A533" w14:textId="42DDD360" w:rsidR="00F03A73" w:rsidRPr="008E6E0D" w:rsidRDefault="00F03A73" w:rsidP="00DF0344">
            <w:pPr>
              <w:jc w:val="center"/>
              <w:rPr>
                <w:color w:val="000000"/>
                <w:sz w:val="16"/>
                <w:szCs w:val="16"/>
              </w:rPr>
            </w:pPr>
            <w:r w:rsidRPr="008E6E0D">
              <w:rPr>
                <w:color w:val="000000"/>
                <w:sz w:val="16"/>
                <w:szCs w:val="16"/>
              </w:rPr>
              <w:t>4.65x10</w:t>
            </w:r>
            <w:r w:rsidRPr="008E6E0D">
              <w:rPr>
                <w:color w:val="000000"/>
                <w:sz w:val="16"/>
                <w:szCs w:val="16"/>
                <w:vertAlign w:val="superscript"/>
              </w:rPr>
              <w:t>-7</w:t>
            </w:r>
          </w:p>
        </w:tc>
        <w:tc>
          <w:tcPr>
            <w:tcW w:w="1287" w:type="dxa"/>
            <w:shd w:val="clear" w:color="auto" w:fill="auto"/>
            <w:noWrap/>
            <w:vAlign w:val="center"/>
            <w:hideMark/>
          </w:tcPr>
          <w:p w14:paraId="65665B82" w14:textId="2F455350" w:rsidR="00F03A73" w:rsidRPr="008E6E0D" w:rsidRDefault="007F218C" w:rsidP="00DF0344">
            <w:pPr>
              <w:jc w:val="center"/>
              <w:rPr>
                <w:color w:val="000000"/>
                <w:sz w:val="16"/>
                <w:szCs w:val="16"/>
              </w:rPr>
            </w:pPr>
            <w:r>
              <w:rPr>
                <w:color w:val="000000"/>
                <w:sz w:val="16"/>
                <w:szCs w:val="16"/>
              </w:rPr>
              <w:t>NA</w:t>
            </w:r>
          </w:p>
        </w:tc>
        <w:tc>
          <w:tcPr>
            <w:tcW w:w="772" w:type="dxa"/>
            <w:shd w:val="clear" w:color="auto" w:fill="auto"/>
            <w:noWrap/>
            <w:vAlign w:val="center"/>
            <w:hideMark/>
          </w:tcPr>
          <w:p w14:paraId="22D17D18" w14:textId="7F971776" w:rsidR="00F03A73" w:rsidRPr="008E6E0D" w:rsidRDefault="007F218C" w:rsidP="00DF0344">
            <w:pPr>
              <w:jc w:val="center"/>
              <w:rPr>
                <w:color w:val="000000"/>
                <w:sz w:val="16"/>
                <w:szCs w:val="16"/>
              </w:rPr>
            </w:pPr>
            <w:r>
              <w:rPr>
                <w:color w:val="000000"/>
                <w:sz w:val="16"/>
                <w:szCs w:val="16"/>
              </w:rPr>
              <w:t>NA</w:t>
            </w:r>
          </w:p>
        </w:tc>
        <w:tc>
          <w:tcPr>
            <w:tcW w:w="1287" w:type="dxa"/>
            <w:shd w:val="clear" w:color="auto" w:fill="auto"/>
            <w:noWrap/>
            <w:vAlign w:val="center"/>
            <w:hideMark/>
          </w:tcPr>
          <w:p w14:paraId="59B8C6A7" w14:textId="522DC849" w:rsidR="00F03A73" w:rsidRPr="008E6E0D" w:rsidRDefault="007F218C" w:rsidP="00DF0344">
            <w:pPr>
              <w:jc w:val="center"/>
              <w:rPr>
                <w:color w:val="000000"/>
                <w:sz w:val="16"/>
                <w:szCs w:val="16"/>
              </w:rPr>
            </w:pPr>
            <w:r>
              <w:rPr>
                <w:color w:val="000000"/>
                <w:sz w:val="16"/>
                <w:szCs w:val="16"/>
              </w:rPr>
              <w:t>NA</w:t>
            </w:r>
          </w:p>
        </w:tc>
        <w:tc>
          <w:tcPr>
            <w:tcW w:w="803" w:type="dxa"/>
            <w:gridSpan w:val="2"/>
            <w:shd w:val="clear" w:color="auto" w:fill="auto"/>
            <w:noWrap/>
            <w:vAlign w:val="center"/>
            <w:hideMark/>
          </w:tcPr>
          <w:p w14:paraId="20A9D2B5" w14:textId="6AEA32D3" w:rsidR="00F03A73" w:rsidRPr="008E6E0D" w:rsidRDefault="007F218C" w:rsidP="00DF0344">
            <w:pPr>
              <w:jc w:val="center"/>
              <w:rPr>
                <w:color w:val="000000"/>
                <w:sz w:val="16"/>
                <w:szCs w:val="16"/>
              </w:rPr>
            </w:pPr>
            <w:r>
              <w:rPr>
                <w:color w:val="000000"/>
                <w:sz w:val="16"/>
                <w:szCs w:val="16"/>
              </w:rPr>
              <w:t>NA</w:t>
            </w:r>
          </w:p>
        </w:tc>
        <w:tc>
          <w:tcPr>
            <w:tcW w:w="1351" w:type="dxa"/>
            <w:shd w:val="clear" w:color="auto" w:fill="auto"/>
            <w:noWrap/>
            <w:vAlign w:val="center"/>
            <w:hideMark/>
          </w:tcPr>
          <w:p w14:paraId="2E051BA8" w14:textId="4387FA03" w:rsidR="00F03A73" w:rsidRPr="008E6E0D" w:rsidRDefault="007F218C" w:rsidP="00DF0344">
            <w:pPr>
              <w:jc w:val="center"/>
              <w:rPr>
                <w:color w:val="000000"/>
                <w:sz w:val="16"/>
                <w:szCs w:val="16"/>
              </w:rPr>
            </w:pPr>
            <w:r>
              <w:rPr>
                <w:color w:val="000000"/>
                <w:sz w:val="16"/>
                <w:szCs w:val="16"/>
              </w:rPr>
              <w:t>NA</w:t>
            </w:r>
          </w:p>
        </w:tc>
        <w:tc>
          <w:tcPr>
            <w:tcW w:w="946" w:type="dxa"/>
            <w:shd w:val="clear" w:color="auto" w:fill="auto"/>
            <w:noWrap/>
            <w:vAlign w:val="center"/>
            <w:hideMark/>
          </w:tcPr>
          <w:p w14:paraId="1502D4D3" w14:textId="4C40C8D1" w:rsidR="00F03A73" w:rsidRPr="008E6E0D" w:rsidRDefault="007F218C" w:rsidP="00DF0344">
            <w:pPr>
              <w:jc w:val="center"/>
              <w:rPr>
                <w:color w:val="000000"/>
                <w:sz w:val="16"/>
                <w:szCs w:val="16"/>
              </w:rPr>
            </w:pPr>
            <w:r>
              <w:rPr>
                <w:color w:val="000000"/>
                <w:sz w:val="16"/>
                <w:szCs w:val="16"/>
              </w:rPr>
              <w:t>NA</w:t>
            </w:r>
          </w:p>
        </w:tc>
      </w:tr>
      <w:tr w:rsidR="0084217C" w:rsidRPr="008E6E0D" w14:paraId="46D0604F" w14:textId="77777777" w:rsidTr="006249CF">
        <w:trPr>
          <w:trHeight w:val="240"/>
          <w:jc w:val="center"/>
        </w:trPr>
        <w:tc>
          <w:tcPr>
            <w:tcW w:w="1042" w:type="dxa"/>
            <w:tcBorders>
              <w:bottom w:val="single" w:sz="4" w:space="0" w:color="auto"/>
            </w:tcBorders>
            <w:shd w:val="clear" w:color="auto" w:fill="auto"/>
            <w:noWrap/>
            <w:vAlign w:val="center"/>
            <w:hideMark/>
          </w:tcPr>
          <w:p w14:paraId="517B517E" w14:textId="77777777" w:rsidR="00F03A73" w:rsidRPr="008E6E0D" w:rsidRDefault="00F03A73" w:rsidP="00DF0344">
            <w:pPr>
              <w:jc w:val="center"/>
              <w:rPr>
                <w:color w:val="000000"/>
                <w:sz w:val="16"/>
                <w:szCs w:val="16"/>
              </w:rPr>
            </w:pPr>
            <w:r w:rsidRPr="008E6E0D">
              <w:rPr>
                <w:color w:val="000000"/>
                <w:sz w:val="16"/>
                <w:szCs w:val="16"/>
              </w:rPr>
              <w:t>rs1573332</w:t>
            </w:r>
          </w:p>
        </w:tc>
        <w:tc>
          <w:tcPr>
            <w:tcW w:w="1034" w:type="dxa"/>
            <w:tcBorders>
              <w:bottom w:val="single" w:sz="4" w:space="0" w:color="auto"/>
            </w:tcBorders>
            <w:shd w:val="clear" w:color="auto" w:fill="auto"/>
            <w:noWrap/>
            <w:vAlign w:val="center"/>
            <w:hideMark/>
          </w:tcPr>
          <w:p w14:paraId="02F23E1F" w14:textId="77777777" w:rsidR="00F03A73" w:rsidRPr="008E6E0D" w:rsidRDefault="00F03A73" w:rsidP="00DF0344">
            <w:pPr>
              <w:jc w:val="center"/>
              <w:rPr>
                <w:color w:val="000000"/>
                <w:sz w:val="16"/>
                <w:szCs w:val="16"/>
              </w:rPr>
            </w:pPr>
            <w:r w:rsidRPr="008E6E0D">
              <w:rPr>
                <w:color w:val="000000"/>
                <w:sz w:val="16"/>
                <w:szCs w:val="16"/>
              </w:rPr>
              <w:t>21:39902441</w:t>
            </w:r>
          </w:p>
        </w:tc>
        <w:tc>
          <w:tcPr>
            <w:tcW w:w="599" w:type="dxa"/>
            <w:tcBorders>
              <w:bottom w:val="single" w:sz="4" w:space="0" w:color="auto"/>
            </w:tcBorders>
            <w:shd w:val="clear" w:color="auto" w:fill="auto"/>
            <w:noWrap/>
            <w:vAlign w:val="center"/>
            <w:hideMark/>
          </w:tcPr>
          <w:p w14:paraId="2245DB98" w14:textId="77777777" w:rsidR="00F03A73" w:rsidRPr="008E6E0D" w:rsidRDefault="00F03A73" w:rsidP="00DF0344">
            <w:pPr>
              <w:jc w:val="center"/>
              <w:rPr>
                <w:color w:val="000000"/>
                <w:sz w:val="16"/>
                <w:szCs w:val="16"/>
              </w:rPr>
            </w:pPr>
            <w:r w:rsidRPr="008E6E0D">
              <w:rPr>
                <w:color w:val="000000"/>
                <w:sz w:val="16"/>
                <w:szCs w:val="16"/>
              </w:rPr>
              <w:t>T/A</w:t>
            </w:r>
          </w:p>
        </w:tc>
        <w:tc>
          <w:tcPr>
            <w:tcW w:w="933" w:type="dxa"/>
            <w:tcBorders>
              <w:bottom w:val="single" w:sz="4" w:space="0" w:color="auto"/>
            </w:tcBorders>
            <w:shd w:val="clear" w:color="auto" w:fill="auto"/>
            <w:noWrap/>
            <w:vAlign w:val="center"/>
            <w:hideMark/>
          </w:tcPr>
          <w:p w14:paraId="6D060FC3" w14:textId="77777777" w:rsidR="00F03A73" w:rsidRPr="008E6E0D" w:rsidRDefault="00F03A73" w:rsidP="00DF0344">
            <w:pPr>
              <w:jc w:val="center"/>
              <w:rPr>
                <w:color w:val="000000"/>
                <w:sz w:val="16"/>
                <w:szCs w:val="16"/>
              </w:rPr>
            </w:pPr>
            <w:r w:rsidRPr="008E6E0D">
              <w:rPr>
                <w:color w:val="000000"/>
                <w:sz w:val="16"/>
                <w:szCs w:val="16"/>
              </w:rPr>
              <w:t>Intronic</w:t>
            </w:r>
          </w:p>
        </w:tc>
        <w:tc>
          <w:tcPr>
            <w:tcW w:w="1961" w:type="dxa"/>
            <w:tcBorders>
              <w:bottom w:val="single" w:sz="4" w:space="0" w:color="auto"/>
            </w:tcBorders>
            <w:shd w:val="clear" w:color="auto" w:fill="auto"/>
            <w:noWrap/>
            <w:vAlign w:val="center"/>
            <w:hideMark/>
          </w:tcPr>
          <w:p w14:paraId="1C97AFDE" w14:textId="77777777" w:rsidR="00F03A73" w:rsidRPr="008E6E0D" w:rsidRDefault="00F03A73" w:rsidP="00DF0344">
            <w:pPr>
              <w:jc w:val="center"/>
              <w:rPr>
                <w:i/>
                <w:color w:val="000000"/>
                <w:sz w:val="16"/>
                <w:szCs w:val="16"/>
              </w:rPr>
            </w:pPr>
            <w:r w:rsidRPr="008E6E0D">
              <w:rPr>
                <w:i/>
                <w:color w:val="000000"/>
                <w:sz w:val="16"/>
                <w:szCs w:val="16"/>
              </w:rPr>
              <w:t>ERG</w:t>
            </w:r>
          </w:p>
        </w:tc>
        <w:tc>
          <w:tcPr>
            <w:tcW w:w="551" w:type="dxa"/>
            <w:tcBorders>
              <w:bottom w:val="single" w:sz="4" w:space="0" w:color="auto"/>
            </w:tcBorders>
            <w:shd w:val="clear" w:color="auto" w:fill="auto"/>
            <w:noWrap/>
            <w:vAlign w:val="center"/>
            <w:hideMark/>
          </w:tcPr>
          <w:p w14:paraId="02428D3A" w14:textId="77777777" w:rsidR="00F03A73" w:rsidRPr="008E6E0D" w:rsidRDefault="00F03A73" w:rsidP="00DF0344">
            <w:pPr>
              <w:jc w:val="center"/>
              <w:rPr>
                <w:color w:val="000000"/>
                <w:sz w:val="16"/>
                <w:szCs w:val="16"/>
              </w:rPr>
            </w:pPr>
            <w:r w:rsidRPr="008E6E0D">
              <w:rPr>
                <w:color w:val="000000"/>
                <w:sz w:val="16"/>
                <w:szCs w:val="16"/>
              </w:rPr>
              <w:t>0.345</w:t>
            </w:r>
          </w:p>
        </w:tc>
        <w:tc>
          <w:tcPr>
            <w:tcW w:w="1351" w:type="dxa"/>
            <w:tcBorders>
              <w:bottom w:val="single" w:sz="4" w:space="0" w:color="auto"/>
            </w:tcBorders>
            <w:shd w:val="clear" w:color="auto" w:fill="auto"/>
            <w:noWrap/>
            <w:vAlign w:val="center"/>
            <w:hideMark/>
          </w:tcPr>
          <w:p w14:paraId="4E3098AD" w14:textId="77777777" w:rsidR="00F03A73" w:rsidRPr="008E6E0D" w:rsidRDefault="00F03A73" w:rsidP="00DF0344">
            <w:pPr>
              <w:jc w:val="center"/>
              <w:rPr>
                <w:color w:val="000000"/>
                <w:sz w:val="16"/>
                <w:szCs w:val="16"/>
              </w:rPr>
            </w:pPr>
            <w:r w:rsidRPr="008E6E0D">
              <w:rPr>
                <w:color w:val="000000"/>
                <w:sz w:val="16"/>
                <w:szCs w:val="16"/>
              </w:rPr>
              <w:t>1.89 (1.48-2.40)</w:t>
            </w:r>
          </w:p>
        </w:tc>
        <w:tc>
          <w:tcPr>
            <w:tcW w:w="935" w:type="dxa"/>
            <w:tcBorders>
              <w:bottom w:val="single" w:sz="4" w:space="0" w:color="auto"/>
            </w:tcBorders>
            <w:shd w:val="clear" w:color="auto" w:fill="auto"/>
            <w:noWrap/>
            <w:vAlign w:val="center"/>
            <w:hideMark/>
          </w:tcPr>
          <w:p w14:paraId="395DFDF1" w14:textId="5302E4B0" w:rsidR="00F03A73" w:rsidRPr="008E6E0D" w:rsidRDefault="00F03A73" w:rsidP="00DF0344">
            <w:pPr>
              <w:jc w:val="center"/>
              <w:rPr>
                <w:color w:val="000000"/>
                <w:sz w:val="16"/>
                <w:szCs w:val="16"/>
              </w:rPr>
            </w:pPr>
            <w:r w:rsidRPr="008E6E0D">
              <w:rPr>
                <w:color w:val="000000"/>
                <w:sz w:val="16"/>
                <w:szCs w:val="16"/>
              </w:rPr>
              <w:t>2.41x10</w:t>
            </w:r>
            <w:r w:rsidRPr="008E6E0D">
              <w:rPr>
                <w:color w:val="000000"/>
                <w:sz w:val="16"/>
                <w:szCs w:val="16"/>
                <w:vertAlign w:val="superscript"/>
              </w:rPr>
              <w:t>-7</w:t>
            </w:r>
          </w:p>
        </w:tc>
        <w:tc>
          <w:tcPr>
            <w:tcW w:w="1287" w:type="dxa"/>
            <w:tcBorders>
              <w:bottom w:val="single" w:sz="4" w:space="0" w:color="auto"/>
            </w:tcBorders>
            <w:shd w:val="clear" w:color="auto" w:fill="auto"/>
            <w:noWrap/>
            <w:vAlign w:val="center"/>
            <w:hideMark/>
          </w:tcPr>
          <w:p w14:paraId="65E3CFE7" w14:textId="77777777" w:rsidR="00F03A73" w:rsidRPr="008E6E0D" w:rsidRDefault="00F03A73" w:rsidP="00DF0344">
            <w:pPr>
              <w:jc w:val="center"/>
              <w:rPr>
                <w:color w:val="000000"/>
                <w:sz w:val="16"/>
                <w:szCs w:val="16"/>
              </w:rPr>
            </w:pPr>
            <w:r w:rsidRPr="008E6E0D">
              <w:rPr>
                <w:color w:val="000000"/>
                <w:sz w:val="16"/>
                <w:szCs w:val="16"/>
              </w:rPr>
              <w:t>0.96 (0.85-1.08)</w:t>
            </w:r>
          </w:p>
        </w:tc>
        <w:tc>
          <w:tcPr>
            <w:tcW w:w="772" w:type="dxa"/>
            <w:tcBorders>
              <w:bottom w:val="single" w:sz="4" w:space="0" w:color="auto"/>
            </w:tcBorders>
            <w:shd w:val="clear" w:color="auto" w:fill="auto"/>
            <w:noWrap/>
            <w:vAlign w:val="center"/>
            <w:hideMark/>
          </w:tcPr>
          <w:p w14:paraId="6FABCA73" w14:textId="77777777" w:rsidR="00F03A73" w:rsidRPr="008E6E0D" w:rsidRDefault="00F03A73" w:rsidP="00DF0344">
            <w:pPr>
              <w:jc w:val="center"/>
              <w:rPr>
                <w:color w:val="000000"/>
                <w:sz w:val="16"/>
                <w:szCs w:val="16"/>
              </w:rPr>
            </w:pPr>
            <w:r w:rsidRPr="008E6E0D">
              <w:rPr>
                <w:color w:val="000000"/>
                <w:sz w:val="16"/>
                <w:szCs w:val="16"/>
              </w:rPr>
              <w:t>0.485</w:t>
            </w:r>
          </w:p>
        </w:tc>
        <w:tc>
          <w:tcPr>
            <w:tcW w:w="1287" w:type="dxa"/>
            <w:tcBorders>
              <w:bottom w:val="single" w:sz="4" w:space="0" w:color="auto"/>
            </w:tcBorders>
            <w:shd w:val="clear" w:color="auto" w:fill="auto"/>
            <w:noWrap/>
            <w:vAlign w:val="center"/>
            <w:hideMark/>
          </w:tcPr>
          <w:p w14:paraId="2C828F72" w14:textId="5CF7215F" w:rsidR="00F03A73" w:rsidRPr="008E6E0D" w:rsidRDefault="007F218C" w:rsidP="00DF0344">
            <w:pPr>
              <w:jc w:val="center"/>
              <w:rPr>
                <w:color w:val="000000"/>
                <w:sz w:val="16"/>
                <w:szCs w:val="16"/>
              </w:rPr>
            </w:pPr>
            <w:r>
              <w:rPr>
                <w:color w:val="000000"/>
                <w:sz w:val="16"/>
                <w:szCs w:val="16"/>
              </w:rPr>
              <w:t>NA</w:t>
            </w:r>
          </w:p>
        </w:tc>
        <w:tc>
          <w:tcPr>
            <w:tcW w:w="803" w:type="dxa"/>
            <w:gridSpan w:val="2"/>
            <w:tcBorders>
              <w:bottom w:val="single" w:sz="4" w:space="0" w:color="auto"/>
            </w:tcBorders>
            <w:shd w:val="clear" w:color="auto" w:fill="auto"/>
            <w:noWrap/>
            <w:vAlign w:val="center"/>
            <w:hideMark/>
          </w:tcPr>
          <w:p w14:paraId="27C5D105" w14:textId="39B40DE9" w:rsidR="00F03A73" w:rsidRPr="008E6E0D" w:rsidRDefault="007F218C" w:rsidP="00DF0344">
            <w:pPr>
              <w:jc w:val="center"/>
              <w:rPr>
                <w:color w:val="000000"/>
                <w:sz w:val="16"/>
                <w:szCs w:val="16"/>
              </w:rPr>
            </w:pPr>
            <w:r>
              <w:rPr>
                <w:color w:val="000000"/>
                <w:sz w:val="16"/>
                <w:szCs w:val="16"/>
              </w:rPr>
              <w:t>NA</w:t>
            </w:r>
          </w:p>
        </w:tc>
        <w:tc>
          <w:tcPr>
            <w:tcW w:w="1351" w:type="dxa"/>
            <w:tcBorders>
              <w:bottom w:val="single" w:sz="4" w:space="0" w:color="auto"/>
            </w:tcBorders>
            <w:shd w:val="clear" w:color="auto" w:fill="auto"/>
            <w:noWrap/>
            <w:vAlign w:val="center"/>
            <w:hideMark/>
          </w:tcPr>
          <w:p w14:paraId="6AF08707" w14:textId="0A78C677" w:rsidR="00F03A73" w:rsidRPr="008E6E0D" w:rsidRDefault="002B1D38" w:rsidP="00DF0344">
            <w:pPr>
              <w:jc w:val="center"/>
              <w:rPr>
                <w:color w:val="000000"/>
                <w:sz w:val="16"/>
                <w:szCs w:val="16"/>
              </w:rPr>
            </w:pPr>
            <w:r w:rsidRPr="008E6E0D">
              <w:rPr>
                <w:color w:val="000000"/>
                <w:sz w:val="16"/>
                <w:szCs w:val="16"/>
              </w:rPr>
              <w:t>1.33 (1.17-1.53)</w:t>
            </w:r>
          </w:p>
        </w:tc>
        <w:tc>
          <w:tcPr>
            <w:tcW w:w="946" w:type="dxa"/>
            <w:tcBorders>
              <w:bottom w:val="single" w:sz="4" w:space="0" w:color="auto"/>
            </w:tcBorders>
            <w:shd w:val="clear" w:color="auto" w:fill="auto"/>
            <w:noWrap/>
            <w:vAlign w:val="center"/>
            <w:hideMark/>
          </w:tcPr>
          <w:p w14:paraId="28790C0F" w14:textId="40F0962F" w:rsidR="00F03A73" w:rsidRPr="008E6E0D" w:rsidRDefault="008A41C7" w:rsidP="00DF0344">
            <w:pPr>
              <w:jc w:val="center"/>
              <w:rPr>
                <w:color w:val="000000"/>
                <w:sz w:val="16"/>
                <w:szCs w:val="16"/>
              </w:rPr>
            </w:pPr>
            <w:r w:rsidRPr="008E6E0D">
              <w:rPr>
                <w:color w:val="000000"/>
                <w:sz w:val="16"/>
                <w:szCs w:val="16"/>
              </w:rPr>
              <w:t>1.14x10</w:t>
            </w:r>
            <w:r w:rsidRPr="008E6E0D">
              <w:rPr>
                <w:color w:val="000000"/>
                <w:sz w:val="16"/>
                <w:szCs w:val="16"/>
                <w:vertAlign w:val="superscript"/>
              </w:rPr>
              <w:t>-5</w:t>
            </w:r>
            <w:r w:rsidRPr="008E6E0D">
              <w:rPr>
                <w:color w:val="000000"/>
                <w:sz w:val="16"/>
                <w:szCs w:val="16"/>
              </w:rPr>
              <w:t>*</w:t>
            </w:r>
          </w:p>
        </w:tc>
      </w:tr>
      <w:tr w:rsidR="00F03A73" w:rsidRPr="008E6E0D" w14:paraId="2D4A7497" w14:textId="77777777" w:rsidTr="006249CF">
        <w:trPr>
          <w:trHeight w:val="240"/>
          <w:jc w:val="center"/>
        </w:trPr>
        <w:tc>
          <w:tcPr>
            <w:tcW w:w="14857" w:type="dxa"/>
            <w:gridSpan w:val="15"/>
            <w:tcBorders>
              <w:top w:val="single" w:sz="4" w:space="0" w:color="auto"/>
              <w:bottom w:val="single" w:sz="4" w:space="0" w:color="auto"/>
            </w:tcBorders>
            <w:shd w:val="clear" w:color="auto" w:fill="auto"/>
            <w:noWrap/>
            <w:vAlign w:val="center"/>
          </w:tcPr>
          <w:p w14:paraId="391FB4AB" w14:textId="361EDE86" w:rsidR="000821B3" w:rsidRPr="008E6E0D" w:rsidRDefault="000821B3" w:rsidP="00DF0344">
            <w:pPr>
              <w:rPr>
                <w:color w:val="000000"/>
                <w:sz w:val="16"/>
                <w:szCs w:val="16"/>
              </w:rPr>
            </w:pPr>
            <w:r w:rsidRPr="008E6E0D">
              <w:rPr>
                <w:color w:val="000000"/>
                <w:sz w:val="16"/>
                <w:szCs w:val="16"/>
              </w:rPr>
              <w:t xml:space="preserve">*Meta-analysis </w:t>
            </w:r>
            <w:r w:rsidR="00F278FA" w:rsidRPr="008E6E0D">
              <w:rPr>
                <w:color w:val="000000"/>
                <w:sz w:val="16"/>
                <w:szCs w:val="16"/>
              </w:rPr>
              <w:t>performed</w:t>
            </w:r>
            <w:r w:rsidR="007D6469" w:rsidRPr="008E6E0D">
              <w:rPr>
                <w:color w:val="000000"/>
                <w:sz w:val="16"/>
                <w:szCs w:val="16"/>
              </w:rPr>
              <w:t xml:space="preserve"> </w:t>
            </w:r>
            <w:r w:rsidRPr="008E6E0D">
              <w:rPr>
                <w:color w:val="000000"/>
                <w:sz w:val="16"/>
                <w:szCs w:val="16"/>
              </w:rPr>
              <w:t>between two studies</w:t>
            </w:r>
            <w:r w:rsidR="007D6469" w:rsidRPr="008E6E0D">
              <w:rPr>
                <w:color w:val="000000"/>
                <w:sz w:val="16"/>
                <w:szCs w:val="16"/>
              </w:rPr>
              <w:t>.</w:t>
            </w:r>
          </w:p>
          <w:p w14:paraId="430B8DC4" w14:textId="760A7EBC" w:rsidR="00F03A73" w:rsidRPr="008E6E0D" w:rsidRDefault="00F03A73" w:rsidP="00DF0344">
            <w:pPr>
              <w:rPr>
                <w:color w:val="000000"/>
                <w:sz w:val="16"/>
                <w:szCs w:val="16"/>
              </w:rPr>
            </w:pPr>
            <w:r w:rsidRPr="008E6E0D">
              <w:rPr>
                <w:color w:val="000000"/>
                <w:sz w:val="16"/>
                <w:szCs w:val="16"/>
              </w:rPr>
              <w:t>A1: Ref allele; A2: Effect allele; EAF: Effect allele frequency; HR: Hazard ratio; CI: Confidence Interval; Position: chromosome and base pair</w:t>
            </w:r>
            <w:r w:rsidR="004C012F" w:rsidRPr="008E6E0D">
              <w:rPr>
                <w:color w:val="000000"/>
                <w:sz w:val="16"/>
                <w:szCs w:val="16"/>
              </w:rPr>
              <w:t>.</w:t>
            </w:r>
          </w:p>
        </w:tc>
      </w:tr>
    </w:tbl>
    <w:p w14:paraId="39A2F587" w14:textId="372B3BF3" w:rsidR="00F03A73" w:rsidRPr="008E6E0D" w:rsidRDefault="00F03A73" w:rsidP="00E25573">
      <w:pPr>
        <w:spacing w:after="160" w:line="259" w:lineRule="auto"/>
        <w:rPr>
          <w:sz w:val="20"/>
          <w:szCs w:val="20"/>
        </w:rPr>
        <w:sectPr w:rsidR="00F03A73" w:rsidRPr="008E6E0D" w:rsidSect="00F03A73">
          <w:pgSz w:w="16838" w:h="11906" w:orient="landscape"/>
          <w:pgMar w:top="1701" w:right="1418" w:bottom="1701" w:left="1418" w:header="709" w:footer="709" w:gutter="0"/>
          <w:cols w:space="708"/>
          <w:docGrid w:linePitch="360"/>
        </w:sectPr>
      </w:pPr>
    </w:p>
    <w:p w14:paraId="34EB2A19" w14:textId="1B30C930" w:rsidR="00376E98" w:rsidRPr="008E6E0D" w:rsidRDefault="00376E98" w:rsidP="00E25573">
      <w:pPr>
        <w:spacing w:after="160" w:line="259" w:lineRule="auto"/>
        <w:rPr>
          <w:sz w:val="20"/>
          <w:szCs w:val="20"/>
        </w:rPr>
      </w:pPr>
    </w:p>
    <w:p w14:paraId="3EA79BF6" w14:textId="6C6452AA" w:rsidR="00376E98" w:rsidRPr="008E6E0D" w:rsidRDefault="00376E98" w:rsidP="00E25573">
      <w:pPr>
        <w:spacing w:after="160" w:line="259" w:lineRule="auto"/>
        <w:rPr>
          <w:sz w:val="20"/>
          <w:szCs w:val="20"/>
        </w:rPr>
      </w:pPr>
    </w:p>
    <w:p w14:paraId="5FC43892" w14:textId="05BB19C6" w:rsidR="00171F47" w:rsidRPr="008E6E0D" w:rsidRDefault="00171F47" w:rsidP="00E25573">
      <w:pPr>
        <w:spacing w:after="160" w:line="259" w:lineRule="auto"/>
        <w:rPr>
          <w:sz w:val="20"/>
          <w:szCs w:val="20"/>
        </w:rPr>
      </w:pPr>
    </w:p>
    <w:p w14:paraId="75D88782" w14:textId="0ED38A7A" w:rsidR="00171F47" w:rsidRPr="008E6E0D" w:rsidRDefault="00171F47" w:rsidP="00E25573">
      <w:pPr>
        <w:spacing w:after="160" w:line="259" w:lineRule="auto"/>
        <w:rPr>
          <w:sz w:val="20"/>
          <w:szCs w:val="20"/>
        </w:rPr>
      </w:pPr>
    </w:p>
    <w:p w14:paraId="647434B9" w14:textId="59178535" w:rsidR="00171F47" w:rsidRPr="008E6E0D" w:rsidRDefault="00171F47" w:rsidP="00E25573">
      <w:pPr>
        <w:spacing w:after="160" w:line="259" w:lineRule="auto"/>
        <w:rPr>
          <w:sz w:val="20"/>
          <w:szCs w:val="20"/>
        </w:rPr>
      </w:pPr>
    </w:p>
    <w:p w14:paraId="765E2096" w14:textId="14150EA2" w:rsidR="00171F47" w:rsidRPr="008E6E0D" w:rsidRDefault="00171F47" w:rsidP="00E25573">
      <w:pPr>
        <w:spacing w:after="160" w:line="259" w:lineRule="auto"/>
        <w:rPr>
          <w:sz w:val="20"/>
          <w:szCs w:val="20"/>
        </w:rPr>
      </w:pPr>
    </w:p>
    <w:p w14:paraId="06DF2550" w14:textId="39A713FA" w:rsidR="00171F47" w:rsidRPr="008E6E0D" w:rsidRDefault="00171F47" w:rsidP="00E25573">
      <w:pPr>
        <w:spacing w:after="160" w:line="259" w:lineRule="auto"/>
        <w:rPr>
          <w:sz w:val="20"/>
          <w:szCs w:val="20"/>
        </w:rPr>
      </w:pPr>
    </w:p>
    <w:p w14:paraId="59B63436" w14:textId="3DFDE604" w:rsidR="00171F47" w:rsidRPr="008E6E0D" w:rsidRDefault="00171F47" w:rsidP="00E25573">
      <w:pPr>
        <w:spacing w:after="160" w:line="259" w:lineRule="auto"/>
        <w:rPr>
          <w:sz w:val="20"/>
          <w:szCs w:val="20"/>
        </w:rPr>
      </w:pPr>
    </w:p>
    <w:p w14:paraId="506DFE98" w14:textId="26CCF093" w:rsidR="00171F47" w:rsidRPr="008E6E0D" w:rsidRDefault="00171F47" w:rsidP="00E25573">
      <w:pPr>
        <w:spacing w:after="160" w:line="259" w:lineRule="auto"/>
        <w:rPr>
          <w:sz w:val="20"/>
          <w:szCs w:val="20"/>
        </w:rPr>
      </w:pPr>
    </w:p>
    <w:p w14:paraId="1F360BB3" w14:textId="776B92C3" w:rsidR="00171F47" w:rsidRPr="008E6E0D" w:rsidRDefault="00171F47" w:rsidP="00E25573">
      <w:pPr>
        <w:spacing w:after="160" w:line="259" w:lineRule="auto"/>
        <w:rPr>
          <w:sz w:val="20"/>
          <w:szCs w:val="20"/>
        </w:rPr>
      </w:pPr>
    </w:p>
    <w:p w14:paraId="74EA40A4" w14:textId="59BED2E1" w:rsidR="00171F47" w:rsidRPr="008E6E0D" w:rsidRDefault="00171F47" w:rsidP="00E25573">
      <w:pPr>
        <w:spacing w:after="160" w:line="259" w:lineRule="auto"/>
        <w:rPr>
          <w:sz w:val="20"/>
          <w:szCs w:val="20"/>
        </w:rPr>
      </w:pPr>
    </w:p>
    <w:p w14:paraId="08ACF2F5" w14:textId="6DF16616" w:rsidR="00171F47" w:rsidRPr="008E6E0D" w:rsidRDefault="00171F47" w:rsidP="00E25573">
      <w:pPr>
        <w:spacing w:after="160" w:line="259" w:lineRule="auto"/>
        <w:rPr>
          <w:sz w:val="20"/>
          <w:szCs w:val="20"/>
        </w:rPr>
      </w:pPr>
    </w:p>
    <w:p w14:paraId="44E4B077" w14:textId="51BF1697" w:rsidR="00DC7F42" w:rsidRPr="008E6E0D" w:rsidRDefault="00DC7F42" w:rsidP="00E25573">
      <w:pPr>
        <w:spacing w:after="160" w:line="259" w:lineRule="auto"/>
        <w:rPr>
          <w:sz w:val="20"/>
          <w:szCs w:val="20"/>
        </w:rPr>
      </w:pPr>
    </w:p>
    <w:tbl>
      <w:tblPr>
        <w:tblpPr w:leftFromText="180" w:rightFromText="180" w:vertAnchor="page" w:horzAnchor="margin" w:tblpXSpec="center" w:tblpY="1712"/>
        <w:tblW w:w="10539" w:type="dxa"/>
        <w:jc w:val="center"/>
        <w:tblCellMar>
          <w:left w:w="70" w:type="dxa"/>
          <w:right w:w="70" w:type="dxa"/>
        </w:tblCellMar>
        <w:tblLook w:val="04A0" w:firstRow="1" w:lastRow="0" w:firstColumn="1" w:lastColumn="0" w:noHBand="0" w:noVBand="1"/>
      </w:tblPr>
      <w:tblGrid>
        <w:gridCol w:w="1648"/>
        <w:gridCol w:w="1071"/>
        <w:gridCol w:w="585"/>
        <w:gridCol w:w="568"/>
        <w:gridCol w:w="531"/>
        <w:gridCol w:w="891"/>
        <w:gridCol w:w="531"/>
        <w:gridCol w:w="531"/>
        <w:gridCol w:w="640"/>
        <w:gridCol w:w="531"/>
        <w:gridCol w:w="531"/>
        <w:gridCol w:w="1548"/>
        <w:gridCol w:w="927"/>
        <w:gridCol w:w="6"/>
      </w:tblGrid>
      <w:tr w:rsidR="00376E98" w:rsidRPr="008E6E0D" w14:paraId="11B2C934" w14:textId="77777777" w:rsidTr="00A84835">
        <w:trPr>
          <w:cantSplit/>
          <w:trHeight w:val="260"/>
          <w:jc w:val="center"/>
        </w:trPr>
        <w:tc>
          <w:tcPr>
            <w:tcW w:w="10539" w:type="dxa"/>
            <w:gridSpan w:val="14"/>
            <w:tcBorders>
              <w:top w:val="single" w:sz="4" w:space="0" w:color="auto"/>
              <w:left w:val="nil"/>
              <w:bottom w:val="single" w:sz="4" w:space="0" w:color="auto"/>
              <w:right w:val="nil"/>
            </w:tcBorders>
            <w:shd w:val="clear" w:color="auto" w:fill="auto"/>
            <w:vAlign w:val="center"/>
          </w:tcPr>
          <w:p w14:paraId="51D5C9FD" w14:textId="2B5581C1" w:rsidR="00376E98" w:rsidRPr="008E6E0D" w:rsidRDefault="00376E98" w:rsidP="00C73FB5">
            <w:pPr>
              <w:rPr>
                <w:b/>
                <w:bCs/>
                <w:color w:val="000000"/>
                <w:sz w:val="16"/>
                <w:szCs w:val="16"/>
                <w:lang w:eastAsia="es-ES"/>
              </w:rPr>
            </w:pPr>
            <w:r w:rsidRPr="008E6E0D">
              <w:rPr>
                <w:b/>
                <w:bCs/>
                <w:color w:val="000000"/>
                <w:sz w:val="16"/>
                <w:szCs w:val="16"/>
                <w:lang w:eastAsia="es-ES"/>
              </w:rPr>
              <w:t xml:space="preserve">Table S5. </w:t>
            </w:r>
            <w:r w:rsidRPr="008E6E0D">
              <w:rPr>
                <w:color w:val="000000"/>
                <w:sz w:val="16"/>
                <w:szCs w:val="16"/>
                <w:lang w:eastAsia="es-ES"/>
              </w:rPr>
              <w:t xml:space="preserve"> </w:t>
            </w:r>
            <w:r w:rsidRPr="008E6E0D">
              <w:rPr>
                <w:b/>
                <w:bCs/>
                <w:color w:val="000000"/>
                <w:sz w:val="16"/>
                <w:szCs w:val="16"/>
                <w:lang w:eastAsia="es-ES"/>
              </w:rPr>
              <w:t>Results for the 28-</w:t>
            </w:r>
            <w:r w:rsidR="00C73FB5" w:rsidRPr="008E6E0D">
              <w:rPr>
                <w:b/>
                <w:bCs/>
                <w:color w:val="000000"/>
                <w:sz w:val="16"/>
                <w:szCs w:val="16"/>
                <w:lang w:eastAsia="es-ES"/>
              </w:rPr>
              <w:t xml:space="preserve">day sepsis survival association </w:t>
            </w:r>
            <w:r w:rsidRPr="008E6E0D">
              <w:rPr>
                <w:b/>
                <w:bCs/>
                <w:color w:val="000000"/>
                <w:sz w:val="16"/>
                <w:szCs w:val="16"/>
                <w:lang w:eastAsia="es-ES"/>
              </w:rPr>
              <w:t>of the significant SNPs</w:t>
            </w:r>
            <w:r w:rsidR="00F273BE">
              <w:rPr>
                <w:b/>
                <w:bCs/>
                <w:color w:val="000000"/>
                <w:sz w:val="16"/>
                <w:szCs w:val="16"/>
                <w:lang w:eastAsia="es-ES"/>
              </w:rPr>
              <w:t xml:space="preserve"> after</w:t>
            </w:r>
            <w:r w:rsidRPr="008E6E0D">
              <w:rPr>
                <w:b/>
                <w:bCs/>
                <w:color w:val="000000"/>
                <w:sz w:val="16"/>
                <w:szCs w:val="16"/>
                <w:lang w:eastAsia="es-ES"/>
              </w:rPr>
              <w:t xml:space="preserve"> correcting for the index bias event.</w:t>
            </w:r>
          </w:p>
        </w:tc>
      </w:tr>
      <w:tr w:rsidR="00125064" w:rsidRPr="008E6E0D" w14:paraId="1D8C05D9" w14:textId="77777777" w:rsidTr="00A84835">
        <w:trPr>
          <w:cantSplit/>
          <w:trHeight w:val="260"/>
          <w:jc w:val="center"/>
        </w:trPr>
        <w:tc>
          <w:tcPr>
            <w:tcW w:w="1648" w:type="dxa"/>
            <w:tcBorders>
              <w:top w:val="single" w:sz="4" w:space="0" w:color="auto"/>
              <w:left w:val="nil"/>
              <w:bottom w:val="single" w:sz="4" w:space="0" w:color="auto"/>
              <w:right w:val="nil"/>
            </w:tcBorders>
            <w:shd w:val="clear" w:color="auto" w:fill="auto"/>
            <w:vAlign w:val="center"/>
          </w:tcPr>
          <w:p w14:paraId="7F874251" w14:textId="77777777" w:rsidR="00125064" w:rsidRPr="008E6E0D" w:rsidRDefault="00125064" w:rsidP="00DF0344">
            <w:pPr>
              <w:rPr>
                <w:b/>
                <w:bCs/>
                <w:color w:val="000000"/>
                <w:sz w:val="16"/>
                <w:szCs w:val="16"/>
                <w:lang w:eastAsia="es-ES"/>
              </w:rPr>
            </w:pPr>
          </w:p>
        </w:tc>
        <w:tc>
          <w:tcPr>
            <w:tcW w:w="1071" w:type="dxa"/>
            <w:tcBorders>
              <w:top w:val="single" w:sz="4" w:space="0" w:color="auto"/>
              <w:left w:val="nil"/>
              <w:bottom w:val="single" w:sz="4" w:space="0" w:color="auto"/>
              <w:right w:val="nil"/>
            </w:tcBorders>
            <w:shd w:val="clear" w:color="auto" w:fill="auto"/>
            <w:vAlign w:val="center"/>
          </w:tcPr>
          <w:p w14:paraId="03081251" w14:textId="77777777" w:rsidR="00125064" w:rsidRPr="008E6E0D" w:rsidRDefault="00125064" w:rsidP="00DF0344">
            <w:pPr>
              <w:jc w:val="center"/>
              <w:rPr>
                <w:b/>
                <w:bCs/>
                <w:color w:val="000000"/>
                <w:sz w:val="16"/>
                <w:szCs w:val="16"/>
                <w:lang w:eastAsia="es-ES"/>
              </w:rPr>
            </w:pPr>
          </w:p>
        </w:tc>
        <w:tc>
          <w:tcPr>
            <w:tcW w:w="585" w:type="dxa"/>
            <w:tcBorders>
              <w:top w:val="single" w:sz="4" w:space="0" w:color="auto"/>
              <w:left w:val="nil"/>
              <w:bottom w:val="single" w:sz="4" w:space="0" w:color="auto"/>
            </w:tcBorders>
            <w:shd w:val="clear" w:color="auto" w:fill="auto"/>
            <w:vAlign w:val="center"/>
          </w:tcPr>
          <w:p w14:paraId="67B36EB0" w14:textId="77777777" w:rsidR="00125064" w:rsidRPr="008E6E0D" w:rsidRDefault="00125064" w:rsidP="00DF0344">
            <w:pPr>
              <w:jc w:val="center"/>
              <w:rPr>
                <w:b/>
                <w:bCs/>
                <w:color w:val="000000"/>
                <w:sz w:val="16"/>
                <w:szCs w:val="16"/>
                <w:lang w:eastAsia="es-ES"/>
              </w:rPr>
            </w:pPr>
          </w:p>
        </w:tc>
        <w:tc>
          <w:tcPr>
            <w:tcW w:w="1990" w:type="dxa"/>
            <w:gridSpan w:val="3"/>
            <w:tcBorders>
              <w:top w:val="single" w:sz="4" w:space="0" w:color="auto"/>
              <w:bottom w:val="single" w:sz="4" w:space="0" w:color="auto"/>
            </w:tcBorders>
            <w:shd w:val="clear" w:color="auto" w:fill="auto"/>
            <w:vAlign w:val="center"/>
          </w:tcPr>
          <w:p w14:paraId="1513B5B9" w14:textId="13DD996B" w:rsidR="00125064" w:rsidRPr="008E6E0D" w:rsidRDefault="00125064" w:rsidP="00DF0344">
            <w:pPr>
              <w:jc w:val="center"/>
              <w:rPr>
                <w:b/>
                <w:bCs/>
                <w:color w:val="000000"/>
                <w:sz w:val="16"/>
                <w:szCs w:val="16"/>
                <w:lang w:eastAsia="es-ES"/>
              </w:rPr>
            </w:pPr>
            <w:r w:rsidRPr="008E6E0D">
              <w:rPr>
                <w:b/>
                <w:bCs/>
                <w:sz w:val="16"/>
                <w:szCs w:val="16"/>
                <w:lang w:eastAsia="es-ES"/>
              </w:rPr>
              <w:t>28-day survival model</w:t>
            </w:r>
          </w:p>
        </w:tc>
        <w:tc>
          <w:tcPr>
            <w:tcW w:w="1702" w:type="dxa"/>
            <w:gridSpan w:val="3"/>
            <w:tcBorders>
              <w:top w:val="single" w:sz="4" w:space="0" w:color="auto"/>
              <w:left w:val="nil"/>
              <w:bottom w:val="single" w:sz="4" w:space="0" w:color="auto"/>
            </w:tcBorders>
            <w:shd w:val="clear" w:color="auto" w:fill="auto"/>
            <w:vAlign w:val="center"/>
          </w:tcPr>
          <w:p w14:paraId="60E29181" w14:textId="01170818" w:rsidR="00125064" w:rsidRPr="008E6E0D" w:rsidRDefault="00125064" w:rsidP="00DF0344">
            <w:pPr>
              <w:jc w:val="center"/>
              <w:rPr>
                <w:b/>
                <w:bCs/>
                <w:color w:val="000000"/>
                <w:sz w:val="16"/>
                <w:szCs w:val="16"/>
                <w:lang w:eastAsia="es-ES"/>
              </w:rPr>
            </w:pPr>
            <w:r w:rsidRPr="008E6E0D">
              <w:rPr>
                <w:b/>
                <w:bCs/>
                <w:color w:val="000000"/>
                <w:sz w:val="16"/>
                <w:szCs w:val="16"/>
                <w:lang w:eastAsia="es-ES"/>
              </w:rPr>
              <w:t>Sepsis risk model</w:t>
            </w:r>
          </w:p>
        </w:tc>
        <w:tc>
          <w:tcPr>
            <w:tcW w:w="3543" w:type="dxa"/>
            <w:gridSpan w:val="5"/>
            <w:tcBorders>
              <w:top w:val="single" w:sz="4" w:space="0" w:color="auto"/>
              <w:left w:val="nil"/>
              <w:bottom w:val="single" w:sz="4" w:space="0" w:color="auto"/>
              <w:right w:val="nil"/>
            </w:tcBorders>
            <w:shd w:val="clear" w:color="auto" w:fill="auto"/>
            <w:vAlign w:val="center"/>
          </w:tcPr>
          <w:p w14:paraId="38AE9B63" w14:textId="7ABE41DD" w:rsidR="00125064" w:rsidRPr="008E6E0D" w:rsidRDefault="00125064" w:rsidP="00DF0344">
            <w:pPr>
              <w:jc w:val="center"/>
              <w:rPr>
                <w:b/>
                <w:bCs/>
                <w:color w:val="000000"/>
                <w:sz w:val="16"/>
                <w:szCs w:val="16"/>
                <w:lang w:eastAsia="es-ES"/>
              </w:rPr>
            </w:pPr>
            <w:r w:rsidRPr="008E6E0D">
              <w:rPr>
                <w:b/>
                <w:bCs/>
                <w:color w:val="000000"/>
                <w:sz w:val="16"/>
                <w:szCs w:val="16"/>
                <w:lang w:eastAsia="es-ES"/>
              </w:rPr>
              <w:t>28-day survival with index event bias adjustment</w:t>
            </w:r>
          </w:p>
        </w:tc>
      </w:tr>
      <w:tr w:rsidR="00376E98" w:rsidRPr="008E6E0D" w14:paraId="72DDAFE6" w14:textId="77777777" w:rsidTr="00A84835">
        <w:trPr>
          <w:gridAfter w:val="1"/>
          <w:wAfter w:w="6" w:type="dxa"/>
          <w:cantSplit/>
          <w:trHeight w:val="260"/>
          <w:jc w:val="center"/>
        </w:trPr>
        <w:tc>
          <w:tcPr>
            <w:tcW w:w="1648" w:type="dxa"/>
            <w:tcBorders>
              <w:top w:val="single" w:sz="4" w:space="0" w:color="auto"/>
              <w:left w:val="nil"/>
              <w:bottom w:val="single" w:sz="4" w:space="0" w:color="auto"/>
              <w:right w:val="nil"/>
            </w:tcBorders>
            <w:shd w:val="clear" w:color="auto" w:fill="auto"/>
            <w:vAlign w:val="center"/>
            <w:hideMark/>
          </w:tcPr>
          <w:p w14:paraId="12DD7EA6" w14:textId="77777777" w:rsidR="00376E98" w:rsidRPr="008E6E0D" w:rsidRDefault="00376E98" w:rsidP="00DF0344">
            <w:pPr>
              <w:rPr>
                <w:b/>
                <w:bCs/>
                <w:color w:val="000000"/>
                <w:sz w:val="16"/>
                <w:szCs w:val="16"/>
                <w:lang w:eastAsia="es-ES"/>
              </w:rPr>
            </w:pPr>
            <w:r w:rsidRPr="008E6E0D">
              <w:rPr>
                <w:b/>
                <w:bCs/>
                <w:color w:val="000000"/>
                <w:sz w:val="16"/>
                <w:szCs w:val="16"/>
                <w:lang w:eastAsia="es-ES"/>
              </w:rPr>
              <w:t>Gene</w:t>
            </w:r>
          </w:p>
        </w:tc>
        <w:tc>
          <w:tcPr>
            <w:tcW w:w="1071" w:type="dxa"/>
            <w:tcBorders>
              <w:top w:val="single" w:sz="4" w:space="0" w:color="auto"/>
              <w:left w:val="nil"/>
              <w:bottom w:val="single" w:sz="4" w:space="0" w:color="auto"/>
              <w:right w:val="nil"/>
            </w:tcBorders>
            <w:shd w:val="clear" w:color="auto" w:fill="auto"/>
            <w:vAlign w:val="center"/>
            <w:hideMark/>
          </w:tcPr>
          <w:p w14:paraId="565066F7"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rsID</w:t>
            </w:r>
          </w:p>
        </w:tc>
        <w:tc>
          <w:tcPr>
            <w:tcW w:w="585" w:type="dxa"/>
            <w:tcBorders>
              <w:top w:val="single" w:sz="4" w:space="0" w:color="auto"/>
              <w:left w:val="nil"/>
              <w:bottom w:val="single" w:sz="4" w:space="0" w:color="auto"/>
            </w:tcBorders>
            <w:shd w:val="clear" w:color="auto" w:fill="auto"/>
            <w:vAlign w:val="center"/>
            <w:hideMark/>
          </w:tcPr>
          <w:p w14:paraId="658B0891"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A1/A2</w:t>
            </w:r>
          </w:p>
        </w:tc>
        <w:tc>
          <w:tcPr>
            <w:tcW w:w="568" w:type="dxa"/>
            <w:tcBorders>
              <w:top w:val="single" w:sz="4" w:space="0" w:color="auto"/>
              <w:bottom w:val="single" w:sz="4" w:space="0" w:color="auto"/>
            </w:tcBorders>
            <w:shd w:val="clear" w:color="auto" w:fill="auto"/>
            <w:vAlign w:val="center"/>
            <w:hideMark/>
          </w:tcPr>
          <w:p w14:paraId="21D47FAA"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Beta</w:t>
            </w:r>
          </w:p>
        </w:tc>
        <w:tc>
          <w:tcPr>
            <w:tcW w:w="531" w:type="dxa"/>
            <w:tcBorders>
              <w:top w:val="single" w:sz="4" w:space="0" w:color="auto"/>
              <w:bottom w:val="single" w:sz="4" w:space="0" w:color="auto"/>
            </w:tcBorders>
            <w:shd w:val="clear" w:color="auto" w:fill="auto"/>
            <w:vAlign w:val="center"/>
            <w:hideMark/>
          </w:tcPr>
          <w:p w14:paraId="70326031"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SE</w:t>
            </w:r>
          </w:p>
        </w:tc>
        <w:tc>
          <w:tcPr>
            <w:tcW w:w="891" w:type="dxa"/>
            <w:tcBorders>
              <w:top w:val="single" w:sz="4" w:space="0" w:color="auto"/>
              <w:bottom w:val="single" w:sz="4" w:space="0" w:color="auto"/>
            </w:tcBorders>
            <w:shd w:val="clear" w:color="auto" w:fill="auto"/>
            <w:vAlign w:val="center"/>
            <w:hideMark/>
          </w:tcPr>
          <w:p w14:paraId="57A123EC" w14:textId="77777777" w:rsidR="00376E98" w:rsidRPr="008E6E0D" w:rsidRDefault="00376E98" w:rsidP="00DF0344">
            <w:pPr>
              <w:jc w:val="center"/>
              <w:rPr>
                <w:b/>
                <w:bCs/>
                <w:color w:val="000000"/>
                <w:sz w:val="16"/>
                <w:szCs w:val="16"/>
                <w:lang w:eastAsia="es-ES"/>
              </w:rPr>
            </w:pPr>
            <w:r w:rsidRPr="008E6E0D">
              <w:rPr>
                <w:b/>
                <w:bCs/>
                <w:i/>
                <w:iCs/>
                <w:color w:val="000000"/>
                <w:sz w:val="16"/>
                <w:szCs w:val="16"/>
                <w:lang w:eastAsia="es-ES"/>
              </w:rPr>
              <w:t>p</w:t>
            </w:r>
            <w:r w:rsidRPr="008E6E0D">
              <w:rPr>
                <w:b/>
                <w:bCs/>
                <w:color w:val="000000"/>
                <w:sz w:val="16"/>
                <w:szCs w:val="16"/>
                <w:lang w:eastAsia="es-ES"/>
              </w:rPr>
              <w:t>-value</w:t>
            </w:r>
          </w:p>
        </w:tc>
        <w:tc>
          <w:tcPr>
            <w:tcW w:w="531" w:type="dxa"/>
            <w:tcBorders>
              <w:top w:val="single" w:sz="4" w:space="0" w:color="auto"/>
              <w:left w:val="nil"/>
              <w:bottom w:val="single" w:sz="4" w:space="0" w:color="auto"/>
              <w:right w:val="nil"/>
            </w:tcBorders>
            <w:shd w:val="clear" w:color="auto" w:fill="auto"/>
            <w:vAlign w:val="center"/>
            <w:hideMark/>
          </w:tcPr>
          <w:p w14:paraId="5BEBF2C5"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Beta</w:t>
            </w:r>
          </w:p>
        </w:tc>
        <w:tc>
          <w:tcPr>
            <w:tcW w:w="531" w:type="dxa"/>
            <w:tcBorders>
              <w:top w:val="single" w:sz="4" w:space="0" w:color="auto"/>
              <w:left w:val="nil"/>
              <w:bottom w:val="single" w:sz="4" w:space="0" w:color="auto"/>
              <w:right w:val="nil"/>
            </w:tcBorders>
            <w:shd w:val="clear" w:color="auto" w:fill="auto"/>
            <w:vAlign w:val="center"/>
            <w:hideMark/>
          </w:tcPr>
          <w:p w14:paraId="05CD47D6"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SE</w:t>
            </w:r>
          </w:p>
        </w:tc>
        <w:tc>
          <w:tcPr>
            <w:tcW w:w="640" w:type="dxa"/>
            <w:tcBorders>
              <w:top w:val="single" w:sz="4" w:space="0" w:color="auto"/>
              <w:left w:val="nil"/>
              <w:bottom w:val="single" w:sz="4" w:space="0" w:color="auto"/>
            </w:tcBorders>
            <w:shd w:val="clear" w:color="auto" w:fill="auto"/>
            <w:vAlign w:val="center"/>
            <w:hideMark/>
          </w:tcPr>
          <w:p w14:paraId="2F498F2C" w14:textId="77777777" w:rsidR="00376E98" w:rsidRPr="008E6E0D" w:rsidRDefault="00376E98" w:rsidP="00DF0344">
            <w:pPr>
              <w:jc w:val="center"/>
              <w:rPr>
                <w:b/>
                <w:bCs/>
                <w:color w:val="000000"/>
                <w:sz w:val="16"/>
                <w:szCs w:val="16"/>
                <w:lang w:eastAsia="es-ES"/>
              </w:rPr>
            </w:pPr>
            <w:r w:rsidRPr="008E6E0D">
              <w:rPr>
                <w:b/>
                <w:bCs/>
                <w:i/>
                <w:iCs/>
                <w:color w:val="000000"/>
                <w:sz w:val="16"/>
                <w:szCs w:val="16"/>
                <w:lang w:eastAsia="es-ES"/>
              </w:rPr>
              <w:t>p</w:t>
            </w:r>
            <w:r w:rsidRPr="008E6E0D">
              <w:rPr>
                <w:b/>
                <w:bCs/>
                <w:color w:val="000000"/>
                <w:sz w:val="16"/>
                <w:szCs w:val="16"/>
                <w:lang w:eastAsia="es-ES"/>
              </w:rPr>
              <w:t>-value</w:t>
            </w:r>
          </w:p>
        </w:tc>
        <w:tc>
          <w:tcPr>
            <w:tcW w:w="531" w:type="dxa"/>
            <w:tcBorders>
              <w:top w:val="single" w:sz="4" w:space="0" w:color="auto"/>
              <w:left w:val="nil"/>
              <w:bottom w:val="single" w:sz="4" w:space="0" w:color="auto"/>
              <w:right w:val="nil"/>
            </w:tcBorders>
            <w:shd w:val="clear" w:color="auto" w:fill="auto"/>
            <w:vAlign w:val="center"/>
            <w:hideMark/>
          </w:tcPr>
          <w:p w14:paraId="340647D4"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Beta</w:t>
            </w:r>
          </w:p>
        </w:tc>
        <w:tc>
          <w:tcPr>
            <w:tcW w:w="531" w:type="dxa"/>
            <w:tcBorders>
              <w:top w:val="single" w:sz="4" w:space="0" w:color="auto"/>
              <w:left w:val="nil"/>
              <w:bottom w:val="single" w:sz="4" w:space="0" w:color="auto"/>
              <w:right w:val="nil"/>
            </w:tcBorders>
            <w:shd w:val="clear" w:color="auto" w:fill="auto"/>
            <w:vAlign w:val="center"/>
            <w:hideMark/>
          </w:tcPr>
          <w:p w14:paraId="6FFE565F"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SE</w:t>
            </w:r>
          </w:p>
        </w:tc>
        <w:tc>
          <w:tcPr>
            <w:tcW w:w="1548" w:type="dxa"/>
            <w:tcBorders>
              <w:top w:val="single" w:sz="4" w:space="0" w:color="auto"/>
              <w:left w:val="nil"/>
              <w:bottom w:val="single" w:sz="4" w:space="0" w:color="auto"/>
              <w:right w:val="nil"/>
            </w:tcBorders>
            <w:shd w:val="clear" w:color="auto" w:fill="auto"/>
            <w:noWrap/>
            <w:vAlign w:val="center"/>
            <w:hideMark/>
          </w:tcPr>
          <w:p w14:paraId="0B4469DC" w14:textId="77777777" w:rsidR="00376E98" w:rsidRPr="008E6E0D" w:rsidRDefault="00376E98" w:rsidP="00DF0344">
            <w:pPr>
              <w:jc w:val="center"/>
              <w:rPr>
                <w:b/>
                <w:bCs/>
                <w:color w:val="000000"/>
                <w:sz w:val="16"/>
                <w:szCs w:val="16"/>
                <w:lang w:eastAsia="es-ES"/>
              </w:rPr>
            </w:pPr>
            <w:r w:rsidRPr="008E6E0D">
              <w:rPr>
                <w:b/>
                <w:bCs/>
                <w:color w:val="000000"/>
                <w:sz w:val="16"/>
                <w:szCs w:val="16"/>
                <w:lang w:eastAsia="es-ES"/>
              </w:rPr>
              <w:t>HR (95% CI)</w:t>
            </w:r>
          </w:p>
        </w:tc>
        <w:tc>
          <w:tcPr>
            <w:tcW w:w="927" w:type="dxa"/>
            <w:tcBorders>
              <w:top w:val="single" w:sz="4" w:space="0" w:color="auto"/>
              <w:left w:val="nil"/>
              <w:bottom w:val="single" w:sz="4" w:space="0" w:color="auto"/>
              <w:right w:val="nil"/>
            </w:tcBorders>
            <w:shd w:val="clear" w:color="auto" w:fill="auto"/>
            <w:vAlign w:val="center"/>
            <w:hideMark/>
          </w:tcPr>
          <w:p w14:paraId="5A9DCD66" w14:textId="77777777" w:rsidR="00376E98" w:rsidRPr="008E6E0D" w:rsidRDefault="00376E98" w:rsidP="00DF0344">
            <w:pPr>
              <w:jc w:val="center"/>
              <w:rPr>
                <w:b/>
                <w:bCs/>
                <w:color w:val="000000"/>
                <w:sz w:val="16"/>
                <w:szCs w:val="16"/>
                <w:lang w:eastAsia="es-ES"/>
              </w:rPr>
            </w:pPr>
            <w:r w:rsidRPr="008E6E0D">
              <w:rPr>
                <w:b/>
                <w:bCs/>
                <w:i/>
                <w:iCs/>
                <w:color w:val="000000"/>
                <w:sz w:val="16"/>
                <w:szCs w:val="16"/>
                <w:lang w:eastAsia="es-ES"/>
              </w:rPr>
              <w:t>p</w:t>
            </w:r>
            <w:r w:rsidRPr="008E6E0D">
              <w:rPr>
                <w:b/>
                <w:bCs/>
                <w:color w:val="000000"/>
                <w:sz w:val="16"/>
                <w:szCs w:val="16"/>
                <w:lang w:eastAsia="es-ES"/>
              </w:rPr>
              <w:t>-value</w:t>
            </w:r>
          </w:p>
        </w:tc>
      </w:tr>
      <w:tr w:rsidR="00376E98" w:rsidRPr="008E6E0D" w14:paraId="26E09AD8" w14:textId="77777777" w:rsidTr="00A84835">
        <w:trPr>
          <w:gridAfter w:val="1"/>
          <w:wAfter w:w="6" w:type="dxa"/>
          <w:cantSplit/>
          <w:trHeight w:val="260"/>
          <w:jc w:val="center"/>
        </w:trPr>
        <w:tc>
          <w:tcPr>
            <w:tcW w:w="1648" w:type="dxa"/>
            <w:tcBorders>
              <w:top w:val="nil"/>
              <w:left w:val="nil"/>
              <w:right w:val="nil"/>
            </w:tcBorders>
            <w:shd w:val="clear" w:color="auto" w:fill="auto"/>
            <w:noWrap/>
            <w:vAlign w:val="center"/>
            <w:hideMark/>
          </w:tcPr>
          <w:p w14:paraId="3DB1EF55" w14:textId="77777777" w:rsidR="00376E98" w:rsidRPr="008E6E0D" w:rsidRDefault="00376E98" w:rsidP="00DF0344">
            <w:pPr>
              <w:rPr>
                <w:i/>
                <w:iCs/>
                <w:sz w:val="16"/>
                <w:szCs w:val="16"/>
                <w:lang w:eastAsia="es-ES"/>
              </w:rPr>
            </w:pPr>
            <w:r w:rsidRPr="008E6E0D">
              <w:rPr>
                <w:i/>
                <w:iCs/>
                <w:sz w:val="16"/>
                <w:szCs w:val="16"/>
                <w:lang w:eastAsia="es-ES"/>
              </w:rPr>
              <w:t>SAMD9</w:t>
            </w:r>
          </w:p>
        </w:tc>
        <w:tc>
          <w:tcPr>
            <w:tcW w:w="1071" w:type="dxa"/>
            <w:tcBorders>
              <w:top w:val="single" w:sz="4" w:space="0" w:color="auto"/>
              <w:left w:val="nil"/>
              <w:right w:val="nil"/>
            </w:tcBorders>
            <w:shd w:val="clear" w:color="auto" w:fill="auto"/>
            <w:noWrap/>
            <w:vAlign w:val="center"/>
            <w:hideMark/>
          </w:tcPr>
          <w:p w14:paraId="6E37758E" w14:textId="77777777" w:rsidR="00376E98" w:rsidRPr="008E6E0D" w:rsidRDefault="00376E98" w:rsidP="00DF0344">
            <w:pPr>
              <w:jc w:val="center"/>
              <w:rPr>
                <w:sz w:val="16"/>
                <w:szCs w:val="16"/>
                <w:lang w:eastAsia="es-ES"/>
              </w:rPr>
            </w:pPr>
            <w:r w:rsidRPr="008E6E0D">
              <w:rPr>
                <w:sz w:val="16"/>
                <w:szCs w:val="16"/>
                <w:lang w:eastAsia="es-ES"/>
              </w:rPr>
              <w:t>rs34896991</w:t>
            </w:r>
          </w:p>
        </w:tc>
        <w:tc>
          <w:tcPr>
            <w:tcW w:w="585" w:type="dxa"/>
            <w:tcBorders>
              <w:top w:val="single" w:sz="4" w:space="0" w:color="auto"/>
              <w:left w:val="nil"/>
            </w:tcBorders>
            <w:shd w:val="clear" w:color="auto" w:fill="auto"/>
            <w:noWrap/>
            <w:vAlign w:val="center"/>
            <w:hideMark/>
          </w:tcPr>
          <w:p w14:paraId="60A5B515" w14:textId="77777777" w:rsidR="00376E98" w:rsidRPr="008E6E0D" w:rsidRDefault="00376E98" w:rsidP="00DF0344">
            <w:pPr>
              <w:jc w:val="center"/>
              <w:rPr>
                <w:sz w:val="16"/>
                <w:szCs w:val="16"/>
                <w:lang w:eastAsia="es-ES"/>
              </w:rPr>
            </w:pPr>
            <w:r w:rsidRPr="008E6E0D">
              <w:rPr>
                <w:sz w:val="16"/>
                <w:szCs w:val="16"/>
                <w:lang w:eastAsia="es-ES"/>
              </w:rPr>
              <w:t>C/T</w:t>
            </w:r>
          </w:p>
        </w:tc>
        <w:tc>
          <w:tcPr>
            <w:tcW w:w="568" w:type="dxa"/>
            <w:tcBorders>
              <w:top w:val="single" w:sz="4" w:space="0" w:color="auto"/>
            </w:tcBorders>
            <w:shd w:val="clear" w:color="auto" w:fill="auto"/>
            <w:noWrap/>
            <w:vAlign w:val="center"/>
            <w:hideMark/>
          </w:tcPr>
          <w:p w14:paraId="5020C111" w14:textId="77777777" w:rsidR="00376E98" w:rsidRPr="008E6E0D" w:rsidRDefault="00376E98" w:rsidP="00DF0344">
            <w:pPr>
              <w:jc w:val="center"/>
              <w:rPr>
                <w:sz w:val="16"/>
                <w:szCs w:val="16"/>
                <w:lang w:eastAsia="es-ES"/>
              </w:rPr>
            </w:pPr>
            <w:r w:rsidRPr="008E6E0D">
              <w:rPr>
                <w:sz w:val="16"/>
                <w:szCs w:val="16"/>
                <w:lang w:eastAsia="es-ES"/>
              </w:rPr>
              <w:t>1.558</w:t>
            </w:r>
          </w:p>
        </w:tc>
        <w:tc>
          <w:tcPr>
            <w:tcW w:w="531" w:type="dxa"/>
            <w:tcBorders>
              <w:top w:val="single" w:sz="4" w:space="0" w:color="auto"/>
            </w:tcBorders>
            <w:shd w:val="clear" w:color="auto" w:fill="auto"/>
            <w:noWrap/>
            <w:vAlign w:val="center"/>
            <w:hideMark/>
          </w:tcPr>
          <w:p w14:paraId="139B8C3C" w14:textId="77777777" w:rsidR="00376E98" w:rsidRPr="008E6E0D" w:rsidRDefault="00376E98" w:rsidP="00DF0344">
            <w:pPr>
              <w:jc w:val="center"/>
              <w:rPr>
                <w:sz w:val="16"/>
                <w:szCs w:val="16"/>
                <w:lang w:eastAsia="es-ES"/>
              </w:rPr>
            </w:pPr>
            <w:r w:rsidRPr="008E6E0D">
              <w:rPr>
                <w:sz w:val="16"/>
                <w:szCs w:val="16"/>
                <w:lang w:eastAsia="es-ES"/>
              </w:rPr>
              <w:t>0.259</w:t>
            </w:r>
          </w:p>
        </w:tc>
        <w:tc>
          <w:tcPr>
            <w:tcW w:w="891" w:type="dxa"/>
            <w:tcBorders>
              <w:top w:val="single" w:sz="4" w:space="0" w:color="auto"/>
            </w:tcBorders>
            <w:shd w:val="clear" w:color="auto" w:fill="auto"/>
            <w:noWrap/>
            <w:vAlign w:val="center"/>
            <w:hideMark/>
          </w:tcPr>
          <w:p w14:paraId="515F9238" w14:textId="77777777" w:rsidR="00376E98" w:rsidRPr="008E6E0D" w:rsidRDefault="00376E98" w:rsidP="00DF0344">
            <w:pPr>
              <w:jc w:val="center"/>
              <w:rPr>
                <w:color w:val="000000"/>
                <w:sz w:val="16"/>
                <w:szCs w:val="16"/>
                <w:lang w:eastAsia="es-ES"/>
              </w:rPr>
            </w:pPr>
            <w:r w:rsidRPr="008E6E0D">
              <w:rPr>
                <w:color w:val="000000"/>
                <w:sz w:val="16"/>
                <w:szCs w:val="16"/>
                <w:lang w:eastAsia="es-ES"/>
              </w:rPr>
              <w:t>1.77x10</w:t>
            </w:r>
            <w:r w:rsidRPr="008E6E0D">
              <w:rPr>
                <w:color w:val="000000"/>
                <w:sz w:val="16"/>
                <w:szCs w:val="16"/>
                <w:vertAlign w:val="superscript"/>
                <w:lang w:eastAsia="es-ES"/>
              </w:rPr>
              <w:t>-9</w:t>
            </w:r>
          </w:p>
        </w:tc>
        <w:tc>
          <w:tcPr>
            <w:tcW w:w="531" w:type="dxa"/>
            <w:tcBorders>
              <w:top w:val="single" w:sz="4" w:space="0" w:color="auto"/>
              <w:left w:val="nil"/>
              <w:right w:val="nil"/>
            </w:tcBorders>
            <w:shd w:val="clear" w:color="auto" w:fill="auto"/>
            <w:noWrap/>
            <w:vAlign w:val="center"/>
            <w:hideMark/>
          </w:tcPr>
          <w:p w14:paraId="5A793F91" w14:textId="77777777" w:rsidR="00376E98" w:rsidRPr="008E6E0D" w:rsidRDefault="00376E98" w:rsidP="00DF0344">
            <w:pPr>
              <w:jc w:val="center"/>
              <w:rPr>
                <w:color w:val="000000"/>
                <w:sz w:val="16"/>
                <w:szCs w:val="16"/>
                <w:lang w:eastAsia="es-ES"/>
              </w:rPr>
            </w:pPr>
            <w:r w:rsidRPr="008E6E0D">
              <w:rPr>
                <w:color w:val="000000"/>
                <w:sz w:val="16"/>
                <w:szCs w:val="16"/>
                <w:lang w:eastAsia="es-ES"/>
              </w:rPr>
              <w:t>0.389</w:t>
            </w:r>
          </w:p>
        </w:tc>
        <w:tc>
          <w:tcPr>
            <w:tcW w:w="531" w:type="dxa"/>
            <w:tcBorders>
              <w:top w:val="single" w:sz="4" w:space="0" w:color="auto"/>
              <w:left w:val="nil"/>
              <w:right w:val="nil"/>
            </w:tcBorders>
            <w:shd w:val="clear" w:color="auto" w:fill="auto"/>
            <w:noWrap/>
            <w:vAlign w:val="center"/>
            <w:hideMark/>
          </w:tcPr>
          <w:p w14:paraId="7888739E" w14:textId="77777777" w:rsidR="00376E98" w:rsidRPr="008E6E0D" w:rsidRDefault="00376E98" w:rsidP="00DF0344">
            <w:pPr>
              <w:jc w:val="center"/>
              <w:rPr>
                <w:color w:val="000000"/>
                <w:sz w:val="16"/>
                <w:szCs w:val="16"/>
                <w:lang w:eastAsia="es-ES"/>
              </w:rPr>
            </w:pPr>
            <w:r w:rsidRPr="008E6E0D">
              <w:rPr>
                <w:color w:val="000000"/>
                <w:sz w:val="16"/>
                <w:szCs w:val="16"/>
                <w:lang w:eastAsia="es-ES"/>
              </w:rPr>
              <w:t>0.320</w:t>
            </w:r>
          </w:p>
        </w:tc>
        <w:tc>
          <w:tcPr>
            <w:tcW w:w="640" w:type="dxa"/>
            <w:tcBorders>
              <w:top w:val="single" w:sz="4" w:space="0" w:color="auto"/>
              <w:left w:val="nil"/>
            </w:tcBorders>
            <w:shd w:val="clear" w:color="auto" w:fill="auto"/>
            <w:noWrap/>
            <w:vAlign w:val="center"/>
            <w:hideMark/>
          </w:tcPr>
          <w:p w14:paraId="25C85B5A" w14:textId="77777777" w:rsidR="00376E98" w:rsidRPr="008E6E0D" w:rsidRDefault="00376E98" w:rsidP="00DF0344">
            <w:pPr>
              <w:jc w:val="center"/>
              <w:rPr>
                <w:color w:val="000000"/>
                <w:sz w:val="16"/>
                <w:szCs w:val="16"/>
                <w:lang w:eastAsia="es-ES"/>
              </w:rPr>
            </w:pPr>
            <w:r w:rsidRPr="008E6E0D">
              <w:rPr>
                <w:color w:val="000000"/>
                <w:sz w:val="16"/>
                <w:szCs w:val="16"/>
                <w:lang w:eastAsia="es-ES"/>
              </w:rPr>
              <w:t>0.223</w:t>
            </w:r>
          </w:p>
        </w:tc>
        <w:tc>
          <w:tcPr>
            <w:tcW w:w="531" w:type="dxa"/>
            <w:tcBorders>
              <w:top w:val="single" w:sz="4" w:space="0" w:color="auto"/>
              <w:left w:val="nil"/>
              <w:right w:val="nil"/>
            </w:tcBorders>
            <w:shd w:val="clear" w:color="auto" w:fill="auto"/>
            <w:noWrap/>
            <w:vAlign w:val="center"/>
            <w:hideMark/>
          </w:tcPr>
          <w:p w14:paraId="1265555A" w14:textId="77777777" w:rsidR="00376E98" w:rsidRPr="008E6E0D" w:rsidRDefault="00376E98" w:rsidP="00DF0344">
            <w:pPr>
              <w:jc w:val="center"/>
              <w:rPr>
                <w:color w:val="000000"/>
                <w:sz w:val="16"/>
                <w:szCs w:val="16"/>
                <w:lang w:eastAsia="es-ES"/>
              </w:rPr>
            </w:pPr>
            <w:r w:rsidRPr="008E6E0D">
              <w:rPr>
                <w:color w:val="000000"/>
                <w:sz w:val="16"/>
                <w:szCs w:val="16"/>
                <w:lang w:eastAsia="es-ES"/>
              </w:rPr>
              <w:t>1.554</w:t>
            </w:r>
          </w:p>
        </w:tc>
        <w:tc>
          <w:tcPr>
            <w:tcW w:w="531" w:type="dxa"/>
            <w:tcBorders>
              <w:top w:val="nil"/>
              <w:left w:val="nil"/>
              <w:right w:val="nil"/>
            </w:tcBorders>
            <w:shd w:val="clear" w:color="auto" w:fill="auto"/>
            <w:noWrap/>
            <w:vAlign w:val="center"/>
            <w:hideMark/>
          </w:tcPr>
          <w:p w14:paraId="54882660" w14:textId="77777777" w:rsidR="00376E98" w:rsidRPr="008E6E0D" w:rsidRDefault="00376E98" w:rsidP="00DF0344">
            <w:pPr>
              <w:jc w:val="center"/>
              <w:rPr>
                <w:color w:val="000000"/>
                <w:sz w:val="16"/>
                <w:szCs w:val="16"/>
                <w:lang w:eastAsia="es-ES"/>
              </w:rPr>
            </w:pPr>
            <w:r w:rsidRPr="008E6E0D">
              <w:rPr>
                <w:color w:val="000000"/>
                <w:sz w:val="16"/>
                <w:szCs w:val="16"/>
                <w:lang w:eastAsia="es-ES"/>
              </w:rPr>
              <w:t>0.259</w:t>
            </w:r>
          </w:p>
        </w:tc>
        <w:tc>
          <w:tcPr>
            <w:tcW w:w="1548" w:type="dxa"/>
            <w:tcBorders>
              <w:top w:val="nil"/>
              <w:left w:val="nil"/>
              <w:right w:val="nil"/>
            </w:tcBorders>
            <w:shd w:val="clear" w:color="auto" w:fill="auto"/>
            <w:noWrap/>
            <w:vAlign w:val="center"/>
            <w:hideMark/>
          </w:tcPr>
          <w:p w14:paraId="06351210" w14:textId="77777777" w:rsidR="00376E98" w:rsidRPr="008E6E0D" w:rsidRDefault="00376E98" w:rsidP="00DF0344">
            <w:pPr>
              <w:jc w:val="center"/>
              <w:rPr>
                <w:color w:val="000000"/>
                <w:sz w:val="16"/>
                <w:szCs w:val="16"/>
                <w:lang w:eastAsia="es-ES"/>
              </w:rPr>
            </w:pPr>
            <w:r w:rsidRPr="008E6E0D">
              <w:rPr>
                <w:color w:val="000000"/>
                <w:sz w:val="16"/>
                <w:szCs w:val="16"/>
                <w:lang w:eastAsia="es-ES"/>
              </w:rPr>
              <w:t>4.73 (2.85-7.86)</w:t>
            </w:r>
          </w:p>
        </w:tc>
        <w:tc>
          <w:tcPr>
            <w:tcW w:w="927" w:type="dxa"/>
            <w:tcBorders>
              <w:top w:val="nil"/>
              <w:left w:val="nil"/>
              <w:right w:val="nil"/>
            </w:tcBorders>
            <w:shd w:val="clear" w:color="auto" w:fill="auto"/>
            <w:noWrap/>
            <w:vAlign w:val="center"/>
            <w:hideMark/>
          </w:tcPr>
          <w:p w14:paraId="3D02937B" w14:textId="77777777" w:rsidR="00376E98" w:rsidRPr="008E6E0D" w:rsidRDefault="00376E98" w:rsidP="00DF0344">
            <w:pPr>
              <w:jc w:val="center"/>
              <w:rPr>
                <w:color w:val="000000"/>
                <w:sz w:val="16"/>
                <w:szCs w:val="16"/>
                <w:lang w:eastAsia="es-ES"/>
              </w:rPr>
            </w:pPr>
            <w:r w:rsidRPr="008E6E0D">
              <w:rPr>
                <w:color w:val="000000"/>
                <w:sz w:val="16"/>
                <w:szCs w:val="16"/>
                <w:lang w:eastAsia="es-ES"/>
              </w:rPr>
              <w:t>9.99x10</w:t>
            </w:r>
            <w:r w:rsidRPr="008E6E0D">
              <w:rPr>
                <w:color w:val="000000"/>
                <w:sz w:val="16"/>
                <w:szCs w:val="16"/>
                <w:vertAlign w:val="superscript"/>
                <w:lang w:eastAsia="es-ES"/>
              </w:rPr>
              <w:t>-10</w:t>
            </w:r>
          </w:p>
        </w:tc>
      </w:tr>
      <w:tr w:rsidR="00BE65CC" w:rsidRPr="008E6E0D" w14:paraId="7C27B9A5" w14:textId="77777777" w:rsidTr="00A84835">
        <w:trPr>
          <w:gridAfter w:val="1"/>
          <w:wAfter w:w="6" w:type="dxa"/>
          <w:cantSplit/>
          <w:trHeight w:val="260"/>
          <w:jc w:val="center"/>
        </w:trPr>
        <w:tc>
          <w:tcPr>
            <w:tcW w:w="1648" w:type="dxa"/>
            <w:tcBorders>
              <w:top w:val="nil"/>
              <w:left w:val="nil"/>
              <w:right w:val="nil"/>
            </w:tcBorders>
            <w:shd w:val="clear" w:color="auto" w:fill="auto"/>
            <w:noWrap/>
            <w:vAlign w:val="center"/>
          </w:tcPr>
          <w:p w14:paraId="3975A5C8" w14:textId="58B9A661" w:rsidR="00BE65CC" w:rsidRPr="008E6E0D" w:rsidRDefault="00BE65CC" w:rsidP="00BE65CC">
            <w:pPr>
              <w:rPr>
                <w:i/>
                <w:iCs/>
                <w:color w:val="000000"/>
                <w:sz w:val="16"/>
                <w:szCs w:val="16"/>
                <w:lang w:eastAsia="es-ES"/>
              </w:rPr>
            </w:pPr>
            <w:r w:rsidRPr="008E6E0D">
              <w:rPr>
                <w:i/>
                <w:iCs/>
                <w:color w:val="000000"/>
                <w:sz w:val="16"/>
                <w:szCs w:val="16"/>
                <w:lang w:eastAsia="es-ES"/>
              </w:rPr>
              <w:t>SLC5A12\FIBIN</w:t>
            </w:r>
          </w:p>
        </w:tc>
        <w:tc>
          <w:tcPr>
            <w:tcW w:w="1071" w:type="dxa"/>
            <w:tcBorders>
              <w:top w:val="nil"/>
              <w:left w:val="nil"/>
              <w:right w:val="nil"/>
            </w:tcBorders>
            <w:shd w:val="clear" w:color="auto" w:fill="auto"/>
            <w:noWrap/>
            <w:vAlign w:val="center"/>
          </w:tcPr>
          <w:p w14:paraId="7165A91E" w14:textId="6530BE7D" w:rsidR="00BE65CC" w:rsidRPr="008E6E0D" w:rsidRDefault="00BE65CC" w:rsidP="00BE65CC">
            <w:pPr>
              <w:jc w:val="center"/>
              <w:rPr>
                <w:color w:val="000000"/>
                <w:sz w:val="16"/>
                <w:szCs w:val="16"/>
                <w:lang w:eastAsia="es-ES"/>
              </w:rPr>
            </w:pPr>
            <w:r w:rsidRPr="008E6E0D">
              <w:rPr>
                <w:color w:val="000000"/>
                <w:sz w:val="16"/>
                <w:szCs w:val="16"/>
                <w:lang w:eastAsia="es-ES"/>
              </w:rPr>
              <w:t>rs146257041</w:t>
            </w:r>
          </w:p>
        </w:tc>
        <w:tc>
          <w:tcPr>
            <w:tcW w:w="585" w:type="dxa"/>
            <w:tcBorders>
              <w:top w:val="nil"/>
              <w:left w:val="nil"/>
            </w:tcBorders>
            <w:shd w:val="clear" w:color="auto" w:fill="auto"/>
            <w:noWrap/>
            <w:vAlign w:val="center"/>
          </w:tcPr>
          <w:p w14:paraId="6415DE54" w14:textId="1A08A6CA" w:rsidR="00BE65CC" w:rsidRPr="008E6E0D" w:rsidRDefault="00BE65CC" w:rsidP="00BE65CC">
            <w:pPr>
              <w:jc w:val="center"/>
              <w:rPr>
                <w:sz w:val="16"/>
                <w:szCs w:val="16"/>
                <w:lang w:eastAsia="es-ES"/>
              </w:rPr>
            </w:pPr>
            <w:r w:rsidRPr="008E6E0D">
              <w:rPr>
                <w:sz w:val="16"/>
                <w:szCs w:val="16"/>
                <w:lang w:eastAsia="es-ES"/>
              </w:rPr>
              <w:t>A/G</w:t>
            </w:r>
          </w:p>
        </w:tc>
        <w:tc>
          <w:tcPr>
            <w:tcW w:w="568" w:type="dxa"/>
            <w:tcBorders>
              <w:top w:val="nil"/>
            </w:tcBorders>
            <w:shd w:val="clear" w:color="auto" w:fill="auto"/>
            <w:noWrap/>
            <w:vAlign w:val="center"/>
          </w:tcPr>
          <w:p w14:paraId="35FF353A" w14:textId="2B4E8951" w:rsidR="00BE65CC" w:rsidRPr="008E6E0D" w:rsidRDefault="00BE65CC" w:rsidP="00BE65CC">
            <w:pPr>
              <w:jc w:val="center"/>
              <w:rPr>
                <w:sz w:val="16"/>
                <w:szCs w:val="16"/>
                <w:lang w:eastAsia="es-ES"/>
              </w:rPr>
            </w:pPr>
            <w:r w:rsidRPr="008E6E0D">
              <w:rPr>
                <w:sz w:val="16"/>
                <w:szCs w:val="16"/>
                <w:lang w:eastAsia="es-ES"/>
              </w:rPr>
              <w:t>1.638</w:t>
            </w:r>
          </w:p>
        </w:tc>
        <w:tc>
          <w:tcPr>
            <w:tcW w:w="531" w:type="dxa"/>
            <w:tcBorders>
              <w:top w:val="nil"/>
            </w:tcBorders>
            <w:shd w:val="clear" w:color="auto" w:fill="auto"/>
            <w:noWrap/>
            <w:vAlign w:val="center"/>
          </w:tcPr>
          <w:p w14:paraId="1AA9BD73" w14:textId="7EF6AABC" w:rsidR="00BE65CC" w:rsidRPr="008E6E0D" w:rsidRDefault="00BE65CC" w:rsidP="00BE65CC">
            <w:pPr>
              <w:jc w:val="center"/>
              <w:rPr>
                <w:sz w:val="16"/>
                <w:szCs w:val="16"/>
                <w:lang w:eastAsia="es-ES"/>
              </w:rPr>
            </w:pPr>
            <w:r w:rsidRPr="008E6E0D">
              <w:rPr>
                <w:sz w:val="16"/>
                <w:szCs w:val="16"/>
                <w:lang w:eastAsia="es-ES"/>
              </w:rPr>
              <w:t>0.266</w:t>
            </w:r>
          </w:p>
        </w:tc>
        <w:tc>
          <w:tcPr>
            <w:tcW w:w="891" w:type="dxa"/>
            <w:tcBorders>
              <w:top w:val="nil"/>
            </w:tcBorders>
            <w:shd w:val="clear" w:color="auto" w:fill="auto"/>
            <w:noWrap/>
            <w:vAlign w:val="center"/>
          </w:tcPr>
          <w:p w14:paraId="7CD5B446" w14:textId="35A39063" w:rsidR="00BE65CC" w:rsidRPr="008E6E0D" w:rsidRDefault="00BE65CC" w:rsidP="00BE65CC">
            <w:pPr>
              <w:jc w:val="center"/>
              <w:rPr>
                <w:color w:val="000000"/>
                <w:sz w:val="16"/>
                <w:szCs w:val="16"/>
                <w:lang w:eastAsia="es-ES"/>
              </w:rPr>
            </w:pPr>
            <w:r w:rsidRPr="008E6E0D">
              <w:rPr>
                <w:color w:val="000000"/>
                <w:sz w:val="16"/>
                <w:szCs w:val="16"/>
                <w:lang w:eastAsia="es-ES"/>
              </w:rPr>
              <w:t>7.04x10</w:t>
            </w:r>
            <w:r w:rsidRPr="008E6E0D">
              <w:rPr>
                <w:color w:val="000000"/>
                <w:sz w:val="16"/>
                <w:szCs w:val="16"/>
                <w:vertAlign w:val="superscript"/>
                <w:lang w:eastAsia="es-ES"/>
              </w:rPr>
              <w:t>-10</w:t>
            </w:r>
          </w:p>
        </w:tc>
        <w:tc>
          <w:tcPr>
            <w:tcW w:w="531" w:type="dxa"/>
            <w:tcBorders>
              <w:top w:val="nil"/>
              <w:left w:val="nil"/>
              <w:right w:val="nil"/>
            </w:tcBorders>
            <w:shd w:val="clear" w:color="auto" w:fill="auto"/>
            <w:noWrap/>
            <w:vAlign w:val="center"/>
          </w:tcPr>
          <w:p w14:paraId="2D71D6EB" w14:textId="3C430D76" w:rsidR="00BE65CC" w:rsidRPr="008E6E0D" w:rsidRDefault="00BE65CC" w:rsidP="00BE65CC">
            <w:pPr>
              <w:jc w:val="center"/>
              <w:rPr>
                <w:color w:val="000000"/>
                <w:sz w:val="16"/>
                <w:szCs w:val="16"/>
                <w:lang w:eastAsia="es-ES"/>
              </w:rPr>
            </w:pPr>
            <w:r w:rsidRPr="008E6E0D">
              <w:rPr>
                <w:color w:val="000000"/>
                <w:sz w:val="16"/>
                <w:szCs w:val="16"/>
                <w:lang w:eastAsia="es-ES"/>
              </w:rPr>
              <w:t>0.675</w:t>
            </w:r>
          </w:p>
        </w:tc>
        <w:tc>
          <w:tcPr>
            <w:tcW w:w="531" w:type="dxa"/>
            <w:tcBorders>
              <w:top w:val="nil"/>
              <w:left w:val="nil"/>
              <w:right w:val="nil"/>
            </w:tcBorders>
            <w:shd w:val="clear" w:color="auto" w:fill="auto"/>
            <w:noWrap/>
            <w:vAlign w:val="center"/>
          </w:tcPr>
          <w:p w14:paraId="034EC805" w14:textId="73684394" w:rsidR="00BE65CC" w:rsidRPr="008E6E0D" w:rsidRDefault="00BE65CC" w:rsidP="00BE65CC">
            <w:pPr>
              <w:jc w:val="center"/>
              <w:rPr>
                <w:color w:val="000000"/>
                <w:sz w:val="16"/>
                <w:szCs w:val="16"/>
                <w:lang w:eastAsia="es-ES"/>
              </w:rPr>
            </w:pPr>
            <w:r w:rsidRPr="008E6E0D">
              <w:rPr>
                <w:color w:val="000000"/>
                <w:sz w:val="16"/>
                <w:szCs w:val="16"/>
                <w:lang w:eastAsia="es-ES"/>
              </w:rPr>
              <w:t>0.355</w:t>
            </w:r>
          </w:p>
        </w:tc>
        <w:tc>
          <w:tcPr>
            <w:tcW w:w="640" w:type="dxa"/>
            <w:tcBorders>
              <w:top w:val="nil"/>
              <w:left w:val="nil"/>
            </w:tcBorders>
            <w:shd w:val="clear" w:color="auto" w:fill="auto"/>
            <w:noWrap/>
            <w:vAlign w:val="center"/>
          </w:tcPr>
          <w:p w14:paraId="005C28B5" w14:textId="01F56B32" w:rsidR="00BE65CC" w:rsidRPr="008E6E0D" w:rsidRDefault="00BE65CC" w:rsidP="00BE65CC">
            <w:pPr>
              <w:jc w:val="center"/>
              <w:rPr>
                <w:color w:val="000000"/>
                <w:sz w:val="16"/>
                <w:szCs w:val="16"/>
                <w:lang w:eastAsia="es-ES"/>
              </w:rPr>
            </w:pPr>
            <w:r w:rsidRPr="008E6E0D">
              <w:rPr>
                <w:color w:val="000000"/>
                <w:sz w:val="16"/>
                <w:szCs w:val="16"/>
                <w:lang w:eastAsia="es-ES"/>
              </w:rPr>
              <w:t>0.057</w:t>
            </w:r>
          </w:p>
        </w:tc>
        <w:tc>
          <w:tcPr>
            <w:tcW w:w="531" w:type="dxa"/>
            <w:tcBorders>
              <w:top w:val="nil"/>
              <w:left w:val="nil"/>
              <w:right w:val="nil"/>
            </w:tcBorders>
            <w:shd w:val="clear" w:color="auto" w:fill="auto"/>
            <w:noWrap/>
            <w:vAlign w:val="center"/>
          </w:tcPr>
          <w:p w14:paraId="6A9266C5" w14:textId="0EED1B2F" w:rsidR="00BE65CC" w:rsidRPr="008E6E0D" w:rsidRDefault="00BE65CC" w:rsidP="00BE65CC">
            <w:pPr>
              <w:jc w:val="center"/>
              <w:rPr>
                <w:color w:val="000000"/>
                <w:sz w:val="16"/>
                <w:szCs w:val="16"/>
                <w:lang w:eastAsia="es-ES"/>
              </w:rPr>
            </w:pPr>
            <w:r w:rsidRPr="008E6E0D">
              <w:rPr>
                <w:color w:val="000000"/>
                <w:sz w:val="16"/>
                <w:szCs w:val="16"/>
                <w:lang w:eastAsia="es-ES"/>
              </w:rPr>
              <w:t>1.630</w:t>
            </w:r>
          </w:p>
        </w:tc>
        <w:tc>
          <w:tcPr>
            <w:tcW w:w="531" w:type="dxa"/>
            <w:tcBorders>
              <w:top w:val="nil"/>
              <w:left w:val="nil"/>
              <w:right w:val="nil"/>
            </w:tcBorders>
            <w:shd w:val="clear" w:color="auto" w:fill="auto"/>
            <w:noWrap/>
            <w:vAlign w:val="center"/>
          </w:tcPr>
          <w:p w14:paraId="0D7D7B31" w14:textId="3938823D" w:rsidR="00BE65CC" w:rsidRPr="008E6E0D" w:rsidRDefault="00BE65CC" w:rsidP="00BE65CC">
            <w:pPr>
              <w:jc w:val="center"/>
              <w:rPr>
                <w:color w:val="000000"/>
                <w:sz w:val="16"/>
                <w:szCs w:val="16"/>
                <w:lang w:eastAsia="es-ES"/>
              </w:rPr>
            </w:pPr>
            <w:r w:rsidRPr="008E6E0D">
              <w:rPr>
                <w:color w:val="000000"/>
                <w:sz w:val="16"/>
                <w:szCs w:val="16"/>
                <w:lang w:eastAsia="es-ES"/>
              </w:rPr>
              <w:t>0.266</w:t>
            </w:r>
          </w:p>
        </w:tc>
        <w:tc>
          <w:tcPr>
            <w:tcW w:w="1548" w:type="dxa"/>
            <w:tcBorders>
              <w:top w:val="nil"/>
              <w:left w:val="nil"/>
              <w:right w:val="nil"/>
            </w:tcBorders>
            <w:shd w:val="clear" w:color="auto" w:fill="auto"/>
            <w:noWrap/>
            <w:vAlign w:val="center"/>
          </w:tcPr>
          <w:p w14:paraId="21EBB209" w14:textId="30736A36" w:rsidR="00BE65CC" w:rsidRPr="008E6E0D" w:rsidRDefault="00BE65CC" w:rsidP="00BE65CC">
            <w:pPr>
              <w:jc w:val="center"/>
              <w:rPr>
                <w:color w:val="000000"/>
                <w:sz w:val="16"/>
                <w:szCs w:val="16"/>
                <w:lang w:eastAsia="es-ES"/>
              </w:rPr>
            </w:pPr>
            <w:r w:rsidRPr="008E6E0D">
              <w:rPr>
                <w:color w:val="000000"/>
                <w:sz w:val="16"/>
                <w:szCs w:val="16"/>
                <w:lang w:eastAsia="es-ES"/>
              </w:rPr>
              <w:t>5.10 (3.03-8.59)</w:t>
            </w:r>
          </w:p>
        </w:tc>
        <w:tc>
          <w:tcPr>
            <w:tcW w:w="927" w:type="dxa"/>
            <w:tcBorders>
              <w:top w:val="nil"/>
              <w:left w:val="nil"/>
              <w:right w:val="nil"/>
            </w:tcBorders>
            <w:shd w:val="clear" w:color="auto" w:fill="auto"/>
            <w:noWrap/>
            <w:vAlign w:val="center"/>
          </w:tcPr>
          <w:p w14:paraId="6A19D5B0" w14:textId="7B640F40" w:rsidR="00BE65CC" w:rsidRPr="008E6E0D" w:rsidRDefault="00BE65CC" w:rsidP="00BE65CC">
            <w:pPr>
              <w:jc w:val="center"/>
              <w:rPr>
                <w:color w:val="000000"/>
                <w:sz w:val="16"/>
                <w:szCs w:val="16"/>
                <w:lang w:eastAsia="es-ES"/>
              </w:rPr>
            </w:pPr>
            <w:r w:rsidRPr="008E6E0D">
              <w:rPr>
                <w:color w:val="000000"/>
                <w:sz w:val="16"/>
                <w:szCs w:val="16"/>
                <w:lang w:eastAsia="es-ES"/>
              </w:rPr>
              <w:t>4.39x10</w:t>
            </w:r>
            <w:r w:rsidRPr="008E6E0D">
              <w:rPr>
                <w:color w:val="000000"/>
                <w:sz w:val="16"/>
                <w:szCs w:val="16"/>
                <w:vertAlign w:val="superscript"/>
                <w:lang w:eastAsia="es-ES"/>
              </w:rPr>
              <w:t>-10</w:t>
            </w:r>
          </w:p>
        </w:tc>
      </w:tr>
      <w:tr w:rsidR="00BE65CC" w:rsidRPr="008E6E0D" w14:paraId="67727954" w14:textId="77777777" w:rsidTr="00A84835">
        <w:trPr>
          <w:gridAfter w:val="1"/>
          <w:wAfter w:w="6" w:type="dxa"/>
          <w:cantSplit/>
          <w:trHeight w:val="260"/>
          <w:jc w:val="center"/>
        </w:trPr>
        <w:tc>
          <w:tcPr>
            <w:tcW w:w="1648" w:type="dxa"/>
            <w:tcBorders>
              <w:left w:val="nil"/>
              <w:bottom w:val="single" w:sz="4" w:space="0" w:color="auto"/>
              <w:right w:val="nil"/>
            </w:tcBorders>
            <w:shd w:val="clear" w:color="auto" w:fill="auto"/>
            <w:noWrap/>
            <w:vAlign w:val="center"/>
            <w:hideMark/>
          </w:tcPr>
          <w:p w14:paraId="11A11D0C" w14:textId="77777777" w:rsidR="00BE65CC" w:rsidRPr="008E6E0D" w:rsidRDefault="00BE65CC" w:rsidP="00BE65CC">
            <w:pPr>
              <w:rPr>
                <w:i/>
                <w:iCs/>
                <w:color w:val="000000"/>
                <w:sz w:val="16"/>
                <w:szCs w:val="16"/>
                <w:lang w:eastAsia="es-ES"/>
              </w:rPr>
            </w:pPr>
            <w:r w:rsidRPr="008E6E0D">
              <w:rPr>
                <w:i/>
                <w:iCs/>
                <w:color w:val="000000"/>
                <w:sz w:val="16"/>
                <w:szCs w:val="16"/>
                <w:lang w:eastAsia="es-ES"/>
              </w:rPr>
              <w:t>LINC00378\MIR3169</w:t>
            </w:r>
          </w:p>
        </w:tc>
        <w:tc>
          <w:tcPr>
            <w:tcW w:w="1071" w:type="dxa"/>
            <w:tcBorders>
              <w:left w:val="nil"/>
              <w:bottom w:val="single" w:sz="4" w:space="0" w:color="auto"/>
              <w:right w:val="nil"/>
            </w:tcBorders>
            <w:shd w:val="clear" w:color="auto" w:fill="auto"/>
            <w:noWrap/>
            <w:vAlign w:val="center"/>
            <w:hideMark/>
          </w:tcPr>
          <w:p w14:paraId="6CE42142" w14:textId="77777777" w:rsidR="00BE65CC" w:rsidRPr="008E6E0D" w:rsidRDefault="00BE65CC" w:rsidP="00BE65CC">
            <w:pPr>
              <w:jc w:val="center"/>
              <w:rPr>
                <w:color w:val="000000"/>
                <w:sz w:val="16"/>
                <w:szCs w:val="16"/>
                <w:lang w:eastAsia="es-ES"/>
              </w:rPr>
            </w:pPr>
            <w:r w:rsidRPr="008E6E0D">
              <w:rPr>
                <w:color w:val="000000"/>
                <w:sz w:val="16"/>
                <w:szCs w:val="16"/>
                <w:lang w:eastAsia="es-ES"/>
              </w:rPr>
              <w:t>rs138347802</w:t>
            </w:r>
          </w:p>
        </w:tc>
        <w:tc>
          <w:tcPr>
            <w:tcW w:w="585" w:type="dxa"/>
            <w:tcBorders>
              <w:left w:val="nil"/>
              <w:bottom w:val="single" w:sz="4" w:space="0" w:color="auto"/>
            </w:tcBorders>
            <w:shd w:val="clear" w:color="auto" w:fill="auto"/>
            <w:noWrap/>
            <w:vAlign w:val="center"/>
            <w:hideMark/>
          </w:tcPr>
          <w:p w14:paraId="06DCE142" w14:textId="77777777" w:rsidR="00BE65CC" w:rsidRPr="008E6E0D" w:rsidRDefault="00BE65CC" w:rsidP="00BE65CC">
            <w:pPr>
              <w:jc w:val="center"/>
              <w:rPr>
                <w:sz w:val="16"/>
                <w:szCs w:val="16"/>
                <w:lang w:eastAsia="es-ES"/>
              </w:rPr>
            </w:pPr>
            <w:r w:rsidRPr="008E6E0D">
              <w:rPr>
                <w:sz w:val="16"/>
                <w:szCs w:val="16"/>
                <w:lang w:eastAsia="es-ES"/>
              </w:rPr>
              <w:t>A/G</w:t>
            </w:r>
          </w:p>
        </w:tc>
        <w:tc>
          <w:tcPr>
            <w:tcW w:w="568" w:type="dxa"/>
            <w:tcBorders>
              <w:bottom w:val="single" w:sz="4" w:space="0" w:color="auto"/>
            </w:tcBorders>
            <w:shd w:val="clear" w:color="auto" w:fill="auto"/>
            <w:noWrap/>
            <w:vAlign w:val="center"/>
            <w:hideMark/>
          </w:tcPr>
          <w:p w14:paraId="62BA5340" w14:textId="77777777" w:rsidR="00BE65CC" w:rsidRPr="008E6E0D" w:rsidRDefault="00BE65CC" w:rsidP="00BE65CC">
            <w:pPr>
              <w:jc w:val="center"/>
              <w:rPr>
                <w:sz w:val="16"/>
                <w:szCs w:val="16"/>
                <w:lang w:eastAsia="es-ES"/>
              </w:rPr>
            </w:pPr>
            <w:r w:rsidRPr="008E6E0D">
              <w:rPr>
                <w:sz w:val="16"/>
                <w:szCs w:val="16"/>
                <w:lang w:eastAsia="es-ES"/>
              </w:rPr>
              <w:t>2.120</w:t>
            </w:r>
          </w:p>
        </w:tc>
        <w:tc>
          <w:tcPr>
            <w:tcW w:w="531" w:type="dxa"/>
            <w:tcBorders>
              <w:bottom w:val="single" w:sz="4" w:space="0" w:color="auto"/>
            </w:tcBorders>
            <w:shd w:val="clear" w:color="auto" w:fill="auto"/>
            <w:noWrap/>
            <w:vAlign w:val="center"/>
            <w:hideMark/>
          </w:tcPr>
          <w:p w14:paraId="2118B9E2" w14:textId="77777777" w:rsidR="00BE65CC" w:rsidRPr="008E6E0D" w:rsidRDefault="00BE65CC" w:rsidP="00BE65CC">
            <w:pPr>
              <w:jc w:val="center"/>
              <w:rPr>
                <w:sz w:val="16"/>
                <w:szCs w:val="16"/>
                <w:lang w:eastAsia="es-ES"/>
              </w:rPr>
            </w:pPr>
            <w:r w:rsidRPr="008E6E0D">
              <w:rPr>
                <w:sz w:val="16"/>
                <w:szCs w:val="16"/>
                <w:lang w:eastAsia="es-ES"/>
              </w:rPr>
              <w:t>0.362</w:t>
            </w:r>
          </w:p>
        </w:tc>
        <w:tc>
          <w:tcPr>
            <w:tcW w:w="891" w:type="dxa"/>
            <w:tcBorders>
              <w:bottom w:val="single" w:sz="4" w:space="0" w:color="auto"/>
            </w:tcBorders>
            <w:shd w:val="clear" w:color="auto" w:fill="auto"/>
            <w:noWrap/>
            <w:vAlign w:val="center"/>
            <w:hideMark/>
          </w:tcPr>
          <w:p w14:paraId="4C9FE1B3" w14:textId="77777777" w:rsidR="00BE65CC" w:rsidRPr="008E6E0D" w:rsidRDefault="00BE65CC" w:rsidP="00BE65CC">
            <w:pPr>
              <w:jc w:val="center"/>
              <w:rPr>
                <w:color w:val="000000"/>
                <w:sz w:val="16"/>
                <w:szCs w:val="16"/>
                <w:lang w:eastAsia="es-ES"/>
              </w:rPr>
            </w:pPr>
            <w:r w:rsidRPr="008E6E0D">
              <w:rPr>
                <w:color w:val="000000"/>
                <w:sz w:val="16"/>
                <w:szCs w:val="16"/>
                <w:lang w:eastAsia="es-ES"/>
              </w:rPr>
              <w:t>4.56x10</w:t>
            </w:r>
            <w:r w:rsidRPr="008E6E0D">
              <w:rPr>
                <w:color w:val="000000"/>
                <w:sz w:val="16"/>
                <w:szCs w:val="16"/>
                <w:vertAlign w:val="superscript"/>
                <w:lang w:eastAsia="es-ES"/>
              </w:rPr>
              <w:t>-9</w:t>
            </w:r>
          </w:p>
        </w:tc>
        <w:tc>
          <w:tcPr>
            <w:tcW w:w="531" w:type="dxa"/>
            <w:tcBorders>
              <w:left w:val="nil"/>
              <w:bottom w:val="single" w:sz="4" w:space="0" w:color="auto"/>
              <w:right w:val="nil"/>
            </w:tcBorders>
            <w:shd w:val="clear" w:color="auto" w:fill="auto"/>
            <w:noWrap/>
            <w:vAlign w:val="center"/>
            <w:hideMark/>
          </w:tcPr>
          <w:p w14:paraId="2CA27E9F" w14:textId="77777777" w:rsidR="00BE65CC" w:rsidRPr="008E6E0D" w:rsidRDefault="00BE65CC" w:rsidP="00BE65CC">
            <w:pPr>
              <w:jc w:val="center"/>
              <w:rPr>
                <w:color w:val="000000"/>
                <w:sz w:val="16"/>
                <w:szCs w:val="16"/>
                <w:lang w:eastAsia="es-ES"/>
              </w:rPr>
            </w:pPr>
            <w:r w:rsidRPr="008E6E0D">
              <w:rPr>
                <w:color w:val="000000"/>
                <w:sz w:val="16"/>
                <w:szCs w:val="16"/>
                <w:lang w:eastAsia="es-ES"/>
              </w:rPr>
              <w:t>0.202</w:t>
            </w:r>
          </w:p>
        </w:tc>
        <w:tc>
          <w:tcPr>
            <w:tcW w:w="531" w:type="dxa"/>
            <w:tcBorders>
              <w:left w:val="nil"/>
              <w:bottom w:val="single" w:sz="4" w:space="0" w:color="auto"/>
              <w:right w:val="nil"/>
            </w:tcBorders>
            <w:shd w:val="clear" w:color="auto" w:fill="auto"/>
            <w:noWrap/>
            <w:vAlign w:val="center"/>
            <w:hideMark/>
          </w:tcPr>
          <w:p w14:paraId="70E0777F" w14:textId="77777777" w:rsidR="00BE65CC" w:rsidRPr="008E6E0D" w:rsidRDefault="00BE65CC" w:rsidP="00BE65CC">
            <w:pPr>
              <w:jc w:val="center"/>
              <w:rPr>
                <w:color w:val="000000"/>
                <w:sz w:val="16"/>
                <w:szCs w:val="16"/>
                <w:lang w:eastAsia="es-ES"/>
              </w:rPr>
            </w:pPr>
            <w:r w:rsidRPr="008E6E0D">
              <w:rPr>
                <w:color w:val="000000"/>
                <w:sz w:val="16"/>
                <w:szCs w:val="16"/>
                <w:lang w:eastAsia="es-ES"/>
              </w:rPr>
              <w:t>0.405</w:t>
            </w:r>
          </w:p>
        </w:tc>
        <w:tc>
          <w:tcPr>
            <w:tcW w:w="640" w:type="dxa"/>
            <w:tcBorders>
              <w:left w:val="nil"/>
              <w:bottom w:val="single" w:sz="4" w:space="0" w:color="auto"/>
            </w:tcBorders>
            <w:shd w:val="clear" w:color="auto" w:fill="auto"/>
            <w:noWrap/>
            <w:vAlign w:val="center"/>
            <w:hideMark/>
          </w:tcPr>
          <w:p w14:paraId="6E5525E4" w14:textId="77777777" w:rsidR="00BE65CC" w:rsidRPr="008E6E0D" w:rsidRDefault="00BE65CC" w:rsidP="00BE65CC">
            <w:pPr>
              <w:jc w:val="center"/>
              <w:rPr>
                <w:color w:val="000000"/>
                <w:sz w:val="16"/>
                <w:szCs w:val="16"/>
                <w:lang w:eastAsia="es-ES"/>
              </w:rPr>
            </w:pPr>
            <w:r w:rsidRPr="008E6E0D">
              <w:rPr>
                <w:color w:val="000000"/>
                <w:sz w:val="16"/>
                <w:szCs w:val="16"/>
                <w:lang w:eastAsia="es-ES"/>
              </w:rPr>
              <w:t>0.617</w:t>
            </w:r>
          </w:p>
        </w:tc>
        <w:tc>
          <w:tcPr>
            <w:tcW w:w="531" w:type="dxa"/>
            <w:tcBorders>
              <w:left w:val="nil"/>
              <w:bottom w:val="single" w:sz="4" w:space="0" w:color="auto"/>
              <w:right w:val="nil"/>
            </w:tcBorders>
            <w:shd w:val="clear" w:color="auto" w:fill="auto"/>
            <w:noWrap/>
            <w:vAlign w:val="center"/>
            <w:hideMark/>
          </w:tcPr>
          <w:p w14:paraId="539B8540" w14:textId="77777777" w:rsidR="00BE65CC" w:rsidRPr="008E6E0D" w:rsidRDefault="00BE65CC" w:rsidP="00BE65CC">
            <w:pPr>
              <w:jc w:val="center"/>
              <w:rPr>
                <w:color w:val="000000"/>
                <w:sz w:val="16"/>
                <w:szCs w:val="16"/>
                <w:lang w:eastAsia="es-ES"/>
              </w:rPr>
            </w:pPr>
            <w:r w:rsidRPr="008E6E0D">
              <w:rPr>
                <w:color w:val="000000"/>
                <w:sz w:val="16"/>
                <w:szCs w:val="16"/>
                <w:lang w:eastAsia="es-ES"/>
              </w:rPr>
              <w:t>2.117</w:t>
            </w:r>
          </w:p>
        </w:tc>
        <w:tc>
          <w:tcPr>
            <w:tcW w:w="531" w:type="dxa"/>
            <w:tcBorders>
              <w:left w:val="nil"/>
              <w:bottom w:val="single" w:sz="4" w:space="0" w:color="auto"/>
              <w:right w:val="nil"/>
            </w:tcBorders>
            <w:shd w:val="clear" w:color="auto" w:fill="auto"/>
            <w:noWrap/>
            <w:vAlign w:val="center"/>
            <w:hideMark/>
          </w:tcPr>
          <w:p w14:paraId="1053D7F9" w14:textId="77777777" w:rsidR="00BE65CC" w:rsidRPr="008E6E0D" w:rsidRDefault="00BE65CC" w:rsidP="00BE65CC">
            <w:pPr>
              <w:jc w:val="center"/>
              <w:rPr>
                <w:color w:val="000000"/>
                <w:sz w:val="16"/>
                <w:szCs w:val="16"/>
                <w:lang w:eastAsia="es-ES"/>
              </w:rPr>
            </w:pPr>
            <w:r w:rsidRPr="008E6E0D">
              <w:rPr>
                <w:color w:val="000000"/>
                <w:sz w:val="16"/>
                <w:szCs w:val="16"/>
                <w:lang w:eastAsia="es-ES"/>
              </w:rPr>
              <w:t>0.362</w:t>
            </w:r>
          </w:p>
        </w:tc>
        <w:tc>
          <w:tcPr>
            <w:tcW w:w="1548" w:type="dxa"/>
            <w:tcBorders>
              <w:left w:val="nil"/>
              <w:bottom w:val="single" w:sz="4" w:space="0" w:color="auto"/>
              <w:right w:val="nil"/>
            </w:tcBorders>
            <w:shd w:val="clear" w:color="auto" w:fill="auto"/>
            <w:noWrap/>
            <w:vAlign w:val="center"/>
            <w:hideMark/>
          </w:tcPr>
          <w:p w14:paraId="7B911843" w14:textId="77777777" w:rsidR="00BE65CC" w:rsidRPr="008E6E0D" w:rsidRDefault="00BE65CC" w:rsidP="00BE65CC">
            <w:pPr>
              <w:jc w:val="center"/>
              <w:rPr>
                <w:color w:val="000000"/>
                <w:sz w:val="16"/>
                <w:szCs w:val="16"/>
                <w:lang w:eastAsia="es-ES"/>
              </w:rPr>
            </w:pPr>
            <w:r w:rsidRPr="008E6E0D">
              <w:rPr>
                <w:color w:val="000000"/>
                <w:sz w:val="16"/>
                <w:szCs w:val="16"/>
                <w:lang w:eastAsia="es-ES"/>
              </w:rPr>
              <w:t>8.31 (4.09-16.88)</w:t>
            </w:r>
          </w:p>
        </w:tc>
        <w:tc>
          <w:tcPr>
            <w:tcW w:w="927" w:type="dxa"/>
            <w:tcBorders>
              <w:left w:val="nil"/>
              <w:bottom w:val="single" w:sz="4" w:space="0" w:color="auto"/>
              <w:right w:val="nil"/>
            </w:tcBorders>
            <w:shd w:val="clear" w:color="auto" w:fill="auto"/>
            <w:noWrap/>
            <w:vAlign w:val="center"/>
            <w:hideMark/>
          </w:tcPr>
          <w:p w14:paraId="085CB403" w14:textId="77777777" w:rsidR="00BE65CC" w:rsidRPr="008E6E0D" w:rsidRDefault="00BE65CC" w:rsidP="00BE65CC">
            <w:pPr>
              <w:jc w:val="center"/>
              <w:rPr>
                <w:color w:val="000000"/>
                <w:sz w:val="16"/>
                <w:szCs w:val="16"/>
                <w:lang w:eastAsia="es-ES"/>
              </w:rPr>
            </w:pPr>
            <w:r w:rsidRPr="008E6E0D">
              <w:rPr>
                <w:color w:val="000000"/>
                <w:sz w:val="16"/>
                <w:szCs w:val="16"/>
                <w:lang w:eastAsia="es-ES"/>
              </w:rPr>
              <w:t>2.40x10</w:t>
            </w:r>
            <w:r w:rsidRPr="008E6E0D">
              <w:rPr>
                <w:color w:val="000000"/>
                <w:sz w:val="16"/>
                <w:szCs w:val="16"/>
                <w:vertAlign w:val="superscript"/>
                <w:lang w:eastAsia="es-ES"/>
              </w:rPr>
              <w:t>-9</w:t>
            </w:r>
          </w:p>
        </w:tc>
      </w:tr>
      <w:tr w:rsidR="00BE65CC" w:rsidRPr="008E6E0D" w14:paraId="42FC42DE" w14:textId="77777777" w:rsidTr="00A84835">
        <w:trPr>
          <w:cantSplit/>
          <w:trHeight w:val="260"/>
          <w:jc w:val="center"/>
        </w:trPr>
        <w:tc>
          <w:tcPr>
            <w:tcW w:w="10539" w:type="dxa"/>
            <w:gridSpan w:val="14"/>
            <w:tcBorders>
              <w:top w:val="nil"/>
              <w:left w:val="nil"/>
              <w:bottom w:val="single" w:sz="4" w:space="0" w:color="auto"/>
              <w:right w:val="nil"/>
            </w:tcBorders>
            <w:shd w:val="clear" w:color="auto" w:fill="auto"/>
            <w:noWrap/>
            <w:vAlign w:val="center"/>
          </w:tcPr>
          <w:p w14:paraId="2DA58C18" w14:textId="1935CEAF" w:rsidR="00BE65CC" w:rsidRPr="008E6E0D" w:rsidRDefault="00BE65CC" w:rsidP="00BE65CC">
            <w:pPr>
              <w:rPr>
                <w:color w:val="000000"/>
                <w:sz w:val="16"/>
                <w:szCs w:val="16"/>
                <w:lang w:eastAsia="es-ES"/>
              </w:rPr>
            </w:pPr>
            <w:r w:rsidRPr="008E6E0D">
              <w:rPr>
                <w:color w:val="000000"/>
                <w:sz w:val="16"/>
                <w:szCs w:val="16"/>
                <w:lang w:eastAsia="es-ES"/>
              </w:rPr>
              <w:t>A1: Ref allele; A2: Effect allel</w:t>
            </w:r>
            <w:r w:rsidR="00C73FB5" w:rsidRPr="008E6E0D">
              <w:rPr>
                <w:color w:val="000000"/>
                <w:sz w:val="16"/>
                <w:szCs w:val="16"/>
                <w:lang w:eastAsia="es-ES"/>
              </w:rPr>
              <w:t>e; EA</w:t>
            </w:r>
            <w:r w:rsidR="005A23D1" w:rsidRPr="008E6E0D">
              <w:rPr>
                <w:color w:val="000000"/>
                <w:sz w:val="16"/>
                <w:szCs w:val="16"/>
                <w:lang w:eastAsia="es-ES"/>
              </w:rPr>
              <w:t>F: Effect allele frequency; HR: Hazard ratio.</w:t>
            </w:r>
          </w:p>
        </w:tc>
      </w:tr>
    </w:tbl>
    <w:p w14:paraId="0E5C0F0A" w14:textId="52A2023E" w:rsidR="004019B7" w:rsidRPr="008E6E0D" w:rsidRDefault="004019B7" w:rsidP="004019B7">
      <w:pPr>
        <w:rPr>
          <w:sz w:val="20"/>
          <w:szCs w:val="20"/>
        </w:rPr>
      </w:pPr>
    </w:p>
    <w:p w14:paraId="7CC10854" w14:textId="5F2E9CDB" w:rsidR="004019B7" w:rsidRPr="008E6E0D" w:rsidRDefault="004019B7" w:rsidP="004019B7">
      <w:pPr>
        <w:rPr>
          <w:sz w:val="20"/>
          <w:szCs w:val="20"/>
        </w:rPr>
      </w:pPr>
    </w:p>
    <w:p w14:paraId="1A44700D" w14:textId="4E8B6B2E" w:rsidR="00171F47" w:rsidRPr="008E6E0D" w:rsidRDefault="00171F47" w:rsidP="004019B7">
      <w:pPr>
        <w:rPr>
          <w:sz w:val="20"/>
          <w:szCs w:val="20"/>
        </w:rPr>
      </w:pPr>
    </w:p>
    <w:p w14:paraId="559B8FFD" w14:textId="4BEFB34D" w:rsidR="00171F47" w:rsidRPr="008E6E0D" w:rsidRDefault="00171F47" w:rsidP="004019B7">
      <w:pPr>
        <w:rPr>
          <w:sz w:val="20"/>
          <w:szCs w:val="20"/>
        </w:rPr>
      </w:pPr>
    </w:p>
    <w:p w14:paraId="45BE7B5F" w14:textId="47304C10" w:rsidR="00171F47" w:rsidRPr="008E6E0D" w:rsidRDefault="00171F47" w:rsidP="004019B7">
      <w:pPr>
        <w:rPr>
          <w:sz w:val="20"/>
          <w:szCs w:val="20"/>
        </w:rPr>
      </w:pPr>
    </w:p>
    <w:p w14:paraId="22E2CA6C" w14:textId="717C4515" w:rsidR="00A84835" w:rsidRPr="008E6E0D" w:rsidRDefault="00A84835" w:rsidP="004019B7">
      <w:pPr>
        <w:rPr>
          <w:sz w:val="20"/>
          <w:szCs w:val="20"/>
        </w:rPr>
      </w:pPr>
    </w:p>
    <w:p w14:paraId="47732B24" w14:textId="284AEF4D" w:rsidR="00A84835" w:rsidRPr="008E6E0D" w:rsidRDefault="00A84835" w:rsidP="004019B7">
      <w:pPr>
        <w:rPr>
          <w:sz w:val="20"/>
          <w:szCs w:val="20"/>
        </w:rPr>
      </w:pPr>
    </w:p>
    <w:p w14:paraId="5DCB340A" w14:textId="57984005" w:rsidR="00A84835" w:rsidRPr="008E6E0D" w:rsidRDefault="00A84835" w:rsidP="004019B7">
      <w:pPr>
        <w:rPr>
          <w:sz w:val="20"/>
          <w:szCs w:val="20"/>
        </w:rPr>
      </w:pPr>
    </w:p>
    <w:p w14:paraId="06DCD83C" w14:textId="61603629" w:rsidR="00A84835" w:rsidRPr="008E6E0D" w:rsidRDefault="00A84835" w:rsidP="004019B7">
      <w:pPr>
        <w:rPr>
          <w:sz w:val="20"/>
          <w:szCs w:val="20"/>
        </w:rPr>
      </w:pPr>
    </w:p>
    <w:p w14:paraId="430A9DDC" w14:textId="0956C808" w:rsidR="00A84835" w:rsidRPr="008E6E0D" w:rsidRDefault="00A84835" w:rsidP="004019B7">
      <w:pPr>
        <w:rPr>
          <w:sz w:val="20"/>
          <w:szCs w:val="20"/>
        </w:rPr>
      </w:pPr>
    </w:p>
    <w:p w14:paraId="61449CD7" w14:textId="2041DE51" w:rsidR="00A84835" w:rsidRPr="008E6E0D" w:rsidRDefault="00A84835" w:rsidP="004019B7">
      <w:pPr>
        <w:rPr>
          <w:sz w:val="20"/>
          <w:szCs w:val="20"/>
        </w:rPr>
      </w:pPr>
    </w:p>
    <w:p w14:paraId="19FA86B8" w14:textId="77777777" w:rsidR="00A84835" w:rsidRPr="008E6E0D" w:rsidRDefault="00A84835" w:rsidP="004019B7">
      <w:pPr>
        <w:rPr>
          <w:sz w:val="20"/>
          <w:szCs w:val="20"/>
        </w:rPr>
      </w:pPr>
    </w:p>
    <w:p w14:paraId="212B6406" w14:textId="18A90E7A" w:rsidR="00171F47" w:rsidRPr="008E6E0D" w:rsidRDefault="00171F47" w:rsidP="004019B7">
      <w:pPr>
        <w:rPr>
          <w:sz w:val="20"/>
          <w:szCs w:val="20"/>
        </w:rPr>
      </w:pPr>
    </w:p>
    <w:p w14:paraId="289D1F0F" w14:textId="2EBD59E4" w:rsidR="00171F47" w:rsidRPr="008E6E0D" w:rsidRDefault="00171F47" w:rsidP="004019B7">
      <w:pPr>
        <w:rPr>
          <w:sz w:val="20"/>
          <w:szCs w:val="20"/>
        </w:rPr>
      </w:pPr>
    </w:p>
    <w:p w14:paraId="312E58B2" w14:textId="5A0D6879" w:rsidR="00171F47" w:rsidRPr="008E6E0D" w:rsidRDefault="00171F47" w:rsidP="004019B7">
      <w:pPr>
        <w:rPr>
          <w:sz w:val="20"/>
          <w:szCs w:val="20"/>
        </w:rPr>
      </w:pPr>
    </w:p>
    <w:p w14:paraId="4F6DD28E" w14:textId="4333814E" w:rsidR="00171F47" w:rsidRPr="008E6E0D" w:rsidRDefault="00171F47" w:rsidP="004019B7">
      <w:pPr>
        <w:rPr>
          <w:sz w:val="20"/>
          <w:szCs w:val="20"/>
        </w:rPr>
      </w:pPr>
    </w:p>
    <w:p w14:paraId="29F46082" w14:textId="1F272688" w:rsidR="00171F47" w:rsidRPr="008E6E0D" w:rsidRDefault="00171F47" w:rsidP="004019B7">
      <w:pPr>
        <w:rPr>
          <w:sz w:val="20"/>
          <w:szCs w:val="20"/>
        </w:rPr>
      </w:pPr>
    </w:p>
    <w:p w14:paraId="3BFDF7F0" w14:textId="191D856F" w:rsidR="00171F47" w:rsidRPr="008E6E0D" w:rsidRDefault="00171F47" w:rsidP="004019B7">
      <w:pPr>
        <w:rPr>
          <w:sz w:val="20"/>
          <w:szCs w:val="20"/>
        </w:rPr>
      </w:pPr>
    </w:p>
    <w:p w14:paraId="1C94C599" w14:textId="126D42FF" w:rsidR="00171F47" w:rsidRPr="008E6E0D" w:rsidRDefault="00171F47" w:rsidP="004019B7">
      <w:pPr>
        <w:rPr>
          <w:sz w:val="20"/>
          <w:szCs w:val="20"/>
        </w:rPr>
      </w:pPr>
    </w:p>
    <w:p w14:paraId="04AFDDE6" w14:textId="69E068F0" w:rsidR="00171F47" w:rsidRPr="008E6E0D" w:rsidRDefault="00171F47" w:rsidP="004019B7">
      <w:pPr>
        <w:rPr>
          <w:sz w:val="20"/>
          <w:szCs w:val="20"/>
        </w:rPr>
      </w:pPr>
    </w:p>
    <w:p w14:paraId="6126BBB7" w14:textId="25FC5757" w:rsidR="00171F47" w:rsidRPr="008E6E0D" w:rsidRDefault="00171F47" w:rsidP="004019B7">
      <w:pPr>
        <w:rPr>
          <w:sz w:val="20"/>
          <w:szCs w:val="20"/>
        </w:rPr>
      </w:pPr>
    </w:p>
    <w:p w14:paraId="5CAF61BF" w14:textId="4F45BE9E" w:rsidR="00171F47" w:rsidRPr="008E6E0D" w:rsidRDefault="00171F47" w:rsidP="004019B7">
      <w:pPr>
        <w:rPr>
          <w:sz w:val="20"/>
          <w:szCs w:val="20"/>
        </w:rPr>
      </w:pPr>
    </w:p>
    <w:p w14:paraId="41AE9242" w14:textId="612DC62A" w:rsidR="00171F47" w:rsidRPr="008E6E0D" w:rsidRDefault="00171F47" w:rsidP="004019B7">
      <w:pPr>
        <w:rPr>
          <w:sz w:val="20"/>
          <w:szCs w:val="20"/>
        </w:rPr>
      </w:pPr>
    </w:p>
    <w:p w14:paraId="34183172" w14:textId="1F2DA361" w:rsidR="00171F47" w:rsidRPr="008E6E0D" w:rsidRDefault="00171F47" w:rsidP="004019B7">
      <w:pPr>
        <w:rPr>
          <w:sz w:val="20"/>
          <w:szCs w:val="20"/>
        </w:rPr>
      </w:pPr>
    </w:p>
    <w:p w14:paraId="34E18639" w14:textId="4AE70535" w:rsidR="00171F47" w:rsidRPr="008E6E0D" w:rsidRDefault="00171F47" w:rsidP="004019B7">
      <w:pPr>
        <w:rPr>
          <w:sz w:val="20"/>
          <w:szCs w:val="20"/>
        </w:rPr>
      </w:pPr>
    </w:p>
    <w:p w14:paraId="1BBFAD8E" w14:textId="2371D842" w:rsidR="00171F47" w:rsidRPr="008E6E0D" w:rsidRDefault="00171F47" w:rsidP="004019B7">
      <w:pPr>
        <w:rPr>
          <w:sz w:val="20"/>
          <w:szCs w:val="20"/>
        </w:rPr>
      </w:pPr>
    </w:p>
    <w:p w14:paraId="6182343E" w14:textId="5B1B0750" w:rsidR="00171F47" w:rsidRPr="008E6E0D" w:rsidRDefault="00171F47" w:rsidP="004019B7">
      <w:pPr>
        <w:rPr>
          <w:sz w:val="20"/>
          <w:szCs w:val="20"/>
        </w:rPr>
      </w:pPr>
    </w:p>
    <w:p w14:paraId="36F46B45" w14:textId="59C3FC6C" w:rsidR="00171F47" w:rsidRPr="008E6E0D" w:rsidRDefault="00171F47" w:rsidP="004019B7">
      <w:pPr>
        <w:rPr>
          <w:sz w:val="20"/>
          <w:szCs w:val="20"/>
        </w:rPr>
      </w:pPr>
    </w:p>
    <w:p w14:paraId="4EB7AA94" w14:textId="7717C674" w:rsidR="00171F47" w:rsidRPr="008E6E0D" w:rsidRDefault="00171F47" w:rsidP="004019B7">
      <w:pPr>
        <w:rPr>
          <w:sz w:val="20"/>
          <w:szCs w:val="20"/>
        </w:rPr>
      </w:pPr>
    </w:p>
    <w:p w14:paraId="66255669" w14:textId="4170E72A" w:rsidR="00171F47" w:rsidRPr="008E6E0D" w:rsidRDefault="00171F47" w:rsidP="004019B7">
      <w:pPr>
        <w:rPr>
          <w:sz w:val="20"/>
          <w:szCs w:val="20"/>
        </w:rPr>
      </w:pPr>
    </w:p>
    <w:tbl>
      <w:tblPr>
        <w:tblpPr w:leftFromText="180" w:rightFromText="180" w:vertAnchor="page" w:horzAnchor="margin" w:tblpY="1535"/>
        <w:tblW w:w="9021" w:type="dxa"/>
        <w:tblCellMar>
          <w:left w:w="70" w:type="dxa"/>
          <w:right w:w="70" w:type="dxa"/>
        </w:tblCellMar>
        <w:tblLook w:val="04A0" w:firstRow="1" w:lastRow="0" w:firstColumn="1" w:lastColumn="0" w:noHBand="0" w:noVBand="1"/>
      </w:tblPr>
      <w:tblGrid>
        <w:gridCol w:w="1037"/>
        <w:gridCol w:w="1340"/>
        <w:gridCol w:w="1318"/>
        <w:gridCol w:w="590"/>
        <w:gridCol w:w="932"/>
        <w:gridCol w:w="1080"/>
        <w:gridCol w:w="544"/>
        <w:gridCol w:w="1306"/>
        <w:gridCol w:w="874"/>
      </w:tblGrid>
      <w:tr w:rsidR="00A84835" w:rsidRPr="008E6E0D" w14:paraId="1E4DB89B" w14:textId="77777777" w:rsidTr="00A84835">
        <w:trPr>
          <w:trHeight w:val="380"/>
        </w:trPr>
        <w:tc>
          <w:tcPr>
            <w:tcW w:w="9021" w:type="dxa"/>
            <w:gridSpan w:val="9"/>
            <w:tcBorders>
              <w:top w:val="single" w:sz="4" w:space="0" w:color="auto"/>
              <w:left w:val="nil"/>
              <w:bottom w:val="single" w:sz="4" w:space="0" w:color="auto"/>
              <w:right w:val="nil"/>
            </w:tcBorders>
            <w:shd w:val="clear" w:color="auto" w:fill="auto"/>
            <w:noWrap/>
            <w:vAlign w:val="center"/>
          </w:tcPr>
          <w:p w14:paraId="372EED2D" w14:textId="77777777" w:rsidR="00A84835" w:rsidRPr="008E6E0D" w:rsidRDefault="00A84835" w:rsidP="00A84835">
            <w:pPr>
              <w:rPr>
                <w:b/>
                <w:bCs/>
                <w:color w:val="000000"/>
                <w:sz w:val="16"/>
                <w:szCs w:val="16"/>
                <w:lang w:eastAsia="es-ES"/>
              </w:rPr>
            </w:pPr>
            <w:r w:rsidRPr="008E6E0D">
              <w:rPr>
                <w:b/>
                <w:bCs/>
                <w:color w:val="000000"/>
                <w:sz w:val="16"/>
                <w:szCs w:val="16"/>
                <w:lang w:eastAsia="es-ES"/>
              </w:rPr>
              <w:lastRenderedPageBreak/>
              <w:t xml:space="preserve">Table S6. </w:t>
            </w:r>
            <w:r w:rsidRPr="008E6E0D">
              <w:rPr>
                <w:b/>
                <w:color w:val="000000"/>
                <w:sz w:val="16"/>
                <w:szCs w:val="16"/>
                <w:lang w:eastAsia="es-ES"/>
              </w:rPr>
              <w:t xml:space="preserve">Association results of the sentinel variants from other sepsis mortality GWAS studies in GEN-SEP and the variant with the lowest </w:t>
            </w:r>
            <w:r w:rsidRPr="00F273BE">
              <w:rPr>
                <w:b/>
                <w:i/>
                <w:color w:val="000000"/>
                <w:sz w:val="16"/>
                <w:szCs w:val="16"/>
                <w:lang w:eastAsia="es-ES"/>
              </w:rPr>
              <w:t>p-</w:t>
            </w:r>
            <w:r w:rsidRPr="008E6E0D">
              <w:rPr>
                <w:b/>
                <w:color w:val="000000"/>
                <w:sz w:val="16"/>
                <w:szCs w:val="16"/>
                <w:lang w:eastAsia="es-ES"/>
              </w:rPr>
              <w:t>value in the gene region in this study.</w:t>
            </w:r>
          </w:p>
        </w:tc>
      </w:tr>
      <w:tr w:rsidR="00A84835" w:rsidRPr="008E6E0D" w14:paraId="3DADCA80" w14:textId="77777777" w:rsidTr="00A84835">
        <w:trPr>
          <w:trHeight w:val="380"/>
        </w:trPr>
        <w:tc>
          <w:tcPr>
            <w:tcW w:w="1037" w:type="dxa"/>
            <w:tcBorders>
              <w:top w:val="single" w:sz="4" w:space="0" w:color="auto"/>
              <w:left w:val="nil"/>
              <w:bottom w:val="single" w:sz="4" w:space="0" w:color="auto"/>
              <w:right w:val="nil"/>
            </w:tcBorders>
            <w:shd w:val="clear" w:color="auto" w:fill="auto"/>
            <w:noWrap/>
            <w:vAlign w:val="center"/>
            <w:hideMark/>
          </w:tcPr>
          <w:p w14:paraId="26AFE34F" w14:textId="77777777" w:rsidR="00A84835" w:rsidRPr="008E6E0D" w:rsidRDefault="00A84835" w:rsidP="00A84835">
            <w:pPr>
              <w:rPr>
                <w:b/>
                <w:bCs/>
                <w:color w:val="000000"/>
                <w:sz w:val="16"/>
                <w:szCs w:val="16"/>
                <w:lang w:eastAsia="es-ES"/>
              </w:rPr>
            </w:pPr>
            <w:r w:rsidRPr="008E6E0D">
              <w:rPr>
                <w:b/>
                <w:bCs/>
                <w:color w:val="000000"/>
                <w:sz w:val="16"/>
                <w:szCs w:val="16"/>
                <w:lang w:eastAsia="es-ES"/>
              </w:rPr>
              <w:t>rsID</w:t>
            </w:r>
          </w:p>
        </w:tc>
        <w:tc>
          <w:tcPr>
            <w:tcW w:w="1340" w:type="dxa"/>
            <w:tcBorders>
              <w:top w:val="single" w:sz="4" w:space="0" w:color="auto"/>
              <w:left w:val="nil"/>
              <w:bottom w:val="single" w:sz="4" w:space="0" w:color="auto"/>
              <w:right w:val="nil"/>
            </w:tcBorders>
            <w:vAlign w:val="center"/>
          </w:tcPr>
          <w:p w14:paraId="44B00EBD"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Study</w:t>
            </w:r>
          </w:p>
        </w:tc>
        <w:tc>
          <w:tcPr>
            <w:tcW w:w="1318" w:type="dxa"/>
            <w:tcBorders>
              <w:top w:val="single" w:sz="4" w:space="0" w:color="auto"/>
              <w:left w:val="nil"/>
              <w:bottom w:val="single" w:sz="4" w:space="0" w:color="auto"/>
              <w:right w:val="nil"/>
            </w:tcBorders>
            <w:shd w:val="clear" w:color="auto" w:fill="auto"/>
            <w:noWrap/>
            <w:vAlign w:val="center"/>
            <w:hideMark/>
          </w:tcPr>
          <w:p w14:paraId="3132359D"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Position (hg19)</w:t>
            </w:r>
          </w:p>
        </w:tc>
        <w:tc>
          <w:tcPr>
            <w:tcW w:w="590" w:type="dxa"/>
            <w:tcBorders>
              <w:top w:val="single" w:sz="4" w:space="0" w:color="auto"/>
              <w:left w:val="nil"/>
              <w:bottom w:val="single" w:sz="4" w:space="0" w:color="auto"/>
              <w:right w:val="nil"/>
            </w:tcBorders>
            <w:shd w:val="clear" w:color="auto" w:fill="auto"/>
            <w:noWrap/>
            <w:vAlign w:val="center"/>
            <w:hideMark/>
          </w:tcPr>
          <w:p w14:paraId="6E3F906A"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A1/A2</w:t>
            </w:r>
          </w:p>
        </w:tc>
        <w:tc>
          <w:tcPr>
            <w:tcW w:w="932" w:type="dxa"/>
            <w:tcBorders>
              <w:top w:val="single" w:sz="4" w:space="0" w:color="auto"/>
              <w:left w:val="nil"/>
              <w:bottom w:val="single" w:sz="4" w:space="0" w:color="auto"/>
              <w:right w:val="nil"/>
            </w:tcBorders>
            <w:shd w:val="clear" w:color="auto" w:fill="auto"/>
            <w:noWrap/>
            <w:vAlign w:val="center"/>
            <w:hideMark/>
          </w:tcPr>
          <w:p w14:paraId="17941E2F"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Function</w:t>
            </w:r>
          </w:p>
        </w:tc>
        <w:tc>
          <w:tcPr>
            <w:tcW w:w="1080" w:type="dxa"/>
            <w:tcBorders>
              <w:top w:val="single" w:sz="4" w:space="0" w:color="auto"/>
              <w:left w:val="nil"/>
              <w:bottom w:val="single" w:sz="4" w:space="0" w:color="auto"/>
              <w:right w:val="nil"/>
            </w:tcBorders>
            <w:shd w:val="clear" w:color="auto" w:fill="auto"/>
            <w:noWrap/>
            <w:vAlign w:val="center"/>
            <w:hideMark/>
          </w:tcPr>
          <w:p w14:paraId="2856A54D"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Gene</w:t>
            </w:r>
          </w:p>
        </w:tc>
        <w:tc>
          <w:tcPr>
            <w:tcW w:w="544" w:type="dxa"/>
            <w:tcBorders>
              <w:top w:val="single" w:sz="4" w:space="0" w:color="auto"/>
              <w:left w:val="nil"/>
              <w:bottom w:val="single" w:sz="4" w:space="0" w:color="auto"/>
              <w:right w:val="nil"/>
            </w:tcBorders>
            <w:shd w:val="clear" w:color="auto" w:fill="auto"/>
            <w:noWrap/>
            <w:vAlign w:val="center"/>
            <w:hideMark/>
          </w:tcPr>
          <w:p w14:paraId="1F10459B"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EAF</w:t>
            </w:r>
          </w:p>
        </w:tc>
        <w:tc>
          <w:tcPr>
            <w:tcW w:w="1306" w:type="dxa"/>
            <w:tcBorders>
              <w:top w:val="single" w:sz="4" w:space="0" w:color="auto"/>
              <w:left w:val="nil"/>
              <w:bottom w:val="single" w:sz="4" w:space="0" w:color="auto"/>
              <w:right w:val="nil"/>
            </w:tcBorders>
            <w:shd w:val="clear" w:color="auto" w:fill="auto"/>
            <w:noWrap/>
            <w:vAlign w:val="center"/>
            <w:hideMark/>
          </w:tcPr>
          <w:p w14:paraId="4E4AFB7D" w14:textId="77777777" w:rsidR="00A84835" w:rsidRPr="008E6E0D" w:rsidRDefault="00A84835" w:rsidP="00A84835">
            <w:pPr>
              <w:jc w:val="center"/>
              <w:rPr>
                <w:b/>
                <w:bCs/>
                <w:color w:val="000000"/>
                <w:sz w:val="16"/>
                <w:szCs w:val="16"/>
                <w:lang w:eastAsia="es-ES"/>
              </w:rPr>
            </w:pPr>
            <w:r w:rsidRPr="008E6E0D">
              <w:rPr>
                <w:b/>
                <w:bCs/>
                <w:color w:val="000000"/>
                <w:sz w:val="16"/>
                <w:szCs w:val="16"/>
                <w:lang w:eastAsia="es-ES"/>
              </w:rPr>
              <w:t>HR (95% CI)</w:t>
            </w:r>
          </w:p>
        </w:tc>
        <w:tc>
          <w:tcPr>
            <w:tcW w:w="870" w:type="dxa"/>
            <w:tcBorders>
              <w:top w:val="single" w:sz="4" w:space="0" w:color="auto"/>
              <w:left w:val="nil"/>
              <w:bottom w:val="single" w:sz="4" w:space="0" w:color="auto"/>
              <w:right w:val="nil"/>
            </w:tcBorders>
            <w:shd w:val="clear" w:color="auto" w:fill="auto"/>
            <w:noWrap/>
            <w:vAlign w:val="center"/>
            <w:hideMark/>
          </w:tcPr>
          <w:p w14:paraId="2D9EBC62" w14:textId="77777777" w:rsidR="00A84835" w:rsidRPr="008E6E0D" w:rsidRDefault="00A84835" w:rsidP="00A84835">
            <w:pPr>
              <w:jc w:val="center"/>
              <w:rPr>
                <w:b/>
                <w:bCs/>
                <w:color w:val="000000"/>
                <w:sz w:val="16"/>
                <w:szCs w:val="16"/>
                <w:lang w:eastAsia="es-ES"/>
              </w:rPr>
            </w:pPr>
            <w:r w:rsidRPr="008E6E0D">
              <w:rPr>
                <w:b/>
                <w:bCs/>
                <w:i/>
                <w:iCs/>
                <w:color w:val="000000"/>
                <w:sz w:val="16"/>
                <w:szCs w:val="16"/>
                <w:lang w:eastAsia="es-ES"/>
              </w:rPr>
              <w:t>p</w:t>
            </w:r>
            <w:r w:rsidRPr="008E6E0D">
              <w:rPr>
                <w:b/>
                <w:bCs/>
                <w:color w:val="000000"/>
                <w:sz w:val="16"/>
                <w:szCs w:val="16"/>
                <w:lang w:eastAsia="es-ES"/>
              </w:rPr>
              <w:t>-value</w:t>
            </w:r>
          </w:p>
        </w:tc>
      </w:tr>
      <w:tr w:rsidR="00A84835" w:rsidRPr="008E6E0D" w14:paraId="51595649" w14:textId="77777777" w:rsidTr="00A84835">
        <w:trPr>
          <w:trHeight w:val="179"/>
        </w:trPr>
        <w:tc>
          <w:tcPr>
            <w:tcW w:w="1037" w:type="dxa"/>
            <w:tcBorders>
              <w:top w:val="nil"/>
              <w:left w:val="nil"/>
              <w:bottom w:val="nil"/>
              <w:right w:val="nil"/>
            </w:tcBorders>
            <w:shd w:val="clear" w:color="auto" w:fill="auto"/>
            <w:noWrap/>
            <w:vAlign w:val="center"/>
          </w:tcPr>
          <w:p w14:paraId="4F3E749B" w14:textId="77777777" w:rsidR="00A84835" w:rsidRPr="008E6E0D" w:rsidRDefault="00A84835" w:rsidP="00A84835">
            <w:pPr>
              <w:rPr>
                <w:bCs/>
                <w:color w:val="000000"/>
                <w:sz w:val="16"/>
                <w:szCs w:val="16"/>
                <w:lang w:eastAsia="es-ES"/>
              </w:rPr>
            </w:pPr>
            <w:r w:rsidRPr="008E6E0D">
              <w:rPr>
                <w:bCs/>
                <w:color w:val="000000"/>
                <w:sz w:val="16"/>
                <w:szCs w:val="16"/>
                <w:lang w:eastAsia="es-ES"/>
              </w:rPr>
              <w:t>rs143356980</w:t>
            </w:r>
          </w:p>
        </w:tc>
        <w:tc>
          <w:tcPr>
            <w:tcW w:w="1340" w:type="dxa"/>
            <w:tcBorders>
              <w:top w:val="nil"/>
              <w:left w:val="nil"/>
              <w:bottom w:val="nil"/>
              <w:right w:val="nil"/>
            </w:tcBorders>
          </w:tcPr>
          <w:p w14:paraId="2A0C2B90"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Rosier et al.</w:t>
            </w:r>
          </w:p>
        </w:tc>
        <w:tc>
          <w:tcPr>
            <w:tcW w:w="1318" w:type="dxa"/>
            <w:tcBorders>
              <w:top w:val="nil"/>
              <w:left w:val="nil"/>
              <w:bottom w:val="nil"/>
              <w:right w:val="nil"/>
            </w:tcBorders>
            <w:shd w:val="clear" w:color="auto" w:fill="auto"/>
            <w:noWrap/>
            <w:vAlign w:val="center"/>
          </w:tcPr>
          <w:p w14:paraId="2FEFF134"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3:50638812</w:t>
            </w:r>
          </w:p>
        </w:tc>
        <w:tc>
          <w:tcPr>
            <w:tcW w:w="590" w:type="dxa"/>
            <w:tcBorders>
              <w:top w:val="nil"/>
              <w:left w:val="nil"/>
              <w:bottom w:val="nil"/>
              <w:right w:val="nil"/>
            </w:tcBorders>
            <w:shd w:val="clear" w:color="auto" w:fill="auto"/>
            <w:noWrap/>
            <w:vAlign w:val="center"/>
          </w:tcPr>
          <w:p w14:paraId="2305331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C/T</w:t>
            </w:r>
          </w:p>
        </w:tc>
        <w:tc>
          <w:tcPr>
            <w:tcW w:w="932" w:type="dxa"/>
            <w:tcBorders>
              <w:top w:val="nil"/>
              <w:left w:val="nil"/>
              <w:bottom w:val="nil"/>
              <w:right w:val="nil"/>
            </w:tcBorders>
            <w:shd w:val="clear" w:color="auto" w:fill="auto"/>
            <w:noWrap/>
            <w:vAlign w:val="center"/>
          </w:tcPr>
          <w:p w14:paraId="19856248"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Intergenic</w:t>
            </w:r>
          </w:p>
        </w:tc>
        <w:tc>
          <w:tcPr>
            <w:tcW w:w="1080" w:type="dxa"/>
            <w:tcBorders>
              <w:top w:val="nil"/>
              <w:left w:val="nil"/>
              <w:bottom w:val="nil"/>
              <w:right w:val="nil"/>
            </w:tcBorders>
            <w:shd w:val="clear" w:color="auto" w:fill="auto"/>
            <w:noWrap/>
            <w:vAlign w:val="center"/>
          </w:tcPr>
          <w:p w14:paraId="2D1819BB" w14:textId="77777777" w:rsidR="00A84835" w:rsidRPr="008E6E0D" w:rsidRDefault="00A84835" w:rsidP="00A84835">
            <w:pPr>
              <w:jc w:val="center"/>
              <w:rPr>
                <w:bCs/>
                <w:i/>
                <w:iCs/>
                <w:color w:val="000000"/>
                <w:sz w:val="16"/>
                <w:szCs w:val="16"/>
                <w:lang w:eastAsia="es-ES"/>
              </w:rPr>
            </w:pPr>
            <w:r w:rsidRPr="008E6E0D">
              <w:rPr>
                <w:bCs/>
                <w:i/>
                <w:iCs/>
                <w:color w:val="000000"/>
                <w:sz w:val="16"/>
                <w:szCs w:val="16"/>
                <w:lang w:eastAsia="es-ES"/>
              </w:rPr>
              <w:t>HEMK1\CISH</w:t>
            </w:r>
          </w:p>
        </w:tc>
        <w:tc>
          <w:tcPr>
            <w:tcW w:w="544" w:type="dxa"/>
            <w:tcBorders>
              <w:top w:val="nil"/>
              <w:left w:val="nil"/>
              <w:bottom w:val="nil"/>
              <w:right w:val="nil"/>
            </w:tcBorders>
            <w:shd w:val="clear" w:color="auto" w:fill="auto"/>
            <w:noWrap/>
            <w:vAlign w:val="center"/>
          </w:tcPr>
          <w:p w14:paraId="109FEFE8"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0.013</w:t>
            </w:r>
          </w:p>
        </w:tc>
        <w:tc>
          <w:tcPr>
            <w:tcW w:w="1306" w:type="dxa"/>
            <w:tcBorders>
              <w:top w:val="nil"/>
              <w:left w:val="nil"/>
              <w:bottom w:val="nil"/>
              <w:right w:val="nil"/>
            </w:tcBorders>
            <w:shd w:val="clear" w:color="auto" w:fill="auto"/>
            <w:noWrap/>
            <w:vAlign w:val="center"/>
          </w:tcPr>
          <w:p w14:paraId="62C34A02"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1.42 (0.61-3.33)</w:t>
            </w:r>
          </w:p>
        </w:tc>
        <w:tc>
          <w:tcPr>
            <w:tcW w:w="870" w:type="dxa"/>
            <w:tcBorders>
              <w:top w:val="nil"/>
              <w:left w:val="nil"/>
              <w:bottom w:val="nil"/>
              <w:right w:val="nil"/>
            </w:tcBorders>
            <w:shd w:val="clear" w:color="auto" w:fill="auto"/>
            <w:noWrap/>
            <w:vAlign w:val="center"/>
          </w:tcPr>
          <w:p w14:paraId="78FB0770"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0.419</w:t>
            </w:r>
          </w:p>
        </w:tc>
      </w:tr>
      <w:tr w:rsidR="00A84835" w:rsidRPr="008E6E0D" w14:paraId="6BC605E5" w14:textId="77777777" w:rsidTr="00A84835">
        <w:trPr>
          <w:trHeight w:val="179"/>
        </w:trPr>
        <w:tc>
          <w:tcPr>
            <w:tcW w:w="1037" w:type="dxa"/>
            <w:tcBorders>
              <w:top w:val="nil"/>
              <w:left w:val="nil"/>
              <w:bottom w:val="single" w:sz="4" w:space="0" w:color="auto"/>
              <w:right w:val="nil"/>
            </w:tcBorders>
            <w:shd w:val="clear" w:color="auto" w:fill="auto"/>
            <w:noWrap/>
            <w:vAlign w:val="center"/>
          </w:tcPr>
          <w:p w14:paraId="6B501F6F" w14:textId="77777777" w:rsidR="00A84835" w:rsidRPr="008E6E0D" w:rsidRDefault="00A84835" w:rsidP="00A84835">
            <w:pPr>
              <w:rPr>
                <w:bCs/>
                <w:color w:val="000000"/>
                <w:sz w:val="16"/>
                <w:szCs w:val="16"/>
                <w:lang w:eastAsia="es-ES"/>
              </w:rPr>
            </w:pPr>
            <w:r w:rsidRPr="008E6E0D">
              <w:rPr>
                <w:bCs/>
                <w:color w:val="000000"/>
                <w:sz w:val="16"/>
                <w:szCs w:val="16"/>
                <w:lang w:eastAsia="es-ES"/>
              </w:rPr>
              <w:t>rs78292306</w:t>
            </w:r>
          </w:p>
        </w:tc>
        <w:tc>
          <w:tcPr>
            <w:tcW w:w="1340" w:type="dxa"/>
            <w:tcBorders>
              <w:top w:val="nil"/>
              <w:left w:val="nil"/>
              <w:bottom w:val="single" w:sz="4" w:space="0" w:color="auto"/>
              <w:right w:val="nil"/>
            </w:tcBorders>
          </w:tcPr>
          <w:p w14:paraId="7BD2DB42"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GEN-SEP</w:t>
            </w:r>
          </w:p>
        </w:tc>
        <w:tc>
          <w:tcPr>
            <w:tcW w:w="1318" w:type="dxa"/>
            <w:tcBorders>
              <w:top w:val="nil"/>
              <w:left w:val="nil"/>
              <w:bottom w:val="single" w:sz="4" w:space="0" w:color="auto"/>
              <w:right w:val="nil"/>
            </w:tcBorders>
            <w:shd w:val="clear" w:color="auto" w:fill="auto"/>
            <w:noWrap/>
            <w:vAlign w:val="center"/>
          </w:tcPr>
          <w:p w14:paraId="63326F9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3:50646863</w:t>
            </w:r>
          </w:p>
        </w:tc>
        <w:tc>
          <w:tcPr>
            <w:tcW w:w="590" w:type="dxa"/>
            <w:tcBorders>
              <w:top w:val="nil"/>
              <w:left w:val="nil"/>
              <w:bottom w:val="single" w:sz="4" w:space="0" w:color="auto"/>
              <w:right w:val="nil"/>
            </w:tcBorders>
            <w:shd w:val="clear" w:color="auto" w:fill="auto"/>
            <w:noWrap/>
            <w:vAlign w:val="center"/>
          </w:tcPr>
          <w:p w14:paraId="20EF83AB"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G/A</w:t>
            </w:r>
          </w:p>
        </w:tc>
        <w:tc>
          <w:tcPr>
            <w:tcW w:w="932" w:type="dxa"/>
            <w:tcBorders>
              <w:top w:val="nil"/>
              <w:left w:val="nil"/>
              <w:bottom w:val="single" w:sz="4" w:space="0" w:color="auto"/>
              <w:right w:val="nil"/>
            </w:tcBorders>
            <w:shd w:val="clear" w:color="auto" w:fill="auto"/>
            <w:noWrap/>
            <w:vAlign w:val="center"/>
          </w:tcPr>
          <w:p w14:paraId="1F9AF71D"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Intronic</w:t>
            </w:r>
          </w:p>
        </w:tc>
        <w:tc>
          <w:tcPr>
            <w:tcW w:w="1080" w:type="dxa"/>
            <w:tcBorders>
              <w:top w:val="nil"/>
              <w:left w:val="nil"/>
              <w:bottom w:val="single" w:sz="4" w:space="0" w:color="auto"/>
              <w:right w:val="nil"/>
            </w:tcBorders>
            <w:shd w:val="clear" w:color="auto" w:fill="auto"/>
            <w:noWrap/>
            <w:vAlign w:val="center"/>
          </w:tcPr>
          <w:p w14:paraId="1706CBA9" w14:textId="77777777" w:rsidR="00A84835" w:rsidRPr="008E6E0D" w:rsidRDefault="00A84835" w:rsidP="00A84835">
            <w:pPr>
              <w:jc w:val="center"/>
              <w:rPr>
                <w:bCs/>
                <w:i/>
                <w:iCs/>
                <w:color w:val="000000"/>
                <w:sz w:val="16"/>
                <w:szCs w:val="16"/>
                <w:lang w:eastAsia="es-ES"/>
              </w:rPr>
            </w:pPr>
            <w:r w:rsidRPr="008E6E0D">
              <w:rPr>
                <w:bCs/>
                <w:i/>
                <w:iCs/>
                <w:color w:val="000000"/>
                <w:sz w:val="16"/>
                <w:szCs w:val="16"/>
                <w:lang w:eastAsia="es-ES"/>
              </w:rPr>
              <w:t>CISH</w:t>
            </w:r>
          </w:p>
        </w:tc>
        <w:tc>
          <w:tcPr>
            <w:tcW w:w="544" w:type="dxa"/>
            <w:tcBorders>
              <w:top w:val="nil"/>
              <w:left w:val="nil"/>
              <w:bottom w:val="single" w:sz="4" w:space="0" w:color="auto"/>
              <w:right w:val="nil"/>
            </w:tcBorders>
            <w:shd w:val="clear" w:color="auto" w:fill="auto"/>
            <w:noWrap/>
            <w:vAlign w:val="center"/>
          </w:tcPr>
          <w:p w14:paraId="7ABFC7BD"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0.021</w:t>
            </w:r>
          </w:p>
        </w:tc>
        <w:tc>
          <w:tcPr>
            <w:tcW w:w="1306" w:type="dxa"/>
            <w:tcBorders>
              <w:top w:val="nil"/>
              <w:left w:val="nil"/>
              <w:bottom w:val="single" w:sz="4" w:space="0" w:color="auto"/>
              <w:right w:val="nil"/>
            </w:tcBorders>
            <w:shd w:val="clear" w:color="auto" w:fill="auto"/>
            <w:noWrap/>
            <w:vAlign w:val="center"/>
          </w:tcPr>
          <w:p w14:paraId="2A5EAA74"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0.57 (0.23-1.41)</w:t>
            </w:r>
          </w:p>
        </w:tc>
        <w:tc>
          <w:tcPr>
            <w:tcW w:w="870" w:type="dxa"/>
            <w:tcBorders>
              <w:top w:val="nil"/>
              <w:left w:val="nil"/>
              <w:bottom w:val="single" w:sz="4" w:space="0" w:color="auto"/>
              <w:right w:val="nil"/>
            </w:tcBorders>
            <w:shd w:val="clear" w:color="auto" w:fill="auto"/>
            <w:noWrap/>
            <w:vAlign w:val="center"/>
          </w:tcPr>
          <w:p w14:paraId="0CBDE34F"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0.224</w:t>
            </w:r>
          </w:p>
        </w:tc>
      </w:tr>
      <w:tr w:rsidR="00A84835" w:rsidRPr="008E6E0D" w14:paraId="1FAF4A7B" w14:textId="77777777" w:rsidTr="00A84835">
        <w:trPr>
          <w:trHeight w:val="179"/>
        </w:trPr>
        <w:tc>
          <w:tcPr>
            <w:tcW w:w="1037" w:type="dxa"/>
            <w:tcBorders>
              <w:top w:val="single" w:sz="4" w:space="0" w:color="auto"/>
              <w:left w:val="nil"/>
              <w:bottom w:val="nil"/>
              <w:right w:val="nil"/>
            </w:tcBorders>
            <w:shd w:val="clear" w:color="auto" w:fill="auto"/>
            <w:noWrap/>
            <w:vAlign w:val="center"/>
            <w:hideMark/>
          </w:tcPr>
          <w:p w14:paraId="26DD04E0" w14:textId="77777777" w:rsidR="00A84835" w:rsidRPr="008E6E0D" w:rsidRDefault="00A84835" w:rsidP="00A84835">
            <w:pPr>
              <w:rPr>
                <w:bCs/>
                <w:color w:val="000000"/>
                <w:sz w:val="16"/>
                <w:szCs w:val="16"/>
                <w:lang w:eastAsia="es-ES"/>
              </w:rPr>
            </w:pPr>
            <w:r w:rsidRPr="008E6E0D">
              <w:rPr>
                <w:bCs/>
                <w:color w:val="000000"/>
                <w:sz w:val="16"/>
                <w:szCs w:val="16"/>
                <w:lang w:eastAsia="es-ES"/>
              </w:rPr>
              <w:t>rs4957796</w:t>
            </w:r>
          </w:p>
        </w:tc>
        <w:tc>
          <w:tcPr>
            <w:tcW w:w="1340" w:type="dxa"/>
            <w:tcBorders>
              <w:top w:val="single" w:sz="4" w:space="0" w:color="auto"/>
              <w:left w:val="nil"/>
              <w:bottom w:val="nil"/>
              <w:right w:val="nil"/>
            </w:tcBorders>
          </w:tcPr>
          <w:p w14:paraId="0810C16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Rautanen et al.</w:t>
            </w:r>
          </w:p>
        </w:tc>
        <w:tc>
          <w:tcPr>
            <w:tcW w:w="1318" w:type="dxa"/>
            <w:tcBorders>
              <w:top w:val="single" w:sz="4" w:space="0" w:color="auto"/>
              <w:left w:val="nil"/>
              <w:bottom w:val="nil"/>
              <w:right w:val="nil"/>
            </w:tcBorders>
            <w:shd w:val="clear" w:color="auto" w:fill="auto"/>
            <w:noWrap/>
            <w:vAlign w:val="center"/>
            <w:hideMark/>
          </w:tcPr>
          <w:p w14:paraId="05D80621"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5:108402140</w:t>
            </w:r>
          </w:p>
        </w:tc>
        <w:tc>
          <w:tcPr>
            <w:tcW w:w="590" w:type="dxa"/>
            <w:tcBorders>
              <w:top w:val="single" w:sz="4" w:space="0" w:color="auto"/>
              <w:left w:val="nil"/>
              <w:bottom w:val="nil"/>
              <w:right w:val="nil"/>
            </w:tcBorders>
            <w:shd w:val="clear" w:color="auto" w:fill="auto"/>
            <w:noWrap/>
            <w:vAlign w:val="center"/>
            <w:hideMark/>
          </w:tcPr>
          <w:p w14:paraId="4B6FC993"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T/C</w:t>
            </w:r>
          </w:p>
        </w:tc>
        <w:tc>
          <w:tcPr>
            <w:tcW w:w="932" w:type="dxa"/>
            <w:tcBorders>
              <w:top w:val="single" w:sz="4" w:space="0" w:color="auto"/>
              <w:left w:val="nil"/>
              <w:bottom w:val="nil"/>
              <w:right w:val="nil"/>
            </w:tcBorders>
            <w:shd w:val="clear" w:color="auto" w:fill="auto"/>
            <w:noWrap/>
            <w:vAlign w:val="center"/>
            <w:hideMark/>
          </w:tcPr>
          <w:p w14:paraId="1A94DEFA"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Intronic</w:t>
            </w:r>
          </w:p>
        </w:tc>
        <w:tc>
          <w:tcPr>
            <w:tcW w:w="1080" w:type="dxa"/>
            <w:vMerge w:val="restart"/>
            <w:tcBorders>
              <w:top w:val="single" w:sz="4" w:space="0" w:color="auto"/>
              <w:left w:val="nil"/>
              <w:right w:val="nil"/>
            </w:tcBorders>
            <w:shd w:val="clear" w:color="auto" w:fill="auto"/>
            <w:noWrap/>
            <w:vAlign w:val="center"/>
            <w:hideMark/>
          </w:tcPr>
          <w:p w14:paraId="5C3AD6BD" w14:textId="77777777" w:rsidR="00A84835" w:rsidRPr="008E6E0D" w:rsidRDefault="00A84835" w:rsidP="00A84835">
            <w:pPr>
              <w:jc w:val="center"/>
              <w:rPr>
                <w:bCs/>
                <w:i/>
                <w:iCs/>
                <w:color w:val="000000"/>
                <w:sz w:val="16"/>
                <w:szCs w:val="16"/>
                <w:lang w:eastAsia="es-ES"/>
              </w:rPr>
            </w:pPr>
            <w:r w:rsidRPr="008E6E0D">
              <w:rPr>
                <w:bCs/>
                <w:i/>
                <w:iCs/>
                <w:color w:val="000000"/>
                <w:sz w:val="16"/>
                <w:szCs w:val="16"/>
                <w:lang w:eastAsia="es-ES"/>
              </w:rPr>
              <w:t>FER</w:t>
            </w:r>
          </w:p>
        </w:tc>
        <w:tc>
          <w:tcPr>
            <w:tcW w:w="544" w:type="dxa"/>
            <w:tcBorders>
              <w:top w:val="single" w:sz="4" w:space="0" w:color="auto"/>
              <w:left w:val="nil"/>
              <w:bottom w:val="nil"/>
              <w:right w:val="nil"/>
            </w:tcBorders>
            <w:shd w:val="clear" w:color="auto" w:fill="auto"/>
            <w:noWrap/>
            <w:vAlign w:val="center"/>
            <w:hideMark/>
          </w:tcPr>
          <w:p w14:paraId="584CFA28"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0.161</w:t>
            </w:r>
          </w:p>
        </w:tc>
        <w:tc>
          <w:tcPr>
            <w:tcW w:w="1306" w:type="dxa"/>
            <w:tcBorders>
              <w:top w:val="single" w:sz="4" w:space="0" w:color="auto"/>
              <w:left w:val="nil"/>
              <w:bottom w:val="nil"/>
              <w:right w:val="nil"/>
            </w:tcBorders>
            <w:shd w:val="clear" w:color="auto" w:fill="auto"/>
            <w:noWrap/>
            <w:vAlign w:val="center"/>
            <w:hideMark/>
          </w:tcPr>
          <w:p w14:paraId="1C25C72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1.09 (0.83-1.43)</w:t>
            </w:r>
          </w:p>
        </w:tc>
        <w:tc>
          <w:tcPr>
            <w:tcW w:w="870" w:type="dxa"/>
            <w:tcBorders>
              <w:top w:val="single" w:sz="4" w:space="0" w:color="auto"/>
              <w:left w:val="nil"/>
              <w:bottom w:val="nil"/>
              <w:right w:val="nil"/>
            </w:tcBorders>
            <w:shd w:val="clear" w:color="auto" w:fill="auto"/>
            <w:noWrap/>
            <w:vAlign w:val="center"/>
            <w:hideMark/>
          </w:tcPr>
          <w:p w14:paraId="70559E8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0.550</w:t>
            </w:r>
          </w:p>
        </w:tc>
      </w:tr>
      <w:tr w:rsidR="00A84835" w:rsidRPr="008E6E0D" w14:paraId="1800D3EF" w14:textId="77777777" w:rsidTr="00A84835">
        <w:trPr>
          <w:trHeight w:val="179"/>
        </w:trPr>
        <w:tc>
          <w:tcPr>
            <w:tcW w:w="1037" w:type="dxa"/>
            <w:tcBorders>
              <w:top w:val="nil"/>
              <w:left w:val="nil"/>
              <w:bottom w:val="single" w:sz="4" w:space="0" w:color="auto"/>
              <w:right w:val="nil"/>
            </w:tcBorders>
            <w:shd w:val="clear" w:color="auto" w:fill="auto"/>
            <w:noWrap/>
            <w:vAlign w:val="center"/>
          </w:tcPr>
          <w:p w14:paraId="22C91565" w14:textId="77777777" w:rsidR="00A84835" w:rsidRPr="008E6E0D" w:rsidRDefault="00A84835" w:rsidP="00A84835">
            <w:pPr>
              <w:rPr>
                <w:bCs/>
                <w:color w:val="000000"/>
                <w:sz w:val="16"/>
                <w:szCs w:val="16"/>
                <w:lang w:eastAsia="es-ES"/>
              </w:rPr>
            </w:pPr>
            <w:r w:rsidRPr="008E6E0D">
              <w:rPr>
                <w:bCs/>
                <w:color w:val="000000"/>
                <w:sz w:val="16"/>
                <w:szCs w:val="16"/>
                <w:lang w:eastAsia="es-ES"/>
              </w:rPr>
              <w:t>rs115761658</w:t>
            </w:r>
          </w:p>
        </w:tc>
        <w:tc>
          <w:tcPr>
            <w:tcW w:w="1340" w:type="dxa"/>
            <w:tcBorders>
              <w:top w:val="nil"/>
              <w:left w:val="nil"/>
              <w:bottom w:val="single" w:sz="4" w:space="0" w:color="auto"/>
              <w:right w:val="nil"/>
            </w:tcBorders>
          </w:tcPr>
          <w:p w14:paraId="17468CD3"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GEN-SEP</w:t>
            </w:r>
          </w:p>
        </w:tc>
        <w:tc>
          <w:tcPr>
            <w:tcW w:w="1318" w:type="dxa"/>
            <w:tcBorders>
              <w:top w:val="nil"/>
              <w:left w:val="nil"/>
              <w:bottom w:val="single" w:sz="4" w:space="0" w:color="auto"/>
              <w:right w:val="nil"/>
            </w:tcBorders>
            <w:shd w:val="clear" w:color="auto" w:fill="auto"/>
            <w:noWrap/>
            <w:vAlign w:val="center"/>
          </w:tcPr>
          <w:p w14:paraId="089538EC"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5:108397843</w:t>
            </w:r>
          </w:p>
        </w:tc>
        <w:tc>
          <w:tcPr>
            <w:tcW w:w="590" w:type="dxa"/>
            <w:tcBorders>
              <w:top w:val="nil"/>
              <w:left w:val="nil"/>
              <w:bottom w:val="single" w:sz="4" w:space="0" w:color="auto"/>
              <w:right w:val="nil"/>
            </w:tcBorders>
            <w:shd w:val="clear" w:color="auto" w:fill="auto"/>
            <w:noWrap/>
            <w:vAlign w:val="center"/>
          </w:tcPr>
          <w:p w14:paraId="5FB56709"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G/A</w:t>
            </w:r>
          </w:p>
        </w:tc>
        <w:tc>
          <w:tcPr>
            <w:tcW w:w="932" w:type="dxa"/>
            <w:tcBorders>
              <w:top w:val="nil"/>
              <w:left w:val="nil"/>
              <w:bottom w:val="single" w:sz="4" w:space="0" w:color="auto"/>
              <w:right w:val="nil"/>
            </w:tcBorders>
            <w:shd w:val="clear" w:color="auto" w:fill="auto"/>
            <w:noWrap/>
            <w:vAlign w:val="center"/>
          </w:tcPr>
          <w:p w14:paraId="4D3EB20A"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Intronic</w:t>
            </w:r>
          </w:p>
        </w:tc>
        <w:tc>
          <w:tcPr>
            <w:tcW w:w="1080" w:type="dxa"/>
            <w:vMerge/>
            <w:tcBorders>
              <w:left w:val="nil"/>
              <w:bottom w:val="single" w:sz="4" w:space="0" w:color="auto"/>
              <w:right w:val="nil"/>
            </w:tcBorders>
            <w:shd w:val="clear" w:color="auto" w:fill="auto"/>
            <w:noWrap/>
            <w:vAlign w:val="center"/>
          </w:tcPr>
          <w:p w14:paraId="79410771" w14:textId="77777777" w:rsidR="00A84835" w:rsidRPr="008E6E0D" w:rsidRDefault="00A84835" w:rsidP="00A84835">
            <w:pPr>
              <w:jc w:val="center"/>
              <w:rPr>
                <w:bCs/>
                <w:i/>
                <w:iCs/>
                <w:color w:val="000000"/>
                <w:sz w:val="16"/>
                <w:szCs w:val="16"/>
                <w:lang w:eastAsia="es-ES"/>
              </w:rPr>
            </w:pPr>
          </w:p>
        </w:tc>
        <w:tc>
          <w:tcPr>
            <w:tcW w:w="544" w:type="dxa"/>
            <w:tcBorders>
              <w:top w:val="nil"/>
              <w:left w:val="nil"/>
              <w:bottom w:val="single" w:sz="4" w:space="0" w:color="auto"/>
              <w:right w:val="nil"/>
            </w:tcBorders>
            <w:shd w:val="clear" w:color="auto" w:fill="auto"/>
            <w:noWrap/>
            <w:vAlign w:val="center"/>
          </w:tcPr>
          <w:p w14:paraId="4EC763C6"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0.020</w:t>
            </w:r>
          </w:p>
        </w:tc>
        <w:tc>
          <w:tcPr>
            <w:tcW w:w="1306" w:type="dxa"/>
            <w:tcBorders>
              <w:top w:val="nil"/>
              <w:left w:val="nil"/>
              <w:bottom w:val="single" w:sz="4" w:space="0" w:color="auto"/>
              <w:right w:val="nil"/>
            </w:tcBorders>
            <w:shd w:val="clear" w:color="auto" w:fill="auto"/>
            <w:noWrap/>
            <w:vAlign w:val="center"/>
          </w:tcPr>
          <w:p w14:paraId="524B8828"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3.58 (1.83-7.03)</w:t>
            </w:r>
          </w:p>
        </w:tc>
        <w:tc>
          <w:tcPr>
            <w:tcW w:w="870" w:type="dxa"/>
            <w:tcBorders>
              <w:top w:val="nil"/>
              <w:left w:val="nil"/>
              <w:bottom w:val="single" w:sz="4" w:space="0" w:color="auto"/>
              <w:right w:val="nil"/>
            </w:tcBorders>
            <w:shd w:val="clear" w:color="auto" w:fill="auto"/>
            <w:noWrap/>
            <w:vAlign w:val="center"/>
          </w:tcPr>
          <w:p w14:paraId="36B34F9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2.05x10</w:t>
            </w:r>
            <w:r w:rsidRPr="008E6E0D">
              <w:rPr>
                <w:bCs/>
                <w:color w:val="000000"/>
                <w:sz w:val="16"/>
                <w:szCs w:val="16"/>
                <w:vertAlign w:val="superscript"/>
                <w:lang w:eastAsia="es-ES"/>
              </w:rPr>
              <w:t>-4</w:t>
            </w:r>
          </w:p>
        </w:tc>
      </w:tr>
      <w:tr w:rsidR="00A84835" w:rsidRPr="008E6E0D" w14:paraId="1294FDC8" w14:textId="77777777" w:rsidTr="00A84835">
        <w:trPr>
          <w:trHeight w:val="179"/>
        </w:trPr>
        <w:tc>
          <w:tcPr>
            <w:tcW w:w="1037" w:type="dxa"/>
            <w:tcBorders>
              <w:top w:val="single" w:sz="4" w:space="0" w:color="auto"/>
              <w:left w:val="nil"/>
              <w:bottom w:val="nil"/>
              <w:right w:val="nil"/>
            </w:tcBorders>
            <w:shd w:val="clear" w:color="auto" w:fill="auto"/>
            <w:noWrap/>
            <w:vAlign w:val="center"/>
            <w:hideMark/>
          </w:tcPr>
          <w:p w14:paraId="72CF3244" w14:textId="77777777" w:rsidR="00A84835" w:rsidRPr="008E6E0D" w:rsidRDefault="00A84835" w:rsidP="00A84835">
            <w:pPr>
              <w:rPr>
                <w:bCs/>
                <w:color w:val="000000"/>
                <w:sz w:val="16"/>
                <w:szCs w:val="16"/>
                <w:lang w:eastAsia="es-ES"/>
              </w:rPr>
            </w:pPr>
            <w:r w:rsidRPr="008E6E0D">
              <w:rPr>
                <w:bCs/>
                <w:color w:val="000000"/>
                <w:sz w:val="16"/>
                <w:szCs w:val="16"/>
                <w:lang w:eastAsia="es-ES"/>
              </w:rPr>
              <w:t>rs117983287</w:t>
            </w:r>
          </w:p>
        </w:tc>
        <w:tc>
          <w:tcPr>
            <w:tcW w:w="1340" w:type="dxa"/>
            <w:tcBorders>
              <w:top w:val="single" w:sz="4" w:space="0" w:color="auto"/>
              <w:left w:val="nil"/>
              <w:bottom w:val="nil"/>
              <w:right w:val="nil"/>
            </w:tcBorders>
          </w:tcPr>
          <w:p w14:paraId="11C84E9F"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Scherag et al.</w:t>
            </w:r>
          </w:p>
        </w:tc>
        <w:tc>
          <w:tcPr>
            <w:tcW w:w="1318" w:type="dxa"/>
            <w:tcBorders>
              <w:top w:val="single" w:sz="4" w:space="0" w:color="auto"/>
              <w:left w:val="nil"/>
              <w:bottom w:val="nil"/>
              <w:right w:val="nil"/>
            </w:tcBorders>
            <w:shd w:val="clear" w:color="auto" w:fill="auto"/>
            <w:noWrap/>
            <w:vAlign w:val="center"/>
            <w:hideMark/>
          </w:tcPr>
          <w:p w14:paraId="4C7CDD3D"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9:80020874</w:t>
            </w:r>
          </w:p>
        </w:tc>
        <w:tc>
          <w:tcPr>
            <w:tcW w:w="590" w:type="dxa"/>
            <w:tcBorders>
              <w:top w:val="single" w:sz="4" w:space="0" w:color="auto"/>
              <w:left w:val="nil"/>
              <w:bottom w:val="nil"/>
              <w:right w:val="nil"/>
            </w:tcBorders>
            <w:shd w:val="clear" w:color="auto" w:fill="auto"/>
            <w:noWrap/>
            <w:vAlign w:val="center"/>
            <w:hideMark/>
          </w:tcPr>
          <w:p w14:paraId="6D403ED4"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C/A</w:t>
            </w:r>
          </w:p>
        </w:tc>
        <w:tc>
          <w:tcPr>
            <w:tcW w:w="932" w:type="dxa"/>
            <w:tcBorders>
              <w:top w:val="single" w:sz="4" w:space="0" w:color="auto"/>
              <w:left w:val="nil"/>
              <w:bottom w:val="nil"/>
              <w:right w:val="nil"/>
            </w:tcBorders>
            <w:shd w:val="clear" w:color="auto" w:fill="auto"/>
            <w:noWrap/>
            <w:vAlign w:val="center"/>
            <w:hideMark/>
          </w:tcPr>
          <w:p w14:paraId="54B74AC4"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Exonic</w:t>
            </w:r>
          </w:p>
        </w:tc>
        <w:tc>
          <w:tcPr>
            <w:tcW w:w="1080" w:type="dxa"/>
            <w:vMerge w:val="restart"/>
            <w:tcBorders>
              <w:top w:val="single" w:sz="4" w:space="0" w:color="auto"/>
              <w:left w:val="nil"/>
              <w:right w:val="nil"/>
            </w:tcBorders>
            <w:shd w:val="clear" w:color="auto" w:fill="auto"/>
            <w:noWrap/>
            <w:vAlign w:val="center"/>
            <w:hideMark/>
          </w:tcPr>
          <w:p w14:paraId="16BC35DF" w14:textId="77777777" w:rsidR="00A84835" w:rsidRPr="008E6E0D" w:rsidRDefault="00A84835" w:rsidP="00A84835">
            <w:pPr>
              <w:jc w:val="center"/>
              <w:rPr>
                <w:bCs/>
                <w:i/>
                <w:iCs/>
                <w:color w:val="000000"/>
                <w:sz w:val="16"/>
                <w:szCs w:val="16"/>
                <w:lang w:eastAsia="es-ES"/>
              </w:rPr>
            </w:pPr>
            <w:r w:rsidRPr="008E6E0D">
              <w:rPr>
                <w:bCs/>
                <w:i/>
                <w:iCs/>
                <w:color w:val="000000"/>
                <w:sz w:val="16"/>
                <w:szCs w:val="16"/>
                <w:lang w:eastAsia="es-ES"/>
              </w:rPr>
              <w:t>VPS13A</w:t>
            </w:r>
          </w:p>
        </w:tc>
        <w:tc>
          <w:tcPr>
            <w:tcW w:w="544" w:type="dxa"/>
            <w:tcBorders>
              <w:top w:val="single" w:sz="4" w:space="0" w:color="auto"/>
              <w:left w:val="nil"/>
              <w:bottom w:val="nil"/>
              <w:right w:val="nil"/>
            </w:tcBorders>
            <w:shd w:val="clear" w:color="auto" w:fill="auto"/>
            <w:noWrap/>
            <w:vAlign w:val="center"/>
            <w:hideMark/>
          </w:tcPr>
          <w:p w14:paraId="4D6B585E"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0.019</w:t>
            </w:r>
          </w:p>
        </w:tc>
        <w:tc>
          <w:tcPr>
            <w:tcW w:w="1306" w:type="dxa"/>
            <w:tcBorders>
              <w:top w:val="single" w:sz="4" w:space="0" w:color="auto"/>
              <w:left w:val="nil"/>
              <w:bottom w:val="nil"/>
              <w:right w:val="nil"/>
            </w:tcBorders>
            <w:shd w:val="clear" w:color="auto" w:fill="auto"/>
            <w:noWrap/>
            <w:vAlign w:val="center"/>
            <w:hideMark/>
          </w:tcPr>
          <w:p w14:paraId="2A29FC5F"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0.36 (0.09-1.48)</w:t>
            </w:r>
          </w:p>
        </w:tc>
        <w:tc>
          <w:tcPr>
            <w:tcW w:w="870" w:type="dxa"/>
            <w:tcBorders>
              <w:top w:val="single" w:sz="4" w:space="0" w:color="auto"/>
              <w:left w:val="nil"/>
              <w:bottom w:val="nil"/>
              <w:right w:val="nil"/>
            </w:tcBorders>
            <w:shd w:val="clear" w:color="auto" w:fill="auto"/>
            <w:noWrap/>
            <w:vAlign w:val="center"/>
            <w:hideMark/>
          </w:tcPr>
          <w:p w14:paraId="27C38368"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0.158</w:t>
            </w:r>
          </w:p>
        </w:tc>
      </w:tr>
      <w:tr w:rsidR="00A84835" w:rsidRPr="008E6E0D" w14:paraId="301EFF4B" w14:textId="77777777" w:rsidTr="00A84835">
        <w:trPr>
          <w:trHeight w:val="179"/>
        </w:trPr>
        <w:tc>
          <w:tcPr>
            <w:tcW w:w="1037" w:type="dxa"/>
            <w:tcBorders>
              <w:top w:val="nil"/>
              <w:left w:val="nil"/>
              <w:bottom w:val="single" w:sz="4" w:space="0" w:color="auto"/>
              <w:right w:val="nil"/>
            </w:tcBorders>
            <w:shd w:val="clear" w:color="auto" w:fill="auto"/>
            <w:noWrap/>
            <w:vAlign w:val="center"/>
          </w:tcPr>
          <w:p w14:paraId="78D8A2B1" w14:textId="77777777" w:rsidR="00A84835" w:rsidRPr="008E6E0D" w:rsidRDefault="00A84835" w:rsidP="00A84835">
            <w:pPr>
              <w:rPr>
                <w:bCs/>
                <w:color w:val="000000"/>
                <w:sz w:val="16"/>
                <w:szCs w:val="16"/>
                <w:lang w:eastAsia="es-ES"/>
              </w:rPr>
            </w:pPr>
            <w:r w:rsidRPr="008E6E0D">
              <w:rPr>
                <w:bCs/>
                <w:color w:val="000000"/>
                <w:sz w:val="16"/>
                <w:szCs w:val="16"/>
                <w:lang w:eastAsia="es-ES"/>
              </w:rPr>
              <w:t>rs4745630</w:t>
            </w:r>
          </w:p>
        </w:tc>
        <w:tc>
          <w:tcPr>
            <w:tcW w:w="1340" w:type="dxa"/>
            <w:tcBorders>
              <w:top w:val="nil"/>
              <w:left w:val="nil"/>
              <w:bottom w:val="single" w:sz="4" w:space="0" w:color="auto"/>
              <w:right w:val="nil"/>
            </w:tcBorders>
          </w:tcPr>
          <w:p w14:paraId="29E6539E"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GEN-SEP</w:t>
            </w:r>
          </w:p>
        </w:tc>
        <w:tc>
          <w:tcPr>
            <w:tcW w:w="1318" w:type="dxa"/>
            <w:tcBorders>
              <w:top w:val="nil"/>
              <w:left w:val="nil"/>
              <w:bottom w:val="single" w:sz="4" w:space="0" w:color="auto"/>
              <w:right w:val="nil"/>
            </w:tcBorders>
            <w:shd w:val="clear" w:color="auto" w:fill="auto"/>
            <w:noWrap/>
            <w:vAlign w:val="center"/>
          </w:tcPr>
          <w:p w14:paraId="04229CDC"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9:80023542</w:t>
            </w:r>
          </w:p>
        </w:tc>
        <w:tc>
          <w:tcPr>
            <w:tcW w:w="590" w:type="dxa"/>
            <w:tcBorders>
              <w:top w:val="nil"/>
              <w:left w:val="nil"/>
              <w:bottom w:val="single" w:sz="4" w:space="0" w:color="auto"/>
              <w:right w:val="nil"/>
            </w:tcBorders>
            <w:shd w:val="clear" w:color="auto" w:fill="auto"/>
            <w:noWrap/>
            <w:vAlign w:val="center"/>
          </w:tcPr>
          <w:p w14:paraId="3EE849D6"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G/A</w:t>
            </w:r>
          </w:p>
        </w:tc>
        <w:tc>
          <w:tcPr>
            <w:tcW w:w="932" w:type="dxa"/>
            <w:tcBorders>
              <w:top w:val="nil"/>
              <w:left w:val="nil"/>
              <w:bottom w:val="single" w:sz="4" w:space="0" w:color="auto"/>
              <w:right w:val="nil"/>
            </w:tcBorders>
            <w:shd w:val="clear" w:color="auto" w:fill="auto"/>
            <w:noWrap/>
            <w:vAlign w:val="center"/>
          </w:tcPr>
          <w:p w14:paraId="70656D22"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Intronic</w:t>
            </w:r>
          </w:p>
        </w:tc>
        <w:tc>
          <w:tcPr>
            <w:tcW w:w="1080" w:type="dxa"/>
            <w:vMerge/>
            <w:tcBorders>
              <w:left w:val="nil"/>
              <w:bottom w:val="single" w:sz="4" w:space="0" w:color="auto"/>
              <w:right w:val="nil"/>
            </w:tcBorders>
            <w:shd w:val="clear" w:color="auto" w:fill="auto"/>
            <w:noWrap/>
            <w:vAlign w:val="center"/>
          </w:tcPr>
          <w:p w14:paraId="7E189BBF" w14:textId="77777777" w:rsidR="00A84835" w:rsidRPr="008E6E0D" w:rsidRDefault="00A84835" w:rsidP="00A84835">
            <w:pPr>
              <w:jc w:val="center"/>
              <w:rPr>
                <w:bCs/>
                <w:i/>
                <w:iCs/>
                <w:color w:val="000000"/>
                <w:sz w:val="16"/>
                <w:szCs w:val="16"/>
                <w:lang w:eastAsia="es-ES"/>
              </w:rPr>
            </w:pPr>
          </w:p>
        </w:tc>
        <w:tc>
          <w:tcPr>
            <w:tcW w:w="544" w:type="dxa"/>
            <w:tcBorders>
              <w:top w:val="nil"/>
              <w:left w:val="nil"/>
              <w:bottom w:val="single" w:sz="4" w:space="0" w:color="auto"/>
              <w:right w:val="nil"/>
            </w:tcBorders>
            <w:shd w:val="clear" w:color="auto" w:fill="auto"/>
            <w:noWrap/>
            <w:vAlign w:val="center"/>
          </w:tcPr>
          <w:p w14:paraId="111BEBE5"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0.286</w:t>
            </w:r>
          </w:p>
        </w:tc>
        <w:tc>
          <w:tcPr>
            <w:tcW w:w="1306" w:type="dxa"/>
            <w:tcBorders>
              <w:top w:val="nil"/>
              <w:left w:val="nil"/>
              <w:bottom w:val="single" w:sz="4" w:space="0" w:color="auto"/>
              <w:right w:val="nil"/>
            </w:tcBorders>
            <w:shd w:val="clear" w:color="auto" w:fill="auto"/>
            <w:noWrap/>
            <w:vAlign w:val="center"/>
          </w:tcPr>
          <w:p w14:paraId="77356D41"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1.39 (1.12-1.73)</w:t>
            </w:r>
          </w:p>
        </w:tc>
        <w:tc>
          <w:tcPr>
            <w:tcW w:w="870" w:type="dxa"/>
            <w:tcBorders>
              <w:top w:val="nil"/>
              <w:left w:val="nil"/>
              <w:bottom w:val="single" w:sz="4" w:space="0" w:color="auto"/>
              <w:right w:val="nil"/>
            </w:tcBorders>
            <w:shd w:val="clear" w:color="auto" w:fill="auto"/>
            <w:noWrap/>
            <w:vAlign w:val="center"/>
          </w:tcPr>
          <w:p w14:paraId="57AD583D" w14:textId="77777777" w:rsidR="00A84835" w:rsidRPr="008E6E0D" w:rsidRDefault="00A84835" w:rsidP="00A84835">
            <w:pPr>
              <w:jc w:val="center"/>
              <w:rPr>
                <w:bCs/>
                <w:color w:val="000000"/>
                <w:sz w:val="16"/>
                <w:szCs w:val="16"/>
                <w:lang w:eastAsia="es-ES"/>
              </w:rPr>
            </w:pPr>
            <w:r w:rsidRPr="008E6E0D">
              <w:rPr>
                <w:bCs/>
                <w:color w:val="000000"/>
                <w:sz w:val="16"/>
                <w:szCs w:val="16"/>
                <w:lang w:eastAsia="es-ES"/>
              </w:rPr>
              <w:t>2.99x10</w:t>
            </w:r>
            <w:r w:rsidRPr="008E6E0D">
              <w:rPr>
                <w:bCs/>
                <w:color w:val="000000"/>
                <w:sz w:val="16"/>
                <w:szCs w:val="16"/>
                <w:vertAlign w:val="superscript"/>
                <w:lang w:eastAsia="es-ES"/>
              </w:rPr>
              <w:t>-3</w:t>
            </w:r>
          </w:p>
        </w:tc>
      </w:tr>
      <w:tr w:rsidR="00A84835" w:rsidRPr="008E6E0D" w14:paraId="6DDCFD50" w14:textId="77777777" w:rsidTr="00A84835">
        <w:trPr>
          <w:trHeight w:val="179"/>
        </w:trPr>
        <w:tc>
          <w:tcPr>
            <w:tcW w:w="9021" w:type="dxa"/>
            <w:gridSpan w:val="9"/>
            <w:tcBorders>
              <w:top w:val="nil"/>
              <w:left w:val="nil"/>
              <w:bottom w:val="single" w:sz="4" w:space="0" w:color="auto"/>
              <w:right w:val="nil"/>
            </w:tcBorders>
            <w:shd w:val="clear" w:color="auto" w:fill="auto"/>
            <w:noWrap/>
            <w:vAlign w:val="center"/>
          </w:tcPr>
          <w:p w14:paraId="30349FA3" w14:textId="77777777" w:rsidR="00A84835" w:rsidRPr="008E6E0D" w:rsidRDefault="00A84835" w:rsidP="00A84835">
            <w:pPr>
              <w:rPr>
                <w:bCs/>
                <w:color w:val="000000"/>
                <w:sz w:val="16"/>
                <w:szCs w:val="16"/>
                <w:lang w:eastAsia="es-ES"/>
              </w:rPr>
            </w:pPr>
            <w:r w:rsidRPr="008E6E0D">
              <w:rPr>
                <w:sz w:val="16"/>
                <w:szCs w:val="16"/>
                <w:lang w:eastAsia="es-ES"/>
              </w:rPr>
              <w:t>A1: Ref allele; A2: Effect allele; EAF: Effect allele frequency from Stage 1; HR: Hazard ratio.</w:t>
            </w:r>
          </w:p>
        </w:tc>
      </w:tr>
    </w:tbl>
    <w:p w14:paraId="404E06F7" w14:textId="0C6DF744" w:rsidR="00171F47" w:rsidRPr="008E6E0D" w:rsidRDefault="00171F47" w:rsidP="004019B7">
      <w:pPr>
        <w:rPr>
          <w:sz w:val="20"/>
          <w:szCs w:val="20"/>
        </w:rPr>
      </w:pPr>
    </w:p>
    <w:p w14:paraId="71B3B4C1" w14:textId="162A5424" w:rsidR="00171F47" w:rsidRPr="008E6E0D" w:rsidRDefault="00171F47" w:rsidP="004019B7">
      <w:pPr>
        <w:rPr>
          <w:sz w:val="20"/>
          <w:szCs w:val="20"/>
        </w:rPr>
      </w:pPr>
    </w:p>
    <w:p w14:paraId="70EA9EA6" w14:textId="73D541A2" w:rsidR="00171F47" w:rsidRPr="008E6E0D" w:rsidRDefault="00171F47" w:rsidP="004019B7">
      <w:pPr>
        <w:rPr>
          <w:sz w:val="20"/>
          <w:szCs w:val="20"/>
        </w:rPr>
      </w:pPr>
    </w:p>
    <w:p w14:paraId="5743E374" w14:textId="6279BFDE" w:rsidR="00171F47" w:rsidRPr="008E6E0D" w:rsidRDefault="00171F47" w:rsidP="004019B7">
      <w:pPr>
        <w:rPr>
          <w:sz w:val="20"/>
          <w:szCs w:val="20"/>
        </w:rPr>
      </w:pPr>
    </w:p>
    <w:p w14:paraId="73C2829C" w14:textId="08198825" w:rsidR="00171F47" w:rsidRPr="008E6E0D" w:rsidRDefault="00171F47" w:rsidP="004019B7">
      <w:pPr>
        <w:rPr>
          <w:sz w:val="20"/>
          <w:szCs w:val="20"/>
        </w:rPr>
      </w:pPr>
    </w:p>
    <w:p w14:paraId="5688B574" w14:textId="55A5FDF4" w:rsidR="00171F47" w:rsidRPr="008E6E0D" w:rsidRDefault="00171F47" w:rsidP="004019B7">
      <w:pPr>
        <w:rPr>
          <w:sz w:val="20"/>
          <w:szCs w:val="20"/>
        </w:rPr>
      </w:pPr>
    </w:p>
    <w:p w14:paraId="5C0C592C" w14:textId="60C5DD86" w:rsidR="00171F47" w:rsidRPr="008E6E0D" w:rsidRDefault="00171F47" w:rsidP="004019B7">
      <w:pPr>
        <w:rPr>
          <w:sz w:val="20"/>
          <w:szCs w:val="20"/>
        </w:rPr>
      </w:pPr>
    </w:p>
    <w:p w14:paraId="21D05724" w14:textId="589A9FC7" w:rsidR="00171F47" w:rsidRPr="008E6E0D" w:rsidRDefault="00171F47" w:rsidP="004019B7">
      <w:pPr>
        <w:rPr>
          <w:sz w:val="20"/>
          <w:szCs w:val="20"/>
        </w:rPr>
      </w:pPr>
    </w:p>
    <w:p w14:paraId="3EF07EF1" w14:textId="2B42C1BD" w:rsidR="00A84835" w:rsidRPr="008E6E0D" w:rsidRDefault="00A84835" w:rsidP="004019B7">
      <w:pPr>
        <w:rPr>
          <w:sz w:val="20"/>
          <w:szCs w:val="20"/>
        </w:rPr>
      </w:pPr>
    </w:p>
    <w:p w14:paraId="3B0F2F80" w14:textId="509E120C" w:rsidR="00A84835" w:rsidRPr="008E6E0D" w:rsidRDefault="00A84835" w:rsidP="004019B7">
      <w:pPr>
        <w:rPr>
          <w:sz w:val="20"/>
          <w:szCs w:val="20"/>
        </w:rPr>
      </w:pPr>
    </w:p>
    <w:p w14:paraId="5B273A50" w14:textId="0AF4F4BE" w:rsidR="00A84835" w:rsidRPr="008E6E0D" w:rsidRDefault="00A84835" w:rsidP="004019B7">
      <w:pPr>
        <w:rPr>
          <w:sz w:val="20"/>
          <w:szCs w:val="20"/>
        </w:rPr>
      </w:pPr>
    </w:p>
    <w:p w14:paraId="725DE327" w14:textId="16E04FF9" w:rsidR="00A84835" w:rsidRPr="008E6E0D" w:rsidRDefault="00A84835" w:rsidP="004019B7">
      <w:pPr>
        <w:rPr>
          <w:sz w:val="20"/>
          <w:szCs w:val="20"/>
        </w:rPr>
      </w:pPr>
    </w:p>
    <w:p w14:paraId="3668C03A" w14:textId="6BA33075" w:rsidR="00A84835" w:rsidRPr="008E6E0D" w:rsidRDefault="00A84835" w:rsidP="004019B7">
      <w:pPr>
        <w:rPr>
          <w:sz w:val="20"/>
          <w:szCs w:val="20"/>
        </w:rPr>
      </w:pPr>
    </w:p>
    <w:p w14:paraId="6E86EBF7" w14:textId="49175F7C" w:rsidR="00A84835" w:rsidRPr="008E6E0D" w:rsidRDefault="00A84835" w:rsidP="004019B7">
      <w:pPr>
        <w:rPr>
          <w:sz w:val="20"/>
          <w:szCs w:val="20"/>
        </w:rPr>
      </w:pPr>
    </w:p>
    <w:p w14:paraId="20B70286" w14:textId="27E8866E" w:rsidR="00A84835" w:rsidRPr="008E6E0D" w:rsidRDefault="00A84835" w:rsidP="004019B7">
      <w:pPr>
        <w:rPr>
          <w:sz w:val="20"/>
          <w:szCs w:val="20"/>
        </w:rPr>
      </w:pPr>
    </w:p>
    <w:p w14:paraId="1E79E2D5" w14:textId="44FFDA0C" w:rsidR="00A84835" w:rsidRPr="008E6E0D" w:rsidRDefault="00A84835" w:rsidP="004019B7">
      <w:pPr>
        <w:rPr>
          <w:sz w:val="20"/>
          <w:szCs w:val="20"/>
        </w:rPr>
      </w:pPr>
    </w:p>
    <w:p w14:paraId="265CE1F1" w14:textId="54549D63" w:rsidR="00A84835" w:rsidRPr="008E6E0D" w:rsidRDefault="00A84835" w:rsidP="004019B7">
      <w:pPr>
        <w:rPr>
          <w:sz w:val="20"/>
          <w:szCs w:val="20"/>
        </w:rPr>
      </w:pPr>
    </w:p>
    <w:p w14:paraId="4D26B9B4" w14:textId="61AF06F4" w:rsidR="00A84835" w:rsidRPr="008E6E0D" w:rsidRDefault="00A84835" w:rsidP="004019B7">
      <w:pPr>
        <w:rPr>
          <w:sz w:val="20"/>
          <w:szCs w:val="20"/>
        </w:rPr>
      </w:pPr>
    </w:p>
    <w:p w14:paraId="12AAB34F" w14:textId="39AD8A0F" w:rsidR="00A84835" w:rsidRPr="008E6E0D" w:rsidRDefault="00A84835" w:rsidP="004019B7">
      <w:pPr>
        <w:rPr>
          <w:sz w:val="20"/>
          <w:szCs w:val="20"/>
        </w:rPr>
      </w:pPr>
    </w:p>
    <w:p w14:paraId="5196294E" w14:textId="08BB7699" w:rsidR="00A84835" w:rsidRPr="008E6E0D" w:rsidRDefault="00A84835" w:rsidP="004019B7">
      <w:pPr>
        <w:rPr>
          <w:sz w:val="20"/>
          <w:szCs w:val="20"/>
        </w:rPr>
      </w:pPr>
    </w:p>
    <w:p w14:paraId="17BEC224" w14:textId="38CE09C9" w:rsidR="00A84835" w:rsidRPr="008E6E0D" w:rsidRDefault="00A84835" w:rsidP="004019B7">
      <w:pPr>
        <w:rPr>
          <w:sz w:val="20"/>
          <w:szCs w:val="20"/>
        </w:rPr>
      </w:pPr>
    </w:p>
    <w:p w14:paraId="57E367A7" w14:textId="4A0C6415" w:rsidR="00A84835" w:rsidRPr="008E6E0D" w:rsidRDefault="00A84835" w:rsidP="004019B7">
      <w:pPr>
        <w:rPr>
          <w:sz w:val="20"/>
          <w:szCs w:val="20"/>
        </w:rPr>
      </w:pPr>
    </w:p>
    <w:p w14:paraId="5868617A" w14:textId="37707C15" w:rsidR="00A84835" w:rsidRPr="008E6E0D" w:rsidRDefault="00A84835" w:rsidP="004019B7">
      <w:pPr>
        <w:rPr>
          <w:sz w:val="20"/>
          <w:szCs w:val="20"/>
        </w:rPr>
      </w:pPr>
    </w:p>
    <w:p w14:paraId="715507A5" w14:textId="661332DC" w:rsidR="00A84835" w:rsidRPr="008E6E0D" w:rsidRDefault="00A84835" w:rsidP="004019B7">
      <w:pPr>
        <w:rPr>
          <w:sz w:val="20"/>
          <w:szCs w:val="20"/>
        </w:rPr>
      </w:pPr>
    </w:p>
    <w:p w14:paraId="09930DBF" w14:textId="69831A79" w:rsidR="00A84835" w:rsidRPr="008E6E0D" w:rsidRDefault="00A84835" w:rsidP="004019B7">
      <w:pPr>
        <w:rPr>
          <w:sz w:val="20"/>
          <w:szCs w:val="20"/>
        </w:rPr>
      </w:pPr>
    </w:p>
    <w:p w14:paraId="659B75BD" w14:textId="1800AF13" w:rsidR="00A84835" w:rsidRPr="008E6E0D" w:rsidRDefault="00A84835" w:rsidP="004019B7">
      <w:pPr>
        <w:rPr>
          <w:sz w:val="20"/>
          <w:szCs w:val="20"/>
        </w:rPr>
      </w:pPr>
    </w:p>
    <w:p w14:paraId="6D493674" w14:textId="2CBAF614" w:rsidR="00A84835" w:rsidRPr="008E6E0D" w:rsidRDefault="00A84835" w:rsidP="004019B7">
      <w:pPr>
        <w:rPr>
          <w:sz w:val="20"/>
          <w:szCs w:val="20"/>
        </w:rPr>
      </w:pPr>
    </w:p>
    <w:p w14:paraId="1B7F3383" w14:textId="79E7DEAF" w:rsidR="00A84835" w:rsidRPr="008E6E0D" w:rsidRDefault="00A84835" w:rsidP="004019B7">
      <w:pPr>
        <w:rPr>
          <w:sz w:val="20"/>
          <w:szCs w:val="20"/>
        </w:rPr>
      </w:pPr>
    </w:p>
    <w:p w14:paraId="4F56E552" w14:textId="53A85D78" w:rsidR="00A84835" w:rsidRPr="008E6E0D" w:rsidRDefault="00A84835" w:rsidP="004019B7">
      <w:pPr>
        <w:rPr>
          <w:sz w:val="20"/>
          <w:szCs w:val="20"/>
        </w:rPr>
      </w:pPr>
    </w:p>
    <w:p w14:paraId="7D16A6E5" w14:textId="690DAB61" w:rsidR="00A84835" w:rsidRPr="008E6E0D" w:rsidRDefault="00A84835" w:rsidP="004019B7">
      <w:pPr>
        <w:rPr>
          <w:sz w:val="20"/>
          <w:szCs w:val="20"/>
        </w:rPr>
      </w:pPr>
    </w:p>
    <w:p w14:paraId="4C74A2BF" w14:textId="3194528D" w:rsidR="00A84835" w:rsidRPr="008E6E0D" w:rsidRDefault="00A84835" w:rsidP="004019B7">
      <w:pPr>
        <w:rPr>
          <w:sz w:val="20"/>
          <w:szCs w:val="20"/>
        </w:rPr>
      </w:pPr>
    </w:p>
    <w:p w14:paraId="222FCAE9" w14:textId="1E87FE66" w:rsidR="00A84835" w:rsidRPr="008E6E0D" w:rsidRDefault="00A84835" w:rsidP="004019B7">
      <w:pPr>
        <w:rPr>
          <w:sz w:val="20"/>
          <w:szCs w:val="20"/>
        </w:rPr>
      </w:pPr>
    </w:p>
    <w:p w14:paraId="623759E8" w14:textId="008104BC" w:rsidR="00A84835" w:rsidRPr="008E6E0D" w:rsidRDefault="00A84835" w:rsidP="004019B7">
      <w:pPr>
        <w:rPr>
          <w:sz w:val="20"/>
          <w:szCs w:val="20"/>
        </w:rPr>
      </w:pPr>
    </w:p>
    <w:p w14:paraId="709F3F8A" w14:textId="28558786" w:rsidR="00A84835" w:rsidRPr="008E6E0D" w:rsidRDefault="00A84835" w:rsidP="004019B7">
      <w:pPr>
        <w:rPr>
          <w:sz w:val="20"/>
          <w:szCs w:val="20"/>
        </w:rPr>
      </w:pPr>
    </w:p>
    <w:p w14:paraId="743CDE64" w14:textId="5E2CA3CD" w:rsidR="00A84835" w:rsidRPr="008E6E0D" w:rsidRDefault="00A84835" w:rsidP="004019B7">
      <w:pPr>
        <w:rPr>
          <w:sz w:val="20"/>
          <w:szCs w:val="20"/>
        </w:rPr>
      </w:pPr>
    </w:p>
    <w:p w14:paraId="7194EAE0" w14:textId="790399CB" w:rsidR="00A84835" w:rsidRPr="008E6E0D" w:rsidRDefault="00A84835" w:rsidP="004019B7">
      <w:pPr>
        <w:rPr>
          <w:sz w:val="20"/>
          <w:szCs w:val="20"/>
        </w:rPr>
      </w:pPr>
    </w:p>
    <w:p w14:paraId="1A2FFBDB" w14:textId="3DDDC4D2" w:rsidR="00A84835" w:rsidRPr="008E6E0D" w:rsidRDefault="00A84835" w:rsidP="004019B7">
      <w:pPr>
        <w:rPr>
          <w:sz w:val="20"/>
          <w:szCs w:val="20"/>
        </w:rPr>
      </w:pPr>
    </w:p>
    <w:p w14:paraId="7FD471F8" w14:textId="14253474" w:rsidR="00A84835" w:rsidRPr="008E6E0D" w:rsidRDefault="00A84835" w:rsidP="004019B7">
      <w:pPr>
        <w:rPr>
          <w:sz w:val="20"/>
          <w:szCs w:val="20"/>
        </w:rPr>
      </w:pPr>
    </w:p>
    <w:p w14:paraId="7259F545" w14:textId="00233B93" w:rsidR="00A84835" w:rsidRPr="008E6E0D" w:rsidRDefault="00A84835" w:rsidP="004019B7">
      <w:pPr>
        <w:rPr>
          <w:sz w:val="20"/>
          <w:szCs w:val="20"/>
        </w:rPr>
      </w:pPr>
    </w:p>
    <w:p w14:paraId="62B13245" w14:textId="42E25FED" w:rsidR="00A84835" w:rsidRPr="008E6E0D" w:rsidRDefault="00A84835" w:rsidP="004019B7">
      <w:pPr>
        <w:rPr>
          <w:sz w:val="20"/>
          <w:szCs w:val="20"/>
        </w:rPr>
      </w:pPr>
    </w:p>
    <w:p w14:paraId="0186EDAE" w14:textId="3058D2E0" w:rsidR="00A84835" w:rsidRPr="008E6E0D" w:rsidRDefault="00A84835" w:rsidP="004019B7">
      <w:pPr>
        <w:rPr>
          <w:sz w:val="20"/>
          <w:szCs w:val="20"/>
        </w:rPr>
      </w:pPr>
    </w:p>
    <w:p w14:paraId="5A9EAAB9" w14:textId="14086E43" w:rsidR="00A84835" w:rsidRPr="008E6E0D" w:rsidRDefault="00A84835" w:rsidP="004019B7">
      <w:pPr>
        <w:rPr>
          <w:sz w:val="20"/>
          <w:szCs w:val="20"/>
        </w:rPr>
      </w:pPr>
    </w:p>
    <w:p w14:paraId="227AC37A" w14:textId="5AA9EF91" w:rsidR="00A84835" w:rsidRPr="008E6E0D" w:rsidRDefault="00A84835" w:rsidP="004019B7">
      <w:pPr>
        <w:rPr>
          <w:sz w:val="20"/>
          <w:szCs w:val="20"/>
        </w:rPr>
      </w:pPr>
    </w:p>
    <w:p w14:paraId="44587C1F" w14:textId="119E8110" w:rsidR="00A84835" w:rsidRPr="008E6E0D" w:rsidRDefault="00A84835" w:rsidP="004019B7">
      <w:pPr>
        <w:rPr>
          <w:sz w:val="20"/>
          <w:szCs w:val="20"/>
        </w:rPr>
      </w:pPr>
    </w:p>
    <w:p w14:paraId="08CA0773" w14:textId="498C88F0" w:rsidR="00A84835" w:rsidRPr="008E6E0D" w:rsidRDefault="00A84835" w:rsidP="004019B7">
      <w:pPr>
        <w:rPr>
          <w:sz w:val="20"/>
          <w:szCs w:val="20"/>
        </w:rPr>
      </w:pPr>
    </w:p>
    <w:p w14:paraId="2F6E47F0" w14:textId="34CA997B" w:rsidR="00A84835" w:rsidRPr="008E6E0D" w:rsidRDefault="00A84835" w:rsidP="004019B7">
      <w:pPr>
        <w:rPr>
          <w:sz w:val="20"/>
          <w:szCs w:val="20"/>
        </w:rPr>
      </w:pPr>
    </w:p>
    <w:p w14:paraId="5B6ECE9C" w14:textId="44F92916" w:rsidR="00A84835" w:rsidRPr="008E6E0D" w:rsidRDefault="00A84835" w:rsidP="004019B7">
      <w:pPr>
        <w:rPr>
          <w:sz w:val="20"/>
          <w:szCs w:val="20"/>
        </w:rPr>
      </w:pPr>
    </w:p>
    <w:p w14:paraId="25AA18D8" w14:textId="4E41A152" w:rsidR="00A84835" w:rsidRPr="008E6E0D" w:rsidRDefault="00A84835" w:rsidP="004019B7">
      <w:pPr>
        <w:rPr>
          <w:sz w:val="20"/>
          <w:szCs w:val="20"/>
        </w:rPr>
      </w:pPr>
    </w:p>
    <w:p w14:paraId="46D6B2D6" w14:textId="359792BC" w:rsidR="00A84835" w:rsidRPr="008E6E0D" w:rsidRDefault="00A84835" w:rsidP="004019B7">
      <w:pPr>
        <w:rPr>
          <w:sz w:val="20"/>
          <w:szCs w:val="20"/>
        </w:rPr>
      </w:pPr>
    </w:p>
    <w:p w14:paraId="12E50BB8" w14:textId="77777777" w:rsidR="00A84835" w:rsidRPr="008E6E0D" w:rsidRDefault="00A84835" w:rsidP="004019B7">
      <w:pPr>
        <w:rPr>
          <w:sz w:val="20"/>
          <w:szCs w:val="20"/>
        </w:rPr>
      </w:pPr>
    </w:p>
    <w:p w14:paraId="3DB0A8AB" w14:textId="77777777" w:rsidR="00A84835" w:rsidRPr="008E6E0D" w:rsidRDefault="00A84835" w:rsidP="004019B7">
      <w:pPr>
        <w:rPr>
          <w:sz w:val="20"/>
          <w:szCs w:val="20"/>
        </w:rPr>
      </w:pPr>
    </w:p>
    <w:tbl>
      <w:tblPr>
        <w:tblStyle w:val="Tablaconcuadrcula"/>
        <w:tblW w:w="8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498"/>
        <w:gridCol w:w="1836"/>
        <w:gridCol w:w="1444"/>
        <w:gridCol w:w="599"/>
        <w:gridCol w:w="907"/>
        <w:gridCol w:w="1422"/>
      </w:tblGrid>
      <w:tr w:rsidR="00484B96" w:rsidRPr="008E6E0D" w14:paraId="2EB6F66A" w14:textId="77777777" w:rsidTr="00484B96">
        <w:trPr>
          <w:trHeight w:val="274"/>
          <w:jc w:val="center"/>
        </w:trPr>
        <w:tc>
          <w:tcPr>
            <w:tcW w:w="8829" w:type="dxa"/>
            <w:gridSpan w:val="7"/>
            <w:tcBorders>
              <w:top w:val="single" w:sz="4" w:space="0" w:color="auto"/>
              <w:bottom w:val="single" w:sz="4" w:space="0" w:color="auto"/>
            </w:tcBorders>
            <w:vAlign w:val="center"/>
          </w:tcPr>
          <w:p w14:paraId="4E55053E" w14:textId="7CCE74EF" w:rsidR="00484B96" w:rsidRPr="008E6E0D" w:rsidRDefault="00484B96" w:rsidP="00484B96">
            <w:pPr>
              <w:spacing w:line="40" w:lineRule="atLeast"/>
              <w:rPr>
                <w:b/>
                <w:sz w:val="16"/>
                <w:szCs w:val="16"/>
                <w:lang w:eastAsia="es-ES"/>
              </w:rPr>
            </w:pPr>
            <w:r w:rsidRPr="008E6E0D">
              <w:rPr>
                <w:b/>
                <w:bCs/>
                <w:color w:val="000000"/>
                <w:sz w:val="16"/>
                <w:szCs w:val="16"/>
                <w:lang w:eastAsia="es-ES"/>
              </w:rPr>
              <w:lastRenderedPageBreak/>
              <w:t>Table S7. Nominally significant (</w:t>
            </w:r>
            <w:r w:rsidRPr="008E6E0D">
              <w:rPr>
                <w:b/>
                <w:bCs/>
                <w:i/>
                <w:iCs/>
                <w:color w:val="000000"/>
                <w:sz w:val="16"/>
                <w:szCs w:val="16"/>
                <w:lang w:eastAsia="es-ES"/>
              </w:rPr>
              <w:t>p</w:t>
            </w:r>
            <w:r w:rsidRPr="008E6E0D">
              <w:rPr>
                <w:b/>
                <w:bCs/>
                <w:color w:val="000000"/>
                <w:sz w:val="16"/>
                <w:szCs w:val="16"/>
                <w:lang w:eastAsia="es-ES"/>
              </w:rPr>
              <w:t>&lt;0.05) results for the classical HLA alleles and amino acids in GEN-SEP.</w:t>
            </w:r>
          </w:p>
        </w:tc>
      </w:tr>
      <w:tr w:rsidR="00484B96" w:rsidRPr="008E6E0D" w14:paraId="574369AA" w14:textId="77777777" w:rsidTr="00484B96">
        <w:trPr>
          <w:trHeight w:val="399"/>
          <w:jc w:val="center"/>
        </w:trPr>
        <w:tc>
          <w:tcPr>
            <w:tcW w:w="1123" w:type="dxa"/>
            <w:tcBorders>
              <w:top w:val="single" w:sz="4" w:space="0" w:color="auto"/>
              <w:bottom w:val="single" w:sz="4" w:space="0" w:color="auto"/>
            </w:tcBorders>
            <w:vAlign w:val="center"/>
          </w:tcPr>
          <w:p w14:paraId="156FFDFF" w14:textId="77777777" w:rsidR="00484B96" w:rsidRPr="008E6E0D" w:rsidRDefault="00484B96" w:rsidP="00484B96">
            <w:pPr>
              <w:spacing w:line="40" w:lineRule="atLeast"/>
              <w:jc w:val="center"/>
              <w:rPr>
                <w:sz w:val="16"/>
                <w:szCs w:val="16"/>
                <w:lang w:eastAsia="es-ES"/>
              </w:rPr>
            </w:pPr>
          </w:p>
        </w:tc>
        <w:tc>
          <w:tcPr>
            <w:tcW w:w="1498" w:type="dxa"/>
            <w:tcBorders>
              <w:top w:val="single" w:sz="4" w:space="0" w:color="auto"/>
              <w:bottom w:val="single" w:sz="4" w:space="0" w:color="auto"/>
            </w:tcBorders>
            <w:vAlign w:val="center"/>
          </w:tcPr>
          <w:p w14:paraId="046FED6B" w14:textId="77777777" w:rsidR="00484B96" w:rsidRPr="008E6E0D" w:rsidRDefault="00484B96" w:rsidP="00484B96">
            <w:pPr>
              <w:spacing w:line="40" w:lineRule="atLeast"/>
              <w:jc w:val="center"/>
              <w:rPr>
                <w:b/>
                <w:sz w:val="16"/>
                <w:szCs w:val="16"/>
                <w:lang w:eastAsia="es-ES"/>
              </w:rPr>
            </w:pPr>
            <w:r w:rsidRPr="008E6E0D">
              <w:rPr>
                <w:b/>
                <w:sz w:val="16"/>
                <w:szCs w:val="16"/>
                <w:lang w:eastAsia="es-ES"/>
              </w:rPr>
              <w:t>Gene</w:t>
            </w:r>
          </w:p>
        </w:tc>
        <w:tc>
          <w:tcPr>
            <w:tcW w:w="1836" w:type="dxa"/>
            <w:tcBorders>
              <w:top w:val="single" w:sz="4" w:space="0" w:color="auto"/>
              <w:bottom w:val="single" w:sz="4" w:space="0" w:color="auto"/>
            </w:tcBorders>
            <w:vAlign w:val="center"/>
          </w:tcPr>
          <w:p w14:paraId="54F3C3D0" w14:textId="0DBF3A10" w:rsidR="00484B96" w:rsidRPr="008E6E0D" w:rsidRDefault="00484B96" w:rsidP="00484B96">
            <w:pPr>
              <w:spacing w:line="40" w:lineRule="atLeast"/>
              <w:jc w:val="center"/>
              <w:rPr>
                <w:b/>
                <w:sz w:val="16"/>
                <w:szCs w:val="16"/>
                <w:lang w:eastAsia="es-ES"/>
              </w:rPr>
            </w:pPr>
            <w:r w:rsidRPr="008E6E0D">
              <w:rPr>
                <w:b/>
                <w:sz w:val="16"/>
                <w:szCs w:val="16"/>
                <w:lang w:eastAsia="es-ES"/>
              </w:rPr>
              <w:t>Allele/Variant*</w:t>
            </w:r>
          </w:p>
        </w:tc>
        <w:tc>
          <w:tcPr>
            <w:tcW w:w="1444" w:type="dxa"/>
            <w:tcBorders>
              <w:top w:val="single" w:sz="4" w:space="0" w:color="auto"/>
              <w:bottom w:val="single" w:sz="4" w:space="0" w:color="auto"/>
            </w:tcBorders>
            <w:vAlign w:val="center"/>
          </w:tcPr>
          <w:p w14:paraId="26ABE745" w14:textId="77777777" w:rsidR="00484B96" w:rsidRPr="008E6E0D" w:rsidRDefault="00484B96" w:rsidP="00484B96">
            <w:pPr>
              <w:spacing w:line="40" w:lineRule="atLeast"/>
              <w:jc w:val="center"/>
              <w:rPr>
                <w:b/>
                <w:sz w:val="16"/>
                <w:szCs w:val="16"/>
                <w:lang w:eastAsia="es-ES"/>
              </w:rPr>
            </w:pPr>
            <w:r w:rsidRPr="008E6E0D">
              <w:rPr>
                <w:b/>
                <w:sz w:val="16"/>
                <w:szCs w:val="16"/>
                <w:lang w:eastAsia="es-ES"/>
              </w:rPr>
              <w:t>Genomic position (hg19)</w:t>
            </w:r>
          </w:p>
        </w:tc>
        <w:tc>
          <w:tcPr>
            <w:tcW w:w="599" w:type="dxa"/>
            <w:tcBorders>
              <w:top w:val="single" w:sz="4" w:space="0" w:color="auto"/>
              <w:bottom w:val="single" w:sz="4" w:space="0" w:color="auto"/>
            </w:tcBorders>
            <w:vAlign w:val="center"/>
          </w:tcPr>
          <w:p w14:paraId="7E379EE3" w14:textId="77777777" w:rsidR="00484B96" w:rsidRPr="008E6E0D" w:rsidRDefault="00484B96" w:rsidP="00484B96">
            <w:pPr>
              <w:spacing w:line="40" w:lineRule="atLeast"/>
              <w:jc w:val="center"/>
              <w:rPr>
                <w:b/>
                <w:sz w:val="16"/>
                <w:szCs w:val="16"/>
                <w:lang w:eastAsia="es-ES"/>
              </w:rPr>
            </w:pPr>
            <w:r w:rsidRPr="008E6E0D">
              <w:rPr>
                <w:b/>
                <w:sz w:val="16"/>
                <w:szCs w:val="16"/>
                <w:lang w:eastAsia="es-ES"/>
              </w:rPr>
              <w:t>Freq.</w:t>
            </w:r>
          </w:p>
        </w:tc>
        <w:tc>
          <w:tcPr>
            <w:tcW w:w="907" w:type="dxa"/>
            <w:tcBorders>
              <w:top w:val="single" w:sz="4" w:space="0" w:color="auto"/>
              <w:bottom w:val="single" w:sz="4" w:space="0" w:color="auto"/>
            </w:tcBorders>
            <w:vAlign w:val="center"/>
          </w:tcPr>
          <w:p w14:paraId="36D76F04" w14:textId="77777777" w:rsidR="00484B96" w:rsidRPr="008E6E0D" w:rsidRDefault="00484B96" w:rsidP="00484B96">
            <w:pPr>
              <w:spacing w:line="40" w:lineRule="atLeast"/>
              <w:jc w:val="center"/>
              <w:rPr>
                <w:b/>
                <w:sz w:val="16"/>
                <w:szCs w:val="16"/>
                <w:lang w:eastAsia="es-ES"/>
              </w:rPr>
            </w:pPr>
            <w:r w:rsidRPr="008E6E0D">
              <w:rPr>
                <w:b/>
                <w:i/>
                <w:iCs/>
                <w:sz w:val="16"/>
                <w:szCs w:val="16"/>
                <w:lang w:eastAsia="es-ES"/>
              </w:rPr>
              <w:t>p</w:t>
            </w:r>
            <w:r w:rsidRPr="008E6E0D">
              <w:rPr>
                <w:b/>
                <w:sz w:val="16"/>
                <w:szCs w:val="16"/>
                <w:lang w:eastAsia="es-ES"/>
              </w:rPr>
              <w:t>-value</w:t>
            </w:r>
          </w:p>
        </w:tc>
        <w:tc>
          <w:tcPr>
            <w:tcW w:w="1420" w:type="dxa"/>
            <w:tcBorders>
              <w:top w:val="single" w:sz="4" w:space="0" w:color="auto"/>
              <w:bottom w:val="single" w:sz="4" w:space="0" w:color="auto"/>
            </w:tcBorders>
            <w:vAlign w:val="center"/>
          </w:tcPr>
          <w:p w14:paraId="01CAAC5F" w14:textId="77777777" w:rsidR="00484B96" w:rsidRPr="008E6E0D" w:rsidRDefault="00484B96" w:rsidP="00484B96">
            <w:pPr>
              <w:spacing w:line="40" w:lineRule="atLeast"/>
              <w:jc w:val="center"/>
              <w:rPr>
                <w:b/>
                <w:sz w:val="16"/>
                <w:szCs w:val="16"/>
                <w:lang w:eastAsia="es-ES"/>
              </w:rPr>
            </w:pPr>
            <w:r w:rsidRPr="008E6E0D">
              <w:rPr>
                <w:b/>
                <w:sz w:val="16"/>
                <w:szCs w:val="16"/>
                <w:lang w:eastAsia="es-ES"/>
              </w:rPr>
              <w:t>HR (95% CI)</w:t>
            </w:r>
          </w:p>
        </w:tc>
      </w:tr>
      <w:tr w:rsidR="00484B96" w:rsidRPr="008E6E0D" w14:paraId="633C4DC1" w14:textId="77777777" w:rsidTr="00484B96">
        <w:trPr>
          <w:trHeight w:val="192"/>
          <w:jc w:val="center"/>
        </w:trPr>
        <w:tc>
          <w:tcPr>
            <w:tcW w:w="1123" w:type="dxa"/>
            <w:vMerge w:val="restart"/>
            <w:tcBorders>
              <w:top w:val="single" w:sz="4" w:space="0" w:color="auto"/>
            </w:tcBorders>
            <w:vAlign w:val="center"/>
          </w:tcPr>
          <w:p w14:paraId="50397E98" w14:textId="77777777" w:rsidR="00484B96" w:rsidRPr="008E6E0D" w:rsidRDefault="00484B96" w:rsidP="00484B96">
            <w:pPr>
              <w:spacing w:line="40" w:lineRule="atLeast"/>
              <w:jc w:val="center"/>
              <w:rPr>
                <w:sz w:val="16"/>
                <w:szCs w:val="16"/>
                <w:lang w:eastAsia="es-ES"/>
              </w:rPr>
            </w:pPr>
            <w:r w:rsidRPr="008E6E0D">
              <w:rPr>
                <w:color w:val="000000"/>
                <w:sz w:val="16"/>
                <w:szCs w:val="16"/>
                <w:lang w:eastAsia="es-ES"/>
              </w:rPr>
              <w:t>Classical HLA alleles</w:t>
            </w:r>
          </w:p>
        </w:tc>
        <w:tc>
          <w:tcPr>
            <w:tcW w:w="1498" w:type="dxa"/>
            <w:tcBorders>
              <w:top w:val="single" w:sz="4" w:space="0" w:color="auto"/>
            </w:tcBorders>
            <w:vAlign w:val="center"/>
          </w:tcPr>
          <w:p w14:paraId="48BA63E9" w14:textId="77777777" w:rsidR="00484B96" w:rsidRPr="004C42C6" w:rsidRDefault="00484B96" w:rsidP="00484B96">
            <w:pPr>
              <w:spacing w:line="40" w:lineRule="atLeast"/>
              <w:jc w:val="center"/>
              <w:rPr>
                <w:i/>
                <w:iCs/>
                <w:sz w:val="16"/>
                <w:szCs w:val="16"/>
              </w:rPr>
            </w:pPr>
            <w:r w:rsidRPr="004C42C6">
              <w:rPr>
                <w:i/>
                <w:iCs/>
                <w:sz w:val="16"/>
                <w:szCs w:val="16"/>
                <w:lang w:eastAsia="es-ES"/>
              </w:rPr>
              <w:t>HLA-C</w:t>
            </w:r>
          </w:p>
        </w:tc>
        <w:tc>
          <w:tcPr>
            <w:tcW w:w="1836" w:type="dxa"/>
            <w:tcBorders>
              <w:top w:val="single" w:sz="4" w:space="0" w:color="auto"/>
            </w:tcBorders>
            <w:vAlign w:val="center"/>
          </w:tcPr>
          <w:p w14:paraId="3197C18E" w14:textId="77777777" w:rsidR="00484B96" w:rsidRPr="008E6E0D" w:rsidRDefault="00484B96" w:rsidP="00484B96">
            <w:pPr>
              <w:spacing w:line="40" w:lineRule="atLeast"/>
              <w:jc w:val="center"/>
              <w:rPr>
                <w:sz w:val="16"/>
                <w:szCs w:val="16"/>
              </w:rPr>
            </w:pPr>
            <w:r w:rsidRPr="008E6E0D">
              <w:rPr>
                <w:sz w:val="16"/>
                <w:szCs w:val="16"/>
                <w:lang w:eastAsia="es-ES"/>
              </w:rPr>
              <w:t>03:03</w:t>
            </w:r>
          </w:p>
        </w:tc>
        <w:tc>
          <w:tcPr>
            <w:tcW w:w="1444" w:type="dxa"/>
            <w:tcBorders>
              <w:top w:val="single" w:sz="4" w:space="0" w:color="auto"/>
            </w:tcBorders>
            <w:vAlign w:val="center"/>
          </w:tcPr>
          <w:p w14:paraId="25E92B3F" w14:textId="77777777" w:rsidR="00484B96" w:rsidRPr="008E6E0D" w:rsidRDefault="00484B96" w:rsidP="00484B96">
            <w:pPr>
              <w:spacing w:line="40" w:lineRule="atLeast"/>
              <w:jc w:val="center"/>
              <w:rPr>
                <w:sz w:val="16"/>
                <w:szCs w:val="16"/>
              </w:rPr>
            </w:pPr>
            <w:r w:rsidRPr="008E6E0D">
              <w:rPr>
                <w:sz w:val="16"/>
                <w:szCs w:val="16"/>
                <w:lang w:eastAsia="es-ES"/>
              </w:rPr>
              <w:t>6:31238192</w:t>
            </w:r>
          </w:p>
        </w:tc>
        <w:tc>
          <w:tcPr>
            <w:tcW w:w="599" w:type="dxa"/>
            <w:tcBorders>
              <w:top w:val="single" w:sz="4" w:space="0" w:color="auto"/>
            </w:tcBorders>
            <w:vAlign w:val="center"/>
          </w:tcPr>
          <w:p w14:paraId="3AF62572" w14:textId="78BF015A" w:rsidR="00484B96" w:rsidRPr="008E6E0D" w:rsidRDefault="00484B96" w:rsidP="00484B96">
            <w:pPr>
              <w:spacing w:line="40" w:lineRule="atLeast"/>
              <w:jc w:val="center"/>
              <w:rPr>
                <w:sz w:val="16"/>
                <w:szCs w:val="16"/>
              </w:rPr>
            </w:pPr>
            <w:r w:rsidRPr="008E6E0D">
              <w:rPr>
                <w:sz w:val="16"/>
                <w:szCs w:val="16"/>
                <w:lang w:eastAsia="es-ES"/>
              </w:rPr>
              <w:t>0.965</w:t>
            </w:r>
          </w:p>
        </w:tc>
        <w:tc>
          <w:tcPr>
            <w:tcW w:w="907" w:type="dxa"/>
            <w:tcBorders>
              <w:top w:val="single" w:sz="4" w:space="0" w:color="auto"/>
            </w:tcBorders>
            <w:vAlign w:val="center"/>
          </w:tcPr>
          <w:p w14:paraId="100767E6" w14:textId="77777777" w:rsidR="00484B96" w:rsidRPr="008E6E0D" w:rsidRDefault="00484B96" w:rsidP="00484B96">
            <w:pPr>
              <w:spacing w:line="40" w:lineRule="atLeast"/>
              <w:jc w:val="center"/>
              <w:rPr>
                <w:sz w:val="16"/>
                <w:szCs w:val="16"/>
              </w:rPr>
            </w:pPr>
            <w:r w:rsidRPr="008E6E0D">
              <w:rPr>
                <w:sz w:val="16"/>
                <w:szCs w:val="16"/>
                <w:lang w:eastAsia="es-ES"/>
              </w:rPr>
              <w:t>0.017</w:t>
            </w:r>
          </w:p>
        </w:tc>
        <w:tc>
          <w:tcPr>
            <w:tcW w:w="1420" w:type="dxa"/>
            <w:tcBorders>
              <w:top w:val="single" w:sz="4" w:space="0" w:color="auto"/>
            </w:tcBorders>
            <w:vAlign w:val="center"/>
          </w:tcPr>
          <w:p w14:paraId="0729A219" w14:textId="77777777" w:rsidR="00484B96" w:rsidRPr="008E6E0D" w:rsidRDefault="00484B96" w:rsidP="00484B96">
            <w:pPr>
              <w:spacing w:line="40" w:lineRule="atLeast"/>
              <w:jc w:val="center"/>
              <w:rPr>
                <w:sz w:val="16"/>
                <w:szCs w:val="16"/>
              </w:rPr>
            </w:pPr>
            <w:r w:rsidRPr="008E6E0D">
              <w:rPr>
                <w:sz w:val="16"/>
                <w:szCs w:val="16"/>
                <w:lang w:eastAsia="es-ES"/>
              </w:rPr>
              <w:t>0.57 (0.36-0.90)</w:t>
            </w:r>
          </w:p>
        </w:tc>
      </w:tr>
      <w:tr w:rsidR="00484B96" w:rsidRPr="008E6E0D" w14:paraId="3A26662F" w14:textId="77777777" w:rsidTr="00484B96">
        <w:trPr>
          <w:trHeight w:val="192"/>
          <w:jc w:val="center"/>
        </w:trPr>
        <w:tc>
          <w:tcPr>
            <w:tcW w:w="1123" w:type="dxa"/>
            <w:vMerge/>
            <w:vAlign w:val="center"/>
          </w:tcPr>
          <w:p w14:paraId="1B7FD98E" w14:textId="77777777" w:rsidR="00484B96" w:rsidRPr="008E6E0D" w:rsidRDefault="00484B96" w:rsidP="00484B96">
            <w:pPr>
              <w:spacing w:line="40" w:lineRule="atLeast"/>
              <w:jc w:val="center"/>
              <w:rPr>
                <w:sz w:val="16"/>
                <w:szCs w:val="16"/>
                <w:lang w:eastAsia="es-ES"/>
              </w:rPr>
            </w:pPr>
          </w:p>
        </w:tc>
        <w:tc>
          <w:tcPr>
            <w:tcW w:w="1498" w:type="dxa"/>
            <w:vAlign w:val="center"/>
          </w:tcPr>
          <w:p w14:paraId="12C9DA68" w14:textId="77777777" w:rsidR="00484B96" w:rsidRPr="004C42C6" w:rsidRDefault="00484B96" w:rsidP="00484B96">
            <w:pPr>
              <w:spacing w:line="40" w:lineRule="atLeast"/>
              <w:jc w:val="center"/>
              <w:rPr>
                <w:i/>
                <w:iCs/>
                <w:sz w:val="16"/>
                <w:szCs w:val="16"/>
              </w:rPr>
            </w:pPr>
            <w:r w:rsidRPr="004C42C6">
              <w:rPr>
                <w:i/>
                <w:iCs/>
                <w:sz w:val="16"/>
                <w:szCs w:val="16"/>
                <w:lang w:eastAsia="es-ES"/>
              </w:rPr>
              <w:t>HLA-B</w:t>
            </w:r>
          </w:p>
        </w:tc>
        <w:tc>
          <w:tcPr>
            <w:tcW w:w="1836" w:type="dxa"/>
            <w:vAlign w:val="center"/>
          </w:tcPr>
          <w:p w14:paraId="64CC75A3" w14:textId="77777777" w:rsidR="00484B96" w:rsidRPr="008E6E0D" w:rsidRDefault="00484B96" w:rsidP="00484B96">
            <w:pPr>
              <w:spacing w:line="40" w:lineRule="atLeast"/>
              <w:jc w:val="center"/>
              <w:rPr>
                <w:sz w:val="16"/>
                <w:szCs w:val="16"/>
              </w:rPr>
            </w:pPr>
            <w:r w:rsidRPr="008E6E0D">
              <w:rPr>
                <w:sz w:val="16"/>
                <w:szCs w:val="16"/>
                <w:lang w:eastAsia="es-ES"/>
              </w:rPr>
              <w:t>15:01</w:t>
            </w:r>
          </w:p>
        </w:tc>
        <w:tc>
          <w:tcPr>
            <w:tcW w:w="1444" w:type="dxa"/>
            <w:vAlign w:val="center"/>
          </w:tcPr>
          <w:p w14:paraId="12C9CE5A" w14:textId="77777777" w:rsidR="00484B96" w:rsidRPr="008E6E0D" w:rsidRDefault="00484B96" w:rsidP="00484B96">
            <w:pPr>
              <w:spacing w:line="40" w:lineRule="atLeast"/>
              <w:jc w:val="center"/>
              <w:rPr>
                <w:sz w:val="16"/>
                <w:szCs w:val="16"/>
              </w:rPr>
            </w:pPr>
            <w:r w:rsidRPr="008E6E0D">
              <w:rPr>
                <w:sz w:val="16"/>
                <w:szCs w:val="16"/>
                <w:lang w:eastAsia="es-ES"/>
              </w:rPr>
              <w:t>6:31323293</w:t>
            </w:r>
          </w:p>
        </w:tc>
        <w:tc>
          <w:tcPr>
            <w:tcW w:w="599" w:type="dxa"/>
            <w:vAlign w:val="center"/>
          </w:tcPr>
          <w:p w14:paraId="4681B4AF" w14:textId="22F6FFC6" w:rsidR="00484B96" w:rsidRPr="008E6E0D" w:rsidRDefault="00484B96" w:rsidP="00484B96">
            <w:pPr>
              <w:spacing w:line="40" w:lineRule="atLeast"/>
              <w:jc w:val="center"/>
              <w:rPr>
                <w:sz w:val="16"/>
                <w:szCs w:val="16"/>
              </w:rPr>
            </w:pPr>
            <w:r w:rsidRPr="008E6E0D">
              <w:rPr>
                <w:sz w:val="16"/>
                <w:szCs w:val="16"/>
                <w:lang w:eastAsia="es-ES"/>
              </w:rPr>
              <w:t>0.970</w:t>
            </w:r>
          </w:p>
        </w:tc>
        <w:tc>
          <w:tcPr>
            <w:tcW w:w="907" w:type="dxa"/>
            <w:vAlign w:val="center"/>
          </w:tcPr>
          <w:p w14:paraId="78FD64E7" w14:textId="77777777" w:rsidR="00484B96" w:rsidRPr="008E6E0D" w:rsidRDefault="00484B96" w:rsidP="00484B96">
            <w:pPr>
              <w:spacing w:line="40" w:lineRule="atLeast"/>
              <w:jc w:val="center"/>
              <w:rPr>
                <w:sz w:val="16"/>
                <w:szCs w:val="16"/>
              </w:rPr>
            </w:pPr>
            <w:r w:rsidRPr="008E6E0D">
              <w:rPr>
                <w:sz w:val="16"/>
                <w:szCs w:val="16"/>
                <w:lang w:eastAsia="es-ES"/>
              </w:rPr>
              <w:t>0.021</w:t>
            </w:r>
          </w:p>
        </w:tc>
        <w:tc>
          <w:tcPr>
            <w:tcW w:w="1420" w:type="dxa"/>
            <w:vAlign w:val="center"/>
          </w:tcPr>
          <w:p w14:paraId="2C14EF20" w14:textId="77777777" w:rsidR="00484B96" w:rsidRPr="008E6E0D" w:rsidRDefault="00484B96" w:rsidP="00484B96">
            <w:pPr>
              <w:spacing w:line="40" w:lineRule="atLeast"/>
              <w:jc w:val="center"/>
              <w:rPr>
                <w:sz w:val="16"/>
                <w:szCs w:val="16"/>
              </w:rPr>
            </w:pPr>
            <w:r w:rsidRPr="008E6E0D">
              <w:rPr>
                <w:sz w:val="16"/>
                <w:szCs w:val="16"/>
                <w:lang w:eastAsia="es-ES"/>
              </w:rPr>
              <w:t>0.55 (0.33-0.91)</w:t>
            </w:r>
          </w:p>
        </w:tc>
      </w:tr>
      <w:tr w:rsidR="00484B96" w:rsidRPr="008E6E0D" w14:paraId="740D57BB" w14:textId="77777777" w:rsidTr="00484B96">
        <w:trPr>
          <w:trHeight w:val="206"/>
          <w:jc w:val="center"/>
        </w:trPr>
        <w:tc>
          <w:tcPr>
            <w:tcW w:w="1123" w:type="dxa"/>
            <w:vMerge/>
            <w:vAlign w:val="center"/>
          </w:tcPr>
          <w:p w14:paraId="6E2ADE75" w14:textId="77777777" w:rsidR="00484B96" w:rsidRPr="008E6E0D" w:rsidRDefault="00484B96" w:rsidP="00484B96">
            <w:pPr>
              <w:spacing w:line="40" w:lineRule="atLeast"/>
              <w:jc w:val="center"/>
              <w:rPr>
                <w:sz w:val="16"/>
                <w:szCs w:val="16"/>
                <w:lang w:eastAsia="es-ES"/>
              </w:rPr>
            </w:pPr>
          </w:p>
        </w:tc>
        <w:tc>
          <w:tcPr>
            <w:tcW w:w="1498" w:type="dxa"/>
            <w:vAlign w:val="center"/>
          </w:tcPr>
          <w:p w14:paraId="7DA50FFB" w14:textId="77777777" w:rsidR="00484B96" w:rsidRPr="004C42C6" w:rsidRDefault="00484B96" w:rsidP="00484B96">
            <w:pPr>
              <w:spacing w:line="40" w:lineRule="atLeast"/>
              <w:jc w:val="center"/>
              <w:rPr>
                <w:i/>
                <w:iCs/>
                <w:sz w:val="16"/>
                <w:szCs w:val="16"/>
              </w:rPr>
            </w:pPr>
            <w:r w:rsidRPr="004C42C6">
              <w:rPr>
                <w:i/>
                <w:iCs/>
                <w:sz w:val="16"/>
                <w:szCs w:val="16"/>
                <w:lang w:eastAsia="es-ES"/>
              </w:rPr>
              <w:t>HLA-DRB1</w:t>
            </w:r>
          </w:p>
        </w:tc>
        <w:tc>
          <w:tcPr>
            <w:tcW w:w="1836" w:type="dxa"/>
            <w:vAlign w:val="center"/>
          </w:tcPr>
          <w:p w14:paraId="40631C86" w14:textId="77777777" w:rsidR="00484B96" w:rsidRPr="008E6E0D" w:rsidRDefault="00484B96" w:rsidP="00484B96">
            <w:pPr>
              <w:spacing w:line="40" w:lineRule="atLeast"/>
              <w:jc w:val="center"/>
              <w:rPr>
                <w:sz w:val="16"/>
                <w:szCs w:val="16"/>
              </w:rPr>
            </w:pPr>
            <w:r w:rsidRPr="008E6E0D">
              <w:rPr>
                <w:sz w:val="16"/>
                <w:szCs w:val="16"/>
                <w:lang w:eastAsia="es-ES"/>
              </w:rPr>
              <w:t>10</w:t>
            </w:r>
          </w:p>
        </w:tc>
        <w:tc>
          <w:tcPr>
            <w:tcW w:w="1444" w:type="dxa"/>
            <w:vAlign w:val="center"/>
          </w:tcPr>
          <w:p w14:paraId="354A22C3" w14:textId="77777777" w:rsidR="00484B96" w:rsidRPr="008E6E0D" w:rsidRDefault="00484B96" w:rsidP="00484B96">
            <w:pPr>
              <w:spacing w:line="40" w:lineRule="atLeast"/>
              <w:jc w:val="center"/>
              <w:rPr>
                <w:sz w:val="16"/>
                <w:szCs w:val="16"/>
              </w:rPr>
            </w:pPr>
            <w:r w:rsidRPr="008E6E0D">
              <w:rPr>
                <w:sz w:val="16"/>
                <w:szCs w:val="16"/>
                <w:lang w:eastAsia="es-ES"/>
              </w:rPr>
              <w:t>6:32552064</w:t>
            </w:r>
          </w:p>
        </w:tc>
        <w:tc>
          <w:tcPr>
            <w:tcW w:w="599" w:type="dxa"/>
            <w:vAlign w:val="center"/>
          </w:tcPr>
          <w:p w14:paraId="27141046" w14:textId="74526E0F" w:rsidR="00484B96" w:rsidRPr="008E6E0D" w:rsidRDefault="00484B96" w:rsidP="00484B96">
            <w:pPr>
              <w:spacing w:line="40" w:lineRule="atLeast"/>
              <w:jc w:val="center"/>
              <w:rPr>
                <w:sz w:val="16"/>
                <w:szCs w:val="16"/>
              </w:rPr>
            </w:pPr>
            <w:r w:rsidRPr="008E6E0D">
              <w:rPr>
                <w:sz w:val="16"/>
                <w:szCs w:val="16"/>
                <w:lang w:eastAsia="es-ES"/>
              </w:rPr>
              <w:t>0.982</w:t>
            </w:r>
          </w:p>
        </w:tc>
        <w:tc>
          <w:tcPr>
            <w:tcW w:w="907" w:type="dxa"/>
            <w:vAlign w:val="center"/>
          </w:tcPr>
          <w:p w14:paraId="47C11E94" w14:textId="77777777" w:rsidR="00484B96" w:rsidRPr="008E6E0D" w:rsidRDefault="00484B96" w:rsidP="00484B96">
            <w:pPr>
              <w:spacing w:line="40" w:lineRule="atLeast"/>
              <w:jc w:val="center"/>
              <w:rPr>
                <w:sz w:val="16"/>
                <w:szCs w:val="16"/>
              </w:rPr>
            </w:pPr>
            <w:r w:rsidRPr="008E6E0D">
              <w:rPr>
                <w:sz w:val="16"/>
                <w:szCs w:val="16"/>
                <w:lang w:eastAsia="es-ES"/>
              </w:rPr>
              <w:t>0.049</w:t>
            </w:r>
          </w:p>
        </w:tc>
        <w:tc>
          <w:tcPr>
            <w:tcW w:w="1420" w:type="dxa"/>
            <w:vAlign w:val="center"/>
          </w:tcPr>
          <w:p w14:paraId="56BEE2BD" w14:textId="77777777" w:rsidR="00484B96" w:rsidRPr="008E6E0D" w:rsidRDefault="00484B96" w:rsidP="00484B96">
            <w:pPr>
              <w:spacing w:line="40" w:lineRule="atLeast"/>
              <w:jc w:val="center"/>
              <w:rPr>
                <w:sz w:val="16"/>
                <w:szCs w:val="16"/>
              </w:rPr>
            </w:pPr>
            <w:r w:rsidRPr="008E6E0D">
              <w:rPr>
                <w:sz w:val="16"/>
                <w:szCs w:val="16"/>
                <w:lang w:eastAsia="es-ES"/>
              </w:rPr>
              <w:t>0.54 (0.29-1.00)</w:t>
            </w:r>
          </w:p>
        </w:tc>
      </w:tr>
      <w:tr w:rsidR="00484B96" w:rsidRPr="008E6E0D" w14:paraId="6A3BFC55" w14:textId="77777777" w:rsidTr="00484B96">
        <w:trPr>
          <w:trHeight w:val="192"/>
          <w:jc w:val="center"/>
        </w:trPr>
        <w:tc>
          <w:tcPr>
            <w:tcW w:w="1123" w:type="dxa"/>
            <w:vMerge/>
            <w:tcBorders>
              <w:bottom w:val="single" w:sz="4" w:space="0" w:color="auto"/>
            </w:tcBorders>
            <w:vAlign w:val="center"/>
          </w:tcPr>
          <w:p w14:paraId="3EEB906D" w14:textId="77777777" w:rsidR="00484B96" w:rsidRPr="008E6E0D" w:rsidRDefault="00484B96" w:rsidP="00484B96">
            <w:pPr>
              <w:spacing w:line="40" w:lineRule="atLeast"/>
              <w:jc w:val="center"/>
              <w:rPr>
                <w:sz w:val="16"/>
                <w:szCs w:val="16"/>
                <w:lang w:eastAsia="es-ES"/>
              </w:rPr>
            </w:pPr>
          </w:p>
        </w:tc>
        <w:tc>
          <w:tcPr>
            <w:tcW w:w="1498" w:type="dxa"/>
            <w:tcBorders>
              <w:bottom w:val="single" w:sz="4" w:space="0" w:color="auto"/>
            </w:tcBorders>
            <w:vAlign w:val="center"/>
          </w:tcPr>
          <w:p w14:paraId="6E108A39" w14:textId="77777777" w:rsidR="00484B96" w:rsidRPr="004C42C6" w:rsidRDefault="00484B96" w:rsidP="00484B96">
            <w:pPr>
              <w:spacing w:line="40" w:lineRule="atLeast"/>
              <w:jc w:val="center"/>
              <w:rPr>
                <w:i/>
                <w:iCs/>
                <w:color w:val="000000" w:themeColor="text1"/>
                <w:sz w:val="16"/>
                <w:szCs w:val="16"/>
              </w:rPr>
            </w:pPr>
            <w:r w:rsidRPr="004C42C6">
              <w:rPr>
                <w:i/>
                <w:iCs/>
                <w:color w:val="000000" w:themeColor="text1"/>
                <w:sz w:val="16"/>
                <w:szCs w:val="16"/>
                <w:lang w:eastAsia="es-ES"/>
              </w:rPr>
              <w:t>HLA-DRB1</w:t>
            </w:r>
          </w:p>
        </w:tc>
        <w:tc>
          <w:tcPr>
            <w:tcW w:w="1836" w:type="dxa"/>
            <w:tcBorders>
              <w:bottom w:val="single" w:sz="4" w:space="0" w:color="auto"/>
            </w:tcBorders>
            <w:vAlign w:val="center"/>
          </w:tcPr>
          <w:p w14:paraId="0B93AABD"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10:01</w:t>
            </w:r>
          </w:p>
        </w:tc>
        <w:tc>
          <w:tcPr>
            <w:tcW w:w="1444" w:type="dxa"/>
            <w:tcBorders>
              <w:bottom w:val="single" w:sz="4" w:space="0" w:color="auto"/>
            </w:tcBorders>
            <w:vAlign w:val="center"/>
          </w:tcPr>
          <w:p w14:paraId="3B09DC38"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6:32552064</w:t>
            </w:r>
          </w:p>
        </w:tc>
        <w:tc>
          <w:tcPr>
            <w:tcW w:w="599" w:type="dxa"/>
            <w:tcBorders>
              <w:bottom w:val="single" w:sz="4" w:space="0" w:color="auto"/>
            </w:tcBorders>
            <w:vAlign w:val="center"/>
          </w:tcPr>
          <w:p w14:paraId="5C18620D" w14:textId="195524CC"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0.982</w:t>
            </w:r>
          </w:p>
        </w:tc>
        <w:tc>
          <w:tcPr>
            <w:tcW w:w="907" w:type="dxa"/>
            <w:tcBorders>
              <w:bottom w:val="single" w:sz="4" w:space="0" w:color="auto"/>
            </w:tcBorders>
            <w:vAlign w:val="center"/>
          </w:tcPr>
          <w:p w14:paraId="2E7672A0"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0.049</w:t>
            </w:r>
          </w:p>
        </w:tc>
        <w:tc>
          <w:tcPr>
            <w:tcW w:w="1420" w:type="dxa"/>
            <w:tcBorders>
              <w:bottom w:val="single" w:sz="4" w:space="0" w:color="auto"/>
            </w:tcBorders>
            <w:vAlign w:val="center"/>
          </w:tcPr>
          <w:p w14:paraId="11183F2B"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0.54 (0.29-1.00)</w:t>
            </w:r>
          </w:p>
        </w:tc>
      </w:tr>
      <w:tr w:rsidR="00484B96" w:rsidRPr="008E6E0D" w14:paraId="79A9FD26" w14:textId="77777777" w:rsidTr="00484B96">
        <w:trPr>
          <w:trHeight w:val="206"/>
          <w:jc w:val="center"/>
        </w:trPr>
        <w:tc>
          <w:tcPr>
            <w:tcW w:w="1123" w:type="dxa"/>
            <w:tcBorders>
              <w:top w:val="single" w:sz="4" w:space="0" w:color="auto"/>
            </w:tcBorders>
            <w:vAlign w:val="center"/>
          </w:tcPr>
          <w:p w14:paraId="1A4C2D10" w14:textId="77777777" w:rsidR="00484B96" w:rsidRPr="008E6E0D" w:rsidRDefault="00484B96" w:rsidP="00484B96">
            <w:pPr>
              <w:spacing w:line="40" w:lineRule="atLeast"/>
              <w:jc w:val="center"/>
              <w:rPr>
                <w:sz w:val="16"/>
                <w:szCs w:val="16"/>
                <w:lang w:eastAsia="es-ES"/>
              </w:rPr>
            </w:pPr>
          </w:p>
        </w:tc>
        <w:tc>
          <w:tcPr>
            <w:tcW w:w="1498" w:type="dxa"/>
            <w:tcBorders>
              <w:top w:val="single" w:sz="4" w:space="0" w:color="auto"/>
            </w:tcBorders>
            <w:vAlign w:val="center"/>
          </w:tcPr>
          <w:p w14:paraId="77696CAA" w14:textId="77777777" w:rsidR="00484B96" w:rsidRPr="004C42C6" w:rsidRDefault="00484B96" w:rsidP="00484B96">
            <w:pPr>
              <w:spacing w:line="40" w:lineRule="atLeast"/>
              <w:jc w:val="center"/>
              <w:rPr>
                <w:i/>
                <w:iCs/>
                <w:color w:val="000000" w:themeColor="text1"/>
                <w:sz w:val="16"/>
                <w:szCs w:val="16"/>
                <w:lang w:eastAsia="es-ES"/>
              </w:rPr>
            </w:pPr>
            <w:r w:rsidRPr="004C42C6">
              <w:rPr>
                <w:i/>
                <w:iCs/>
                <w:color w:val="000000" w:themeColor="text1"/>
                <w:sz w:val="16"/>
                <w:szCs w:val="16"/>
                <w:lang w:eastAsia="es-ES"/>
              </w:rPr>
              <w:t>HLA-C</w:t>
            </w:r>
          </w:p>
        </w:tc>
        <w:tc>
          <w:tcPr>
            <w:tcW w:w="1836" w:type="dxa"/>
            <w:tcBorders>
              <w:top w:val="single" w:sz="4" w:space="0" w:color="auto"/>
            </w:tcBorders>
            <w:vAlign w:val="center"/>
          </w:tcPr>
          <w:p w14:paraId="227ABC42" w14:textId="0D6410F9"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Arg91Gly</w:t>
            </w:r>
          </w:p>
        </w:tc>
        <w:tc>
          <w:tcPr>
            <w:tcW w:w="1444" w:type="dxa"/>
            <w:tcBorders>
              <w:top w:val="single" w:sz="4" w:space="0" w:color="auto"/>
            </w:tcBorders>
            <w:vAlign w:val="center"/>
          </w:tcPr>
          <w:p w14:paraId="5994E540"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6:31347104</w:t>
            </w:r>
          </w:p>
        </w:tc>
        <w:tc>
          <w:tcPr>
            <w:tcW w:w="599" w:type="dxa"/>
            <w:tcBorders>
              <w:top w:val="single" w:sz="4" w:space="0" w:color="auto"/>
            </w:tcBorders>
            <w:vAlign w:val="center"/>
          </w:tcPr>
          <w:p w14:paraId="65CDB453"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0.965</w:t>
            </w:r>
          </w:p>
        </w:tc>
        <w:tc>
          <w:tcPr>
            <w:tcW w:w="907" w:type="dxa"/>
            <w:tcBorders>
              <w:top w:val="single" w:sz="4" w:space="0" w:color="auto"/>
            </w:tcBorders>
            <w:vAlign w:val="center"/>
          </w:tcPr>
          <w:p w14:paraId="1F8BD1BC"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0.017</w:t>
            </w:r>
          </w:p>
        </w:tc>
        <w:tc>
          <w:tcPr>
            <w:tcW w:w="1420" w:type="dxa"/>
            <w:tcBorders>
              <w:top w:val="single" w:sz="4" w:space="0" w:color="auto"/>
            </w:tcBorders>
            <w:vAlign w:val="center"/>
          </w:tcPr>
          <w:p w14:paraId="51F9DD42"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0.57 (0.36-0.90)</w:t>
            </w:r>
          </w:p>
        </w:tc>
      </w:tr>
      <w:tr w:rsidR="00484B96" w:rsidRPr="008E6E0D" w14:paraId="34386453" w14:textId="77777777" w:rsidTr="00484B96">
        <w:trPr>
          <w:trHeight w:val="192"/>
          <w:jc w:val="center"/>
        </w:trPr>
        <w:tc>
          <w:tcPr>
            <w:tcW w:w="1123" w:type="dxa"/>
            <w:vMerge w:val="restart"/>
            <w:vAlign w:val="center"/>
          </w:tcPr>
          <w:p w14:paraId="09618249" w14:textId="77777777" w:rsidR="00484B96" w:rsidRPr="008E6E0D" w:rsidRDefault="00484B96" w:rsidP="00484B96">
            <w:pPr>
              <w:spacing w:line="40" w:lineRule="atLeast"/>
              <w:jc w:val="center"/>
              <w:rPr>
                <w:sz w:val="16"/>
                <w:szCs w:val="16"/>
                <w:lang w:eastAsia="es-ES"/>
              </w:rPr>
            </w:pPr>
            <w:r w:rsidRPr="008E6E0D">
              <w:rPr>
                <w:sz w:val="16"/>
                <w:szCs w:val="16"/>
                <w:lang w:eastAsia="es-ES"/>
              </w:rPr>
              <w:t>Amino acids</w:t>
            </w:r>
          </w:p>
        </w:tc>
        <w:tc>
          <w:tcPr>
            <w:tcW w:w="1498" w:type="dxa"/>
            <w:vAlign w:val="center"/>
          </w:tcPr>
          <w:p w14:paraId="7CCFD826" w14:textId="7D57D4E7" w:rsidR="00484B96" w:rsidRPr="004C42C6" w:rsidRDefault="00484B96" w:rsidP="00484B96">
            <w:pPr>
              <w:spacing w:line="40" w:lineRule="atLeast"/>
              <w:jc w:val="center"/>
              <w:rPr>
                <w:i/>
                <w:iCs/>
                <w:color w:val="000000" w:themeColor="text1"/>
                <w:sz w:val="16"/>
                <w:szCs w:val="16"/>
                <w:lang w:eastAsia="es-ES"/>
              </w:rPr>
            </w:pPr>
            <w:r w:rsidRPr="004C42C6">
              <w:rPr>
                <w:i/>
                <w:iCs/>
                <w:color w:val="000000" w:themeColor="text1"/>
                <w:sz w:val="16"/>
                <w:szCs w:val="16"/>
                <w:lang w:eastAsia="es-ES"/>
              </w:rPr>
              <w:t>HLA-B</w:t>
            </w:r>
          </w:p>
        </w:tc>
        <w:tc>
          <w:tcPr>
            <w:tcW w:w="1836" w:type="dxa"/>
            <w:vAlign w:val="center"/>
          </w:tcPr>
          <w:p w14:paraId="4CA41B65" w14:textId="73DAFEC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Trp156</w:t>
            </w:r>
          </w:p>
        </w:tc>
        <w:tc>
          <w:tcPr>
            <w:tcW w:w="1444" w:type="dxa"/>
            <w:vAlign w:val="center"/>
          </w:tcPr>
          <w:p w14:paraId="4EBBD99E"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6:31432003</w:t>
            </w:r>
          </w:p>
        </w:tc>
        <w:tc>
          <w:tcPr>
            <w:tcW w:w="599" w:type="dxa"/>
            <w:vAlign w:val="center"/>
          </w:tcPr>
          <w:p w14:paraId="4AB88619"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0.968</w:t>
            </w:r>
          </w:p>
        </w:tc>
        <w:tc>
          <w:tcPr>
            <w:tcW w:w="907" w:type="dxa"/>
            <w:vAlign w:val="center"/>
          </w:tcPr>
          <w:p w14:paraId="23FD5B61"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0.019</w:t>
            </w:r>
          </w:p>
        </w:tc>
        <w:tc>
          <w:tcPr>
            <w:tcW w:w="1420" w:type="dxa"/>
            <w:vAlign w:val="center"/>
          </w:tcPr>
          <w:p w14:paraId="49A75A1A" w14:textId="77777777" w:rsidR="00484B96" w:rsidRPr="008E6E0D" w:rsidRDefault="00484B96" w:rsidP="00484B96">
            <w:pPr>
              <w:spacing w:line="40" w:lineRule="atLeast"/>
              <w:jc w:val="center"/>
              <w:rPr>
                <w:color w:val="000000" w:themeColor="text1"/>
                <w:sz w:val="16"/>
                <w:szCs w:val="16"/>
                <w:lang w:eastAsia="es-ES"/>
              </w:rPr>
            </w:pPr>
            <w:r w:rsidRPr="008E6E0D">
              <w:rPr>
                <w:color w:val="000000" w:themeColor="text1"/>
                <w:sz w:val="16"/>
                <w:szCs w:val="16"/>
                <w:lang w:eastAsia="es-ES"/>
              </w:rPr>
              <w:t>0.55 (0.33-0.91)</w:t>
            </w:r>
          </w:p>
        </w:tc>
      </w:tr>
      <w:tr w:rsidR="00484B96" w:rsidRPr="008E6E0D" w14:paraId="53B111FB" w14:textId="77777777" w:rsidTr="00484B96">
        <w:trPr>
          <w:trHeight w:val="206"/>
          <w:jc w:val="center"/>
        </w:trPr>
        <w:tc>
          <w:tcPr>
            <w:tcW w:w="1123" w:type="dxa"/>
            <w:vMerge/>
            <w:vAlign w:val="center"/>
          </w:tcPr>
          <w:p w14:paraId="726D8590" w14:textId="77777777" w:rsidR="00484B96" w:rsidRPr="008E6E0D" w:rsidRDefault="00484B96" w:rsidP="00484B96">
            <w:pPr>
              <w:spacing w:line="40" w:lineRule="atLeast"/>
              <w:jc w:val="center"/>
              <w:rPr>
                <w:sz w:val="16"/>
                <w:szCs w:val="16"/>
              </w:rPr>
            </w:pPr>
          </w:p>
        </w:tc>
        <w:tc>
          <w:tcPr>
            <w:tcW w:w="1498" w:type="dxa"/>
            <w:vAlign w:val="center"/>
          </w:tcPr>
          <w:p w14:paraId="6EA9D51A" w14:textId="7D290577" w:rsidR="00484B96" w:rsidRPr="004C42C6" w:rsidRDefault="00484B96" w:rsidP="00484B96">
            <w:pPr>
              <w:spacing w:line="40" w:lineRule="atLeast"/>
              <w:jc w:val="center"/>
              <w:rPr>
                <w:i/>
                <w:iCs/>
                <w:color w:val="000000" w:themeColor="text1"/>
                <w:sz w:val="16"/>
                <w:szCs w:val="16"/>
              </w:rPr>
            </w:pPr>
            <w:r w:rsidRPr="004C42C6">
              <w:rPr>
                <w:bCs/>
                <w:i/>
                <w:iCs/>
                <w:color w:val="000000" w:themeColor="text1"/>
                <w:sz w:val="16"/>
                <w:szCs w:val="16"/>
                <w:lang w:eastAsia="es-ES"/>
              </w:rPr>
              <w:t>HLA-B</w:t>
            </w:r>
          </w:p>
        </w:tc>
        <w:tc>
          <w:tcPr>
            <w:tcW w:w="1836" w:type="dxa"/>
            <w:vAlign w:val="center"/>
          </w:tcPr>
          <w:p w14:paraId="046146F4" w14:textId="52EBE551"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--156</w:t>
            </w:r>
          </w:p>
        </w:tc>
        <w:tc>
          <w:tcPr>
            <w:tcW w:w="1444" w:type="dxa"/>
            <w:vAlign w:val="center"/>
          </w:tcPr>
          <w:p w14:paraId="22EB9F89"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6:31432003</w:t>
            </w:r>
          </w:p>
        </w:tc>
        <w:tc>
          <w:tcPr>
            <w:tcW w:w="599" w:type="dxa"/>
            <w:vAlign w:val="center"/>
          </w:tcPr>
          <w:p w14:paraId="698EF78B"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0.968</w:t>
            </w:r>
          </w:p>
        </w:tc>
        <w:tc>
          <w:tcPr>
            <w:tcW w:w="907" w:type="dxa"/>
            <w:vAlign w:val="center"/>
          </w:tcPr>
          <w:p w14:paraId="2CBB73E7"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0.019</w:t>
            </w:r>
          </w:p>
        </w:tc>
        <w:tc>
          <w:tcPr>
            <w:tcW w:w="1420" w:type="dxa"/>
            <w:vAlign w:val="center"/>
          </w:tcPr>
          <w:p w14:paraId="2E5A27AE" w14:textId="77777777" w:rsidR="00484B96" w:rsidRPr="008E6E0D" w:rsidRDefault="00484B96" w:rsidP="00484B96">
            <w:pPr>
              <w:spacing w:line="40" w:lineRule="atLeast"/>
              <w:jc w:val="center"/>
              <w:rPr>
                <w:color w:val="000000" w:themeColor="text1"/>
                <w:sz w:val="16"/>
                <w:szCs w:val="16"/>
              </w:rPr>
            </w:pPr>
            <w:r w:rsidRPr="008E6E0D">
              <w:rPr>
                <w:color w:val="000000" w:themeColor="text1"/>
                <w:sz w:val="16"/>
                <w:szCs w:val="16"/>
                <w:lang w:eastAsia="es-ES"/>
              </w:rPr>
              <w:t>0.55 (0.33-0.91)</w:t>
            </w:r>
          </w:p>
        </w:tc>
      </w:tr>
      <w:tr w:rsidR="00484B96" w:rsidRPr="008E6E0D" w14:paraId="50A21884" w14:textId="77777777" w:rsidTr="00484B96">
        <w:trPr>
          <w:trHeight w:val="192"/>
          <w:jc w:val="center"/>
        </w:trPr>
        <w:tc>
          <w:tcPr>
            <w:tcW w:w="1123" w:type="dxa"/>
            <w:vMerge/>
            <w:vAlign w:val="center"/>
          </w:tcPr>
          <w:p w14:paraId="4B0BA6DF" w14:textId="77777777" w:rsidR="00484B96" w:rsidRPr="008E6E0D" w:rsidRDefault="00484B96" w:rsidP="00484B96">
            <w:pPr>
              <w:spacing w:line="40" w:lineRule="atLeast"/>
              <w:jc w:val="center"/>
              <w:rPr>
                <w:sz w:val="16"/>
                <w:szCs w:val="16"/>
              </w:rPr>
            </w:pPr>
          </w:p>
        </w:tc>
        <w:tc>
          <w:tcPr>
            <w:tcW w:w="1498" w:type="dxa"/>
            <w:vAlign w:val="center"/>
          </w:tcPr>
          <w:p w14:paraId="190D86F1" w14:textId="38C436DD" w:rsidR="00484B96" w:rsidRPr="004C42C6" w:rsidRDefault="00484B96" w:rsidP="00484B96">
            <w:pPr>
              <w:spacing w:line="40" w:lineRule="atLeast"/>
              <w:jc w:val="center"/>
              <w:rPr>
                <w:i/>
                <w:iCs/>
                <w:sz w:val="16"/>
                <w:szCs w:val="16"/>
              </w:rPr>
            </w:pPr>
            <w:r w:rsidRPr="004C42C6">
              <w:rPr>
                <w:bCs/>
                <w:i/>
                <w:iCs/>
                <w:sz w:val="16"/>
                <w:szCs w:val="16"/>
                <w:lang w:eastAsia="es-ES"/>
              </w:rPr>
              <w:t>HLA-C</w:t>
            </w:r>
          </w:p>
        </w:tc>
        <w:tc>
          <w:tcPr>
            <w:tcW w:w="1836" w:type="dxa"/>
            <w:vAlign w:val="center"/>
          </w:tcPr>
          <w:p w14:paraId="36FE7B6E" w14:textId="3735363C" w:rsidR="00484B96" w:rsidRPr="008E6E0D" w:rsidRDefault="00484B96" w:rsidP="00484B96">
            <w:pPr>
              <w:spacing w:line="40" w:lineRule="atLeast"/>
              <w:jc w:val="center"/>
              <w:rPr>
                <w:sz w:val="16"/>
                <w:szCs w:val="16"/>
              </w:rPr>
            </w:pPr>
            <w:r w:rsidRPr="008E6E0D">
              <w:rPr>
                <w:sz w:val="16"/>
                <w:szCs w:val="16"/>
                <w:lang w:eastAsia="es-ES"/>
              </w:rPr>
              <w:t>Leu/Trp156</w:t>
            </w:r>
          </w:p>
        </w:tc>
        <w:tc>
          <w:tcPr>
            <w:tcW w:w="1444" w:type="dxa"/>
            <w:vAlign w:val="center"/>
          </w:tcPr>
          <w:p w14:paraId="5BD2076C" w14:textId="77777777" w:rsidR="00484B96" w:rsidRPr="008E6E0D" w:rsidRDefault="00484B96" w:rsidP="00484B96">
            <w:pPr>
              <w:spacing w:line="40" w:lineRule="atLeast"/>
              <w:jc w:val="center"/>
              <w:rPr>
                <w:sz w:val="16"/>
                <w:szCs w:val="16"/>
              </w:rPr>
            </w:pPr>
            <w:r w:rsidRPr="008E6E0D">
              <w:rPr>
                <w:sz w:val="16"/>
                <w:szCs w:val="16"/>
                <w:lang w:eastAsia="es-ES"/>
              </w:rPr>
              <w:t>6:31346909</w:t>
            </w:r>
          </w:p>
        </w:tc>
        <w:tc>
          <w:tcPr>
            <w:tcW w:w="599" w:type="dxa"/>
            <w:vAlign w:val="center"/>
          </w:tcPr>
          <w:p w14:paraId="24D92502" w14:textId="77777777" w:rsidR="00484B96" w:rsidRPr="008E6E0D" w:rsidRDefault="00484B96" w:rsidP="00484B96">
            <w:pPr>
              <w:spacing w:line="40" w:lineRule="atLeast"/>
              <w:jc w:val="center"/>
              <w:rPr>
                <w:sz w:val="16"/>
                <w:szCs w:val="16"/>
              </w:rPr>
            </w:pPr>
            <w:r w:rsidRPr="008E6E0D">
              <w:rPr>
                <w:sz w:val="16"/>
                <w:szCs w:val="16"/>
                <w:lang w:eastAsia="es-ES"/>
              </w:rPr>
              <w:t>0.419</w:t>
            </w:r>
          </w:p>
        </w:tc>
        <w:tc>
          <w:tcPr>
            <w:tcW w:w="907" w:type="dxa"/>
            <w:vAlign w:val="center"/>
          </w:tcPr>
          <w:p w14:paraId="396D72B4" w14:textId="77777777" w:rsidR="00484B96" w:rsidRPr="008E6E0D" w:rsidRDefault="00484B96" w:rsidP="00484B96">
            <w:pPr>
              <w:spacing w:line="40" w:lineRule="atLeast"/>
              <w:jc w:val="center"/>
              <w:rPr>
                <w:sz w:val="16"/>
                <w:szCs w:val="16"/>
              </w:rPr>
            </w:pPr>
            <w:r w:rsidRPr="008E6E0D">
              <w:rPr>
                <w:sz w:val="16"/>
                <w:szCs w:val="16"/>
                <w:lang w:eastAsia="es-ES"/>
              </w:rPr>
              <w:t>0.025</w:t>
            </w:r>
          </w:p>
        </w:tc>
        <w:tc>
          <w:tcPr>
            <w:tcW w:w="1420" w:type="dxa"/>
            <w:vAlign w:val="center"/>
          </w:tcPr>
          <w:p w14:paraId="36D626FA" w14:textId="77777777" w:rsidR="00484B96" w:rsidRPr="008E6E0D" w:rsidRDefault="00484B96" w:rsidP="00484B96">
            <w:pPr>
              <w:spacing w:line="40" w:lineRule="atLeast"/>
              <w:jc w:val="center"/>
              <w:rPr>
                <w:sz w:val="16"/>
                <w:szCs w:val="16"/>
              </w:rPr>
            </w:pPr>
            <w:r w:rsidRPr="008E6E0D">
              <w:rPr>
                <w:sz w:val="16"/>
                <w:szCs w:val="16"/>
                <w:lang w:eastAsia="es-ES"/>
              </w:rPr>
              <w:t>0.79 (0.64-0.97)</w:t>
            </w:r>
          </w:p>
        </w:tc>
      </w:tr>
      <w:tr w:rsidR="00484B96" w:rsidRPr="008E6E0D" w14:paraId="3F2EC63D" w14:textId="77777777" w:rsidTr="00484B96">
        <w:trPr>
          <w:trHeight w:val="206"/>
          <w:jc w:val="center"/>
        </w:trPr>
        <w:tc>
          <w:tcPr>
            <w:tcW w:w="1123" w:type="dxa"/>
            <w:vMerge/>
            <w:vAlign w:val="center"/>
          </w:tcPr>
          <w:p w14:paraId="759355AB" w14:textId="77777777" w:rsidR="00484B96" w:rsidRPr="008E6E0D" w:rsidRDefault="00484B96" w:rsidP="00484B96">
            <w:pPr>
              <w:spacing w:line="40" w:lineRule="atLeast"/>
              <w:jc w:val="center"/>
              <w:rPr>
                <w:sz w:val="16"/>
                <w:szCs w:val="16"/>
              </w:rPr>
            </w:pPr>
          </w:p>
        </w:tc>
        <w:tc>
          <w:tcPr>
            <w:tcW w:w="1498" w:type="dxa"/>
            <w:vAlign w:val="center"/>
          </w:tcPr>
          <w:p w14:paraId="304A7988" w14:textId="14192416" w:rsidR="00484B96" w:rsidRPr="004C42C6" w:rsidRDefault="00484B96" w:rsidP="00484B96">
            <w:pPr>
              <w:spacing w:line="40" w:lineRule="atLeast"/>
              <w:jc w:val="center"/>
              <w:rPr>
                <w:i/>
                <w:iCs/>
                <w:sz w:val="16"/>
                <w:szCs w:val="16"/>
              </w:rPr>
            </w:pPr>
            <w:r w:rsidRPr="004C42C6">
              <w:rPr>
                <w:bCs/>
                <w:i/>
                <w:iCs/>
                <w:sz w:val="16"/>
                <w:szCs w:val="16"/>
                <w:lang w:eastAsia="es-ES"/>
              </w:rPr>
              <w:t>HLA-C</w:t>
            </w:r>
          </w:p>
        </w:tc>
        <w:tc>
          <w:tcPr>
            <w:tcW w:w="1836" w:type="dxa"/>
            <w:vAlign w:val="center"/>
          </w:tcPr>
          <w:p w14:paraId="34252C5A" w14:textId="063C54CC" w:rsidR="00484B96" w:rsidRPr="008E6E0D" w:rsidRDefault="00484B96" w:rsidP="00484B96">
            <w:pPr>
              <w:spacing w:line="40" w:lineRule="atLeast"/>
              <w:jc w:val="center"/>
              <w:rPr>
                <w:sz w:val="16"/>
                <w:szCs w:val="16"/>
              </w:rPr>
            </w:pPr>
            <w:r w:rsidRPr="008E6E0D">
              <w:rPr>
                <w:sz w:val="16"/>
                <w:szCs w:val="16"/>
                <w:lang w:eastAsia="es-ES"/>
              </w:rPr>
              <w:t>Arg/Gln156</w:t>
            </w:r>
          </w:p>
        </w:tc>
        <w:tc>
          <w:tcPr>
            <w:tcW w:w="1444" w:type="dxa"/>
            <w:vAlign w:val="center"/>
          </w:tcPr>
          <w:p w14:paraId="11233949" w14:textId="77777777" w:rsidR="00484B96" w:rsidRPr="008E6E0D" w:rsidRDefault="00484B96" w:rsidP="00484B96">
            <w:pPr>
              <w:spacing w:line="40" w:lineRule="atLeast"/>
              <w:jc w:val="center"/>
              <w:rPr>
                <w:sz w:val="16"/>
                <w:szCs w:val="16"/>
              </w:rPr>
            </w:pPr>
            <w:r w:rsidRPr="008E6E0D">
              <w:rPr>
                <w:sz w:val="16"/>
                <w:szCs w:val="16"/>
                <w:lang w:eastAsia="es-ES"/>
              </w:rPr>
              <w:t>6:31346909</w:t>
            </w:r>
          </w:p>
        </w:tc>
        <w:tc>
          <w:tcPr>
            <w:tcW w:w="599" w:type="dxa"/>
            <w:vAlign w:val="center"/>
          </w:tcPr>
          <w:p w14:paraId="75051A49" w14:textId="77777777" w:rsidR="00484B96" w:rsidRPr="008E6E0D" w:rsidRDefault="00484B96" w:rsidP="00484B96">
            <w:pPr>
              <w:spacing w:line="40" w:lineRule="atLeast"/>
              <w:jc w:val="center"/>
              <w:rPr>
                <w:sz w:val="16"/>
                <w:szCs w:val="16"/>
              </w:rPr>
            </w:pPr>
            <w:r w:rsidRPr="008E6E0D">
              <w:rPr>
                <w:color w:val="000000"/>
                <w:sz w:val="16"/>
                <w:szCs w:val="16"/>
                <w:lang w:eastAsia="es-ES"/>
              </w:rPr>
              <w:t>0.590</w:t>
            </w:r>
          </w:p>
        </w:tc>
        <w:tc>
          <w:tcPr>
            <w:tcW w:w="907" w:type="dxa"/>
            <w:vAlign w:val="center"/>
          </w:tcPr>
          <w:p w14:paraId="5FCE4BF1" w14:textId="77777777" w:rsidR="00484B96" w:rsidRPr="008E6E0D" w:rsidRDefault="00484B96" w:rsidP="00484B96">
            <w:pPr>
              <w:spacing w:line="40" w:lineRule="atLeast"/>
              <w:jc w:val="center"/>
              <w:rPr>
                <w:sz w:val="16"/>
                <w:szCs w:val="16"/>
              </w:rPr>
            </w:pPr>
            <w:r w:rsidRPr="008E6E0D">
              <w:rPr>
                <w:color w:val="000000"/>
                <w:sz w:val="16"/>
                <w:szCs w:val="16"/>
                <w:lang w:eastAsia="es-ES"/>
              </w:rPr>
              <w:t>0.029</w:t>
            </w:r>
          </w:p>
        </w:tc>
        <w:tc>
          <w:tcPr>
            <w:tcW w:w="1420" w:type="dxa"/>
            <w:vAlign w:val="center"/>
          </w:tcPr>
          <w:p w14:paraId="08444C46" w14:textId="77777777" w:rsidR="00484B96" w:rsidRPr="008E6E0D" w:rsidRDefault="00484B96" w:rsidP="00484B96">
            <w:pPr>
              <w:spacing w:line="40" w:lineRule="atLeast"/>
              <w:jc w:val="center"/>
              <w:rPr>
                <w:sz w:val="16"/>
                <w:szCs w:val="16"/>
              </w:rPr>
            </w:pPr>
            <w:r w:rsidRPr="008E6E0D">
              <w:rPr>
                <w:color w:val="000000"/>
                <w:sz w:val="16"/>
                <w:szCs w:val="16"/>
                <w:lang w:eastAsia="es-ES"/>
              </w:rPr>
              <w:t>1.27 (1.02-1.57)</w:t>
            </w:r>
          </w:p>
        </w:tc>
      </w:tr>
      <w:tr w:rsidR="00484B96" w:rsidRPr="008E6E0D" w14:paraId="6430BE19" w14:textId="77777777" w:rsidTr="00484B96">
        <w:trPr>
          <w:trHeight w:val="192"/>
          <w:jc w:val="center"/>
        </w:trPr>
        <w:tc>
          <w:tcPr>
            <w:tcW w:w="1123" w:type="dxa"/>
            <w:vMerge/>
            <w:vAlign w:val="center"/>
          </w:tcPr>
          <w:p w14:paraId="0077DD78" w14:textId="77777777" w:rsidR="00484B96" w:rsidRPr="008E6E0D" w:rsidRDefault="00484B96" w:rsidP="00484B96">
            <w:pPr>
              <w:spacing w:line="40" w:lineRule="atLeast"/>
              <w:jc w:val="center"/>
              <w:rPr>
                <w:sz w:val="16"/>
                <w:szCs w:val="16"/>
              </w:rPr>
            </w:pPr>
          </w:p>
        </w:tc>
        <w:tc>
          <w:tcPr>
            <w:tcW w:w="1498" w:type="dxa"/>
            <w:vAlign w:val="center"/>
          </w:tcPr>
          <w:p w14:paraId="1177E6C4" w14:textId="30583B73" w:rsidR="00484B96" w:rsidRPr="004C42C6" w:rsidRDefault="00484B96" w:rsidP="00484B96">
            <w:pPr>
              <w:spacing w:line="40" w:lineRule="atLeast"/>
              <w:jc w:val="center"/>
              <w:rPr>
                <w:i/>
                <w:iCs/>
                <w:sz w:val="16"/>
                <w:szCs w:val="16"/>
              </w:rPr>
            </w:pPr>
            <w:r w:rsidRPr="004C42C6">
              <w:rPr>
                <w:bCs/>
                <w:i/>
                <w:iCs/>
                <w:sz w:val="16"/>
                <w:szCs w:val="16"/>
                <w:lang w:eastAsia="es-ES"/>
              </w:rPr>
              <w:t>HLA-A</w:t>
            </w:r>
          </w:p>
        </w:tc>
        <w:tc>
          <w:tcPr>
            <w:tcW w:w="1836" w:type="dxa"/>
            <w:vAlign w:val="center"/>
          </w:tcPr>
          <w:p w14:paraId="3FDC9A16" w14:textId="60F6C5B7" w:rsidR="00484B96" w:rsidRPr="008E6E0D" w:rsidRDefault="00484B96" w:rsidP="00484B96">
            <w:pPr>
              <w:spacing w:line="40" w:lineRule="atLeast"/>
              <w:jc w:val="center"/>
              <w:rPr>
                <w:sz w:val="16"/>
                <w:szCs w:val="16"/>
              </w:rPr>
            </w:pPr>
            <w:r w:rsidRPr="008E6E0D">
              <w:rPr>
                <w:sz w:val="16"/>
                <w:szCs w:val="16"/>
                <w:lang w:eastAsia="es-ES"/>
              </w:rPr>
              <w:t>Arg/</w:t>
            </w:r>
            <w:r w:rsidRPr="008E6E0D">
              <w:rPr>
                <w:color w:val="000000" w:themeColor="text1"/>
                <w:sz w:val="16"/>
                <w:szCs w:val="16"/>
                <w:lang w:eastAsia="es-ES"/>
              </w:rPr>
              <w:t>Trp156</w:t>
            </w:r>
          </w:p>
        </w:tc>
        <w:tc>
          <w:tcPr>
            <w:tcW w:w="1444" w:type="dxa"/>
            <w:vAlign w:val="center"/>
          </w:tcPr>
          <w:p w14:paraId="0D101BC5" w14:textId="77777777" w:rsidR="00484B96" w:rsidRPr="008E6E0D" w:rsidRDefault="00484B96" w:rsidP="00484B96">
            <w:pPr>
              <w:spacing w:line="40" w:lineRule="atLeast"/>
              <w:jc w:val="center"/>
              <w:rPr>
                <w:sz w:val="16"/>
                <w:szCs w:val="16"/>
              </w:rPr>
            </w:pPr>
            <w:r w:rsidRPr="008E6E0D">
              <w:rPr>
                <w:color w:val="000000"/>
                <w:sz w:val="16"/>
                <w:szCs w:val="16"/>
                <w:lang w:eastAsia="es-ES"/>
              </w:rPr>
              <w:t>6:30019219</w:t>
            </w:r>
          </w:p>
        </w:tc>
        <w:tc>
          <w:tcPr>
            <w:tcW w:w="599" w:type="dxa"/>
            <w:vAlign w:val="center"/>
          </w:tcPr>
          <w:p w14:paraId="0769CB71" w14:textId="77777777" w:rsidR="00484B96" w:rsidRPr="008E6E0D" w:rsidRDefault="00484B96" w:rsidP="00484B96">
            <w:pPr>
              <w:spacing w:line="40" w:lineRule="atLeast"/>
              <w:jc w:val="center"/>
              <w:rPr>
                <w:sz w:val="16"/>
                <w:szCs w:val="16"/>
              </w:rPr>
            </w:pPr>
            <w:r w:rsidRPr="008E6E0D">
              <w:rPr>
                <w:color w:val="000000"/>
                <w:sz w:val="16"/>
                <w:szCs w:val="16"/>
                <w:lang w:eastAsia="es-ES"/>
              </w:rPr>
              <w:t>0.756</w:t>
            </w:r>
          </w:p>
        </w:tc>
        <w:tc>
          <w:tcPr>
            <w:tcW w:w="907" w:type="dxa"/>
            <w:vAlign w:val="center"/>
          </w:tcPr>
          <w:p w14:paraId="00AE5877" w14:textId="77777777" w:rsidR="00484B96" w:rsidRPr="008E6E0D" w:rsidRDefault="00484B96" w:rsidP="00484B96">
            <w:pPr>
              <w:spacing w:line="40" w:lineRule="atLeast"/>
              <w:jc w:val="center"/>
              <w:rPr>
                <w:sz w:val="16"/>
                <w:szCs w:val="16"/>
              </w:rPr>
            </w:pPr>
            <w:r w:rsidRPr="008E6E0D">
              <w:rPr>
                <w:color w:val="000000"/>
                <w:sz w:val="16"/>
                <w:szCs w:val="16"/>
                <w:lang w:eastAsia="es-ES"/>
              </w:rPr>
              <w:t>0.039</w:t>
            </w:r>
          </w:p>
        </w:tc>
        <w:tc>
          <w:tcPr>
            <w:tcW w:w="1420" w:type="dxa"/>
            <w:vAlign w:val="center"/>
          </w:tcPr>
          <w:p w14:paraId="3B84795D" w14:textId="77777777" w:rsidR="00484B96" w:rsidRPr="008E6E0D" w:rsidRDefault="00484B96" w:rsidP="00484B96">
            <w:pPr>
              <w:spacing w:line="40" w:lineRule="atLeast"/>
              <w:jc w:val="center"/>
              <w:rPr>
                <w:sz w:val="16"/>
                <w:szCs w:val="16"/>
              </w:rPr>
            </w:pPr>
            <w:r w:rsidRPr="008E6E0D">
              <w:rPr>
                <w:color w:val="000000"/>
                <w:sz w:val="16"/>
                <w:szCs w:val="16"/>
                <w:lang w:eastAsia="es-ES"/>
              </w:rPr>
              <w:t>0.77 (0.61-0.99)</w:t>
            </w:r>
          </w:p>
        </w:tc>
      </w:tr>
      <w:tr w:rsidR="00484B96" w:rsidRPr="008E6E0D" w14:paraId="687D36E8" w14:textId="77777777" w:rsidTr="00484B96">
        <w:trPr>
          <w:trHeight w:val="206"/>
          <w:jc w:val="center"/>
        </w:trPr>
        <w:tc>
          <w:tcPr>
            <w:tcW w:w="1123" w:type="dxa"/>
            <w:vMerge/>
            <w:vAlign w:val="center"/>
          </w:tcPr>
          <w:p w14:paraId="3CF9BE2B" w14:textId="77777777" w:rsidR="00484B96" w:rsidRPr="008E6E0D" w:rsidRDefault="00484B96" w:rsidP="00484B96">
            <w:pPr>
              <w:spacing w:line="40" w:lineRule="atLeast"/>
              <w:jc w:val="center"/>
              <w:rPr>
                <w:sz w:val="16"/>
                <w:szCs w:val="16"/>
              </w:rPr>
            </w:pPr>
          </w:p>
        </w:tc>
        <w:tc>
          <w:tcPr>
            <w:tcW w:w="1498" w:type="dxa"/>
            <w:vAlign w:val="center"/>
          </w:tcPr>
          <w:p w14:paraId="54013F7A" w14:textId="40BEF4A5"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4EED0C94" w14:textId="5A4965C8" w:rsidR="00484B96" w:rsidRPr="008E6E0D" w:rsidRDefault="00484B96" w:rsidP="00484B96">
            <w:pPr>
              <w:spacing w:line="40" w:lineRule="atLeast"/>
              <w:jc w:val="center"/>
              <w:rPr>
                <w:sz w:val="16"/>
                <w:szCs w:val="16"/>
              </w:rPr>
            </w:pPr>
            <w:r w:rsidRPr="008E6E0D">
              <w:rPr>
                <w:color w:val="000000"/>
                <w:sz w:val="16"/>
                <w:szCs w:val="16"/>
                <w:lang w:eastAsia="es-ES"/>
              </w:rPr>
              <w:t>Pro231</w:t>
            </w:r>
          </w:p>
        </w:tc>
        <w:tc>
          <w:tcPr>
            <w:tcW w:w="1444" w:type="dxa"/>
            <w:vAlign w:val="center"/>
          </w:tcPr>
          <w:p w14:paraId="77085AC3" w14:textId="77777777" w:rsidR="00484B96" w:rsidRPr="008E6E0D" w:rsidRDefault="00484B96" w:rsidP="00484B96">
            <w:pPr>
              <w:spacing w:line="40" w:lineRule="atLeast"/>
              <w:jc w:val="center"/>
              <w:rPr>
                <w:sz w:val="16"/>
                <w:szCs w:val="16"/>
              </w:rPr>
            </w:pPr>
            <w:r w:rsidRPr="008E6E0D">
              <w:rPr>
                <w:color w:val="000000"/>
                <w:sz w:val="16"/>
                <w:szCs w:val="16"/>
                <w:lang w:eastAsia="es-ES"/>
              </w:rPr>
              <w:t>6:32656010</w:t>
            </w:r>
          </w:p>
        </w:tc>
        <w:tc>
          <w:tcPr>
            <w:tcW w:w="599" w:type="dxa"/>
            <w:vAlign w:val="center"/>
          </w:tcPr>
          <w:p w14:paraId="0024617B"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0EBC4DB4"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68FDB7B3"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19454556" w14:textId="77777777" w:rsidTr="00484B96">
        <w:trPr>
          <w:trHeight w:val="206"/>
          <w:jc w:val="center"/>
        </w:trPr>
        <w:tc>
          <w:tcPr>
            <w:tcW w:w="1123" w:type="dxa"/>
            <w:vMerge/>
            <w:vAlign w:val="center"/>
          </w:tcPr>
          <w:p w14:paraId="26B04F61" w14:textId="77777777" w:rsidR="00484B96" w:rsidRPr="008E6E0D" w:rsidRDefault="00484B96" w:rsidP="00484B96">
            <w:pPr>
              <w:spacing w:line="40" w:lineRule="atLeast"/>
              <w:jc w:val="center"/>
              <w:rPr>
                <w:sz w:val="16"/>
                <w:szCs w:val="16"/>
              </w:rPr>
            </w:pPr>
          </w:p>
        </w:tc>
        <w:tc>
          <w:tcPr>
            <w:tcW w:w="1498" w:type="dxa"/>
            <w:vAlign w:val="center"/>
          </w:tcPr>
          <w:p w14:paraId="54E201B2" w14:textId="29FC1DD4"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7D67F21C" w14:textId="56E88667" w:rsidR="00484B96" w:rsidRPr="008E6E0D" w:rsidRDefault="00484B96" w:rsidP="00484B96">
            <w:pPr>
              <w:spacing w:line="40" w:lineRule="atLeast"/>
              <w:jc w:val="center"/>
              <w:rPr>
                <w:sz w:val="16"/>
                <w:szCs w:val="16"/>
              </w:rPr>
            </w:pPr>
            <w:r w:rsidRPr="008E6E0D">
              <w:rPr>
                <w:color w:val="000000"/>
                <w:sz w:val="16"/>
                <w:szCs w:val="16"/>
                <w:lang w:eastAsia="es-ES"/>
              </w:rPr>
              <w:t>Gln166</w:t>
            </w:r>
          </w:p>
        </w:tc>
        <w:tc>
          <w:tcPr>
            <w:tcW w:w="1444" w:type="dxa"/>
            <w:vAlign w:val="center"/>
          </w:tcPr>
          <w:p w14:paraId="17C02452" w14:textId="77777777" w:rsidR="00484B96" w:rsidRPr="008E6E0D" w:rsidRDefault="00484B96" w:rsidP="00484B96">
            <w:pPr>
              <w:spacing w:line="40" w:lineRule="atLeast"/>
              <w:jc w:val="center"/>
              <w:rPr>
                <w:sz w:val="16"/>
                <w:szCs w:val="16"/>
              </w:rPr>
            </w:pPr>
            <w:r w:rsidRPr="008E6E0D">
              <w:rPr>
                <w:color w:val="000000"/>
                <w:sz w:val="16"/>
                <w:szCs w:val="16"/>
                <w:lang w:eastAsia="es-ES"/>
              </w:rPr>
              <w:t>6:32657380</w:t>
            </w:r>
          </w:p>
        </w:tc>
        <w:tc>
          <w:tcPr>
            <w:tcW w:w="599" w:type="dxa"/>
            <w:vAlign w:val="center"/>
          </w:tcPr>
          <w:p w14:paraId="05686C89"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121868DD"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4D7B9663"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440ACF8A" w14:textId="77777777" w:rsidTr="00484B96">
        <w:trPr>
          <w:trHeight w:val="192"/>
          <w:jc w:val="center"/>
        </w:trPr>
        <w:tc>
          <w:tcPr>
            <w:tcW w:w="1123" w:type="dxa"/>
            <w:vMerge/>
            <w:vAlign w:val="center"/>
          </w:tcPr>
          <w:p w14:paraId="1181A0E7" w14:textId="77777777" w:rsidR="00484B96" w:rsidRPr="008E6E0D" w:rsidRDefault="00484B96" w:rsidP="00484B96">
            <w:pPr>
              <w:spacing w:line="40" w:lineRule="atLeast"/>
              <w:jc w:val="center"/>
              <w:rPr>
                <w:sz w:val="16"/>
                <w:szCs w:val="16"/>
              </w:rPr>
            </w:pPr>
          </w:p>
        </w:tc>
        <w:tc>
          <w:tcPr>
            <w:tcW w:w="1498" w:type="dxa"/>
            <w:vAlign w:val="center"/>
          </w:tcPr>
          <w:p w14:paraId="35067B49" w14:textId="2CD78C0D"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54B4704B" w14:textId="4DC4248E" w:rsidR="00484B96" w:rsidRPr="008E6E0D" w:rsidRDefault="00484B96" w:rsidP="00484B96">
            <w:pPr>
              <w:spacing w:line="40" w:lineRule="atLeast"/>
              <w:jc w:val="center"/>
              <w:rPr>
                <w:sz w:val="16"/>
                <w:szCs w:val="16"/>
              </w:rPr>
            </w:pPr>
            <w:r w:rsidRPr="008E6E0D">
              <w:rPr>
                <w:color w:val="000000"/>
                <w:sz w:val="16"/>
                <w:szCs w:val="16"/>
                <w:lang w:eastAsia="es-ES"/>
              </w:rPr>
              <w:t>Arg30</w:t>
            </w:r>
          </w:p>
        </w:tc>
        <w:tc>
          <w:tcPr>
            <w:tcW w:w="1444" w:type="dxa"/>
            <w:vAlign w:val="center"/>
          </w:tcPr>
          <w:p w14:paraId="2944BFBE" w14:textId="77777777" w:rsidR="00484B96" w:rsidRPr="008E6E0D" w:rsidRDefault="00484B96" w:rsidP="00484B96">
            <w:pPr>
              <w:spacing w:line="40" w:lineRule="atLeast"/>
              <w:jc w:val="center"/>
              <w:rPr>
                <w:sz w:val="16"/>
                <w:szCs w:val="16"/>
              </w:rPr>
            </w:pPr>
            <w:r w:rsidRPr="008E6E0D">
              <w:rPr>
                <w:color w:val="000000"/>
                <w:sz w:val="16"/>
                <w:szCs w:val="16"/>
                <w:lang w:eastAsia="es-ES"/>
              </w:rPr>
              <w:t>6:32660058</w:t>
            </w:r>
          </w:p>
        </w:tc>
        <w:tc>
          <w:tcPr>
            <w:tcW w:w="599" w:type="dxa"/>
            <w:vAlign w:val="center"/>
          </w:tcPr>
          <w:p w14:paraId="444591DD"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3BF99B29"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71C23F7F"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6C10A0B2" w14:textId="77777777" w:rsidTr="00484B96">
        <w:trPr>
          <w:trHeight w:val="206"/>
          <w:jc w:val="center"/>
        </w:trPr>
        <w:tc>
          <w:tcPr>
            <w:tcW w:w="1123" w:type="dxa"/>
            <w:vMerge/>
            <w:vAlign w:val="center"/>
          </w:tcPr>
          <w:p w14:paraId="6DC8CA41" w14:textId="77777777" w:rsidR="00484B96" w:rsidRPr="008E6E0D" w:rsidRDefault="00484B96" w:rsidP="00484B96">
            <w:pPr>
              <w:spacing w:line="40" w:lineRule="atLeast"/>
              <w:jc w:val="center"/>
              <w:rPr>
                <w:sz w:val="16"/>
                <w:szCs w:val="16"/>
              </w:rPr>
            </w:pPr>
          </w:p>
        </w:tc>
        <w:tc>
          <w:tcPr>
            <w:tcW w:w="1498" w:type="dxa"/>
            <w:vAlign w:val="center"/>
          </w:tcPr>
          <w:p w14:paraId="4B0419BF" w14:textId="79861CA5"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775C9138" w14:textId="7D3D4607" w:rsidR="00484B96" w:rsidRPr="008E6E0D" w:rsidRDefault="00484B96" w:rsidP="00484B96">
            <w:pPr>
              <w:spacing w:line="40" w:lineRule="atLeast"/>
              <w:jc w:val="center"/>
              <w:rPr>
                <w:sz w:val="16"/>
                <w:szCs w:val="16"/>
              </w:rPr>
            </w:pPr>
            <w:r w:rsidRPr="008E6E0D">
              <w:rPr>
                <w:color w:val="000000"/>
                <w:sz w:val="16"/>
                <w:szCs w:val="16"/>
                <w:lang w:eastAsia="es-ES"/>
              </w:rPr>
              <w:t>Val31</w:t>
            </w:r>
          </w:p>
        </w:tc>
        <w:tc>
          <w:tcPr>
            <w:tcW w:w="1444" w:type="dxa"/>
            <w:vAlign w:val="center"/>
          </w:tcPr>
          <w:p w14:paraId="353C1392" w14:textId="77777777" w:rsidR="00484B96" w:rsidRPr="008E6E0D" w:rsidRDefault="00484B96" w:rsidP="00484B96">
            <w:pPr>
              <w:spacing w:line="40" w:lineRule="atLeast"/>
              <w:jc w:val="center"/>
              <w:rPr>
                <w:sz w:val="16"/>
                <w:szCs w:val="16"/>
              </w:rPr>
            </w:pPr>
            <w:r w:rsidRPr="008E6E0D">
              <w:rPr>
                <w:color w:val="000000"/>
                <w:sz w:val="16"/>
                <w:szCs w:val="16"/>
                <w:lang w:eastAsia="es-ES"/>
              </w:rPr>
              <w:t>6:32660055</w:t>
            </w:r>
          </w:p>
        </w:tc>
        <w:tc>
          <w:tcPr>
            <w:tcW w:w="599" w:type="dxa"/>
            <w:vAlign w:val="center"/>
          </w:tcPr>
          <w:p w14:paraId="6FD99A95"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0A0C3C98"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127D4D71"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26ED3752" w14:textId="77777777" w:rsidTr="00484B96">
        <w:trPr>
          <w:trHeight w:val="192"/>
          <w:jc w:val="center"/>
        </w:trPr>
        <w:tc>
          <w:tcPr>
            <w:tcW w:w="1123" w:type="dxa"/>
            <w:vMerge/>
            <w:vAlign w:val="center"/>
          </w:tcPr>
          <w:p w14:paraId="54F1B2CA" w14:textId="77777777" w:rsidR="00484B96" w:rsidRPr="008E6E0D" w:rsidRDefault="00484B96" w:rsidP="00484B96">
            <w:pPr>
              <w:spacing w:line="40" w:lineRule="atLeast"/>
              <w:jc w:val="center"/>
              <w:rPr>
                <w:sz w:val="16"/>
                <w:szCs w:val="16"/>
              </w:rPr>
            </w:pPr>
          </w:p>
        </w:tc>
        <w:tc>
          <w:tcPr>
            <w:tcW w:w="1498" w:type="dxa"/>
            <w:vAlign w:val="center"/>
          </w:tcPr>
          <w:p w14:paraId="5764DF66" w14:textId="3A87EF26"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53DB3B19" w14:textId="2C55B59C" w:rsidR="00484B96" w:rsidRPr="008E6E0D" w:rsidRDefault="00484B96" w:rsidP="00484B96">
            <w:pPr>
              <w:spacing w:line="40" w:lineRule="atLeast"/>
              <w:jc w:val="center"/>
              <w:rPr>
                <w:sz w:val="16"/>
                <w:szCs w:val="16"/>
              </w:rPr>
            </w:pPr>
            <w:r w:rsidRPr="008E6E0D">
              <w:rPr>
                <w:color w:val="000000"/>
                <w:sz w:val="16"/>
                <w:szCs w:val="16"/>
                <w:lang w:eastAsia="es-ES"/>
              </w:rPr>
              <w:t>Ala38</w:t>
            </w:r>
          </w:p>
        </w:tc>
        <w:tc>
          <w:tcPr>
            <w:tcW w:w="1444" w:type="dxa"/>
            <w:vAlign w:val="center"/>
          </w:tcPr>
          <w:p w14:paraId="1C770F44" w14:textId="77777777" w:rsidR="00484B96" w:rsidRPr="008E6E0D" w:rsidRDefault="00484B96" w:rsidP="00484B96">
            <w:pPr>
              <w:spacing w:line="40" w:lineRule="atLeast"/>
              <w:jc w:val="center"/>
              <w:rPr>
                <w:sz w:val="16"/>
                <w:szCs w:val="16"/>
              </w:rPr>
            </w:pPr>
            <w:r w:rsidRPr="008E6E0D">
              <w:rPr>
                <w:color w:val="000000"/>
                <w:sz w:val="16"/>
                <w:szCs w:val="16"/>
                <w:lang w:eastAsia="es-ES"/>
              </w:rPr>
              <w:t>6:32660034</w:t>
            </w:r>
          </w:p>
        </w:tc>
        <w:tc>
          <w:tcPr>
            <w:tcW w:w="599" w:type="dxa"/>
            <w:vAlign w:val="center"/>
          </w:tcPr>
          <w:p w14:paraId="4C2B8A75"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3D6B7715"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5EC42C88"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05FBB1F7" w14:textId="77777777" w:rsidTr="00484B96">
        <w:trPr>
          <w:trHeight w:val="206"/>
          <w:jc w:val="center"/>
        </w:trPr>
        <w:tc>
          <w:tcPr>
            <w:tcW w:w="1123" w:type="dxa"/>
            <w:vMerge/>
            <w:vAlign w:val="center"/>
          </w:tcPr>
          <w:p w14:paraId="75701D6D" w14:textId="77777777" w:rsidR="00484B96" w:rsidRPr="008E6E0D" w:rsidRDefault="00484B96" w:rsidP="00484B96">
            <w:pPr>
              <w:spacing w:line="40" w:lineRule="atLeast"/>
              <w:jc w:val="center"/>
              <w:rPr>
                <w:sz w:val="16"/>
                <w:szCs w:val="16"/>
              </w:rPr>
            </w:pPr>
          </w:p>
        </w:tc>
        <w:tc>
          <w:tcPr>
            <w:tcW w:w="1498" w:type="dxa"/>
            <w:vAlign w:val="center"/>
          </w:tcPr>
          <w:p w14:paraId="6925DA3A" w14:textId="77777777"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vAlign w:val="center"/>
          </w:tcPr>
          <w:p w14:paraId="6C31D82E" w14:textId="0A9B041B" w:rsidR="00484B96" w:rsidRPr="008E6E0D" w:rsidRDefault="00484B96" w:rsidP="00484B96">
            <w:pPr>
              <w:spacing w:line="40" w:lineRule="atLeast"/>
              <w:jc w:val="center"/>
              <w:rPr>
                <w:sz w:val="16"/>
                <w:szCs w:val="16"/>
              </w:rPr>
            </w:pPr>
            <w:r w:rsidRPr="008E6E0D">
              <w:rPr>
                <w:color w:val="000000"/>
                <w:sz w:val="16"/>
                <w:szCs w:val="16"/>
                <w:lang w:eastAsia="es-ES"/>
              </w:rPr>
              <w:t>Tyr</w:t>
            </w:r>
            <w:r w:rsidRPr="008E6E0D">
              <w:rPr>
                <w:sz w:val="16"/>
                <w:szCs w:val="16"/>
                <w:lang w:eastAsia="es-ES"/>
              </w:rPr>
              <w:t>40</w:t>
            </w:r>
            <w:r w:rsidRPr="008E6E0D">
              <w:rPr>
                <w:color w:val="000000"/>
                <w:sz w:val="16"/>
                <w:szCs w:val="16"/>
                <w:lang w:eastAsia="es-ES"/>
              </w:rPr>
              <w:t>Phe</w:t>
            </w:r>
          </w:p>
        </w:tc>
        <w:tc>
          <w:tcPr>
            <w:tcW w:w="1444" w:type="dxa"/>
            <w:vAlign w:val="center"/>
          </w:tcPr>
          <w:p w14:paraId="4F3F593E" w14:textId="77777777" w:rsidR="00484B96" w:rsidRPr="008E6E0D" w:rsidRDefault="00484B96" w:rsidP="00484B96">
            <w:pPr>
              <w:spacing w:line="40" w:lineRule="atLeast"/>
              <w:jc w:val="center"/>
              <w:rPr>
                <w:sz w:val="16"/>
                <w:szCs w:val="16"/>
              </w:rPr>
            </w:pPr>
            <w:r w:rsidRPr="008E6E0D">
              <w:rPr>
                <w:color w:val="000000"/>
                <w:sz w:val="16"/>
                <w:szCs w:val="16"/>
                <w:lang w:eastAsia="es-ES"/>
              </w:rPr>
              <w:t>6:32660028</w:t>
            </w:r>
          </w:p>
        </w:tc>
        <w:tc>
          <w:tcPr>
            <w:tcW w:w="599" w:type="dxa"/>
            <w:vAlign w:val="center"/>
          </w:tcPr>
          <w:p w14:paraId="1F4EBDB4"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vAlign w:val="center"/>
          </w:tcPr>
          <w:p w14:paraId="2AD05605"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vAlign w:val="center"/>
          </w:tcPr>
          <w:p w14:paraId="1580B711"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02AFF913" w14:textId="77777777" w:rsidTr="00484B96">
        <w:trPr>
          <w:trHeight w:val="192"/>
          <w:jc w:val="center"/>
        </w:trPr>
        <w:tc>
          <w:tcPr>
            <w:tcW w:w="1123" w:type="dxa"/>
            <w:vMerge/>
            <w:tcBorders>
              <w:bottom w:val="single" w:sz="4" w:space="0" w:color="auto"/>
            </w:tcBorders>
            <w:vAlign w:val="center"/>
          </w:tcPr>
          <w:p w14:paraId="23E6F958" w14:textId="77777777" w:rsidR="00484B96" w:rsidRPr="008E6E0D" w:rsidRDefault="00484B96" w:rsidP="00484B96">
            <w:pPr>
              <w:spacing w:line="40" w:lineRule="atLeast"/>
              <w:jc w:val="center"/>
              <w:rPr>
                <w:sz w:val="16"/>
                <w:szCs w:val="16"/>
              </w:rPr>
            </w:pPr>
          </w:p>
        </w:tc>
        <w:tc>
          <w:tcPr>
            <w:tcW w:w="1498" w:type="dxa"/>
            <w:tcBorders>
              <w:bottom w:val="single" w:sz="4" w:space="0" w:color="auto"/>
            </w:tcBorders>
            <w:vAlign w:val="center"/>
          </w:tcPr>
          <w:p w14:paraId="6EF869AD" w14:textId="352A701E" w:rsidR="00484B96" w:rsidRPr="004C42C6" w:rsidRDefault="00484B96" w:rsidP="00484B96">
            <w:pPr>
              <w:spacing w:line="40" w:lineRule="atLeast"/>
              <w:jc w:val="center"/>
              <w:rPr>
                <w:i/>
                <w:iCs/>
                <w:sz w:val="16"/>
                <w:szCs w:val="16"/>
              </w:rPr>
            </w:pPr>
            <w:r w:rsidRPr="004C42C6">
              <w:rPr>
                <w:i/>
                <w:iCs/>
                <w:color w:val="000000"/>
                <w:sz w:val="16"/>
                <w:szCs w:val="16"/>
                <w:lang w:eastAsia="es-ES"/>
              </w:rPr>
              <w:t>HLA-DRB1</w:t>
            </w:r>
          </w:p>
        </w:tc>
        <w:tc>
          <w:tcPr>
            <w:tcW w:w="1836" w:type="dxa"/>
            <w:tcBorders>
              <w:bottom w:val="single" w:sz="4" w:space="0" w:color="auto"/>
            </w:tcBorders>
            <w:vAlign w:val="center"/>
          </w:tcPr>
          <w:p w14:paraId="4AFB0157" w14:textId="43C0C09B" w:rsidR="00484B96" w:rsidRPr="008E6E0D" w:rsidRDefault="00484B96" w:rsidP="00484B96">
            <w:pPr>
              <w:spacing w:line="40" w:lineRule="atLeast"/>
              <w:jc w:val="center"/>
              <w:rPr>
                <w:sz w:val="16"/>
                <w:szCs w:val="16"/>
              </w:rPr>
            </w:pPr>
            <w:r w:rsidRPr="008E6E0D">
              <w:rPr>
                <w:color w:val="000000"/>
                <w:sz w:val="16"/>
                <w:szCs w:val="16"/>
                <w:lang w:eastAsia="es-ES"/>
              </w:rPr>
              <w:t>Glu10</w:t>
            </w:r>
          </w:p>
        </w:tc>
        <w:tc>
          <w:tcPr>
            <w:tcW w:w="1444" w:type="dxa"/>
            <w:tcBorders>
              <w:bottom w:val="single" w:sz="4" w:space="0" w:color="auto"/>
            </w:tcBorders>
            <w:vAlign w:val="center"/>
          </w:tcPr>
          <w:p w14:paraId="1A6F4B3D" w14:textId="77777777" w:rsidR="00484B96" w:rsidRPr="008E6E0D" w:rsidRDefault="00484B96" w:rsidP="00484B96">
            <w:pPr>
              <w:spacing w:line="40" w:lineRule="atLeast"/>
              <w:jc w:val="center"/>
              <w:rPr>
                <w:sz w:val="16"/>
                <w:szCs w:val="16"/>
              </w:rPr>
            </w:pPr>
            <w:r w:rsidRPr="008E6E0D">
              <w:rPr>
                <w:color w:val="000000"/>
                <w:sz w:val="16"/>
                <w:szCs w:val="16"/>
                <w:lang w:eastAsia="es-ES"/>
              </w:rPr>
              <w:t>6:32660118</w:t>
            </w:r>
          </w:p>
        </w:tc>
        <w:tc>
          <w:tcPr>
            <w:tcW w:w="599" w:type="dxa"/>
            <w:tcBorders>
              <w:bottom w:val="single" w:sz="4" w:space="0" w:color="auto"/>
            </w:tcBorders>
            <w:vAlign w:val="center"/>
          </w:tcPr>
          <w:p w14:paraId="106BE0A4" w14:textId="77777777" w:rsidR="00484B96" w:rsidRPr="008E6E0D" w:rsidRDefault="00484B96" w:rsidP="00484B96">
            <w:pPr>
              <w:spacing w:line="40" w:lineRule="atLeast"/>
              <w:jc w:val="center"/>
              <w:rPr>
                <w:sz w:val="16"/>
                <w:szCs w:val="16"/>
              </w:rPr>
            </w:pPr>
            <w:r w:rsidRPr="008E6E0D">
              <w:rPr>
                <w:color w:val="000000"/>
                <w:sz w:val="16"/>
                <w:szCs w:val="16"/>
                <w:lang w:eastAsia="es-ES"/>
              </w:rPr>
              <w:t>0.982</w:t>
            </w:r>
          </w:p>
        </w:tc>
        <w:tc>
          <w:tcPr>
            <w:tcW w:w="907" w:type="dxa"/>
            <w:tcBorders>
              <w:bottom w:val="single" w:sz="4" w:space="0" w:color="auto"/>
            </w:tcBorders>
            <w:vAlign w:val="center"/>
          </w:tcPr>
          <w:p w14:paraId="1595AB07" w14:textId="77777777" w:rsidR="00484B96" w:rsidRPr="008E6E0D" w:rsidRDefault="00484B96" w:rsidP="00484B96">
            <w:pPr>
              <w:spacing w:line="40" w:lineRule="atLeast"/>
              <w:jc w:val="center"/>
              <w:rPr>
                <w:sz w:val="16"/>
                <w:szCs w:val="16"/>
              </w:rPr>
            </w:pPr>
            <w:r w:rsidRPr="008E6E0D">
              <w:rPr>
                <w:color w:val="000000"/>
                <w:sz w:val="16"/>
                <w:szCs w:val="16"/>
                <w:lang w:eastAsia="es-ES"/>
              </w:rPr>
              <w:t>0.049</w:t>
            </w:r>
          </w:p>
        </w:tc>
        <w:tc>
          <w:tcPr>
            <w:tcW w:w="1420" w:type="dxa"/>
            <w:tcBorders>
              <w:bottom w:val="single" w:sz="4" w:space="0" w:color="auto"/>
            </w:tcBorders>
            <w:vAlign w:val="center"/>
          </w:tcPr>
          <w:p w14:paraId="29CEEEE8" w14:textId="77777777" w:rsidR="00484B96" w:rsidRPr="008E6E0D" w:rsidRDefault="00484B96" w:rsidP="00484B96">
            <w:pPr>
              <w:spacing w:line="40" w:lineRule="atLeast"/>
              <w:jc w:val="center"/>
              <w:rPr>
                <w:sz w:val="16"/>
                <w:szCs w:val="16"/>
              </w:rPr>
            </w:pPr>
            <w:r w:rsidRPr="008E6E0D">
              <w:rPr>
                <w:color w:val="000000"/>
                <w:sz w:val="16"/>
                <w:szCs w:val="16"/>
                <w:lang w:eastAsia="es-ES"/>
              </w:rPr>
              <w:t>0.54 (0.29-1.00)</w:t>
            </w:r>
          </w:p>
        </w:tc>
      </w:tr>
      <w:tr w:rsidR="00484B96" w:rsidRPr="008E6E0D" w14:paraId="22D0E1A1" w14:textId="77777777" w:rsidTr="00484B96">
        <w:trPr>
          <w:trHeight w:val="283"/>
          <w:jc w:val="center"/>
        </w:trPr>
        <w:tc>
          <w:tcPr>
            <w:tcW w:w="8829" w:type="dxa"/>
            <w:gridSpan w:val="7"/>
            <w:tcBorders>
              <w:bottom w:val="single" w:sz="4" w:space="0" w:color="auto"/>
            </w:tcBorders>
            <w:vAlign w:val="center"/>
          </w:tcPr>
          <w:p w14:paraId="5FDFABDB" w14:textId="0CB0A8C8" w:rsidR="00484B96" w:rsidRPr="008E6E0D" w:rsidRDefault="00C91093" w:rsidP="00EA147F">
            <w:pPr>
              <w:spacing w:line="40" w:lineRule="atLeast"/>
              <w:rPr>
                <w:color w:val="000000"/>
                <w:sz w:val="16"/>
                <w:szCs w:val="16"/>
                <w:lang w:eastAsia="es-ES"/>
              </w:rPr>
            </w:pPr>
            <w:r>
              <w:rPr>
                <w:sz w:val="16"/>
                <w:szCs w:val="16"/>
                <w:lang w:eastAsia="es-ES"/>
              </w:rPr>
              <w:t>*A</w:t>
            </w:r>
            <w:r w:rsidR="00484B96" w:rsidRPr="008E6E0D">
              <w:rPr>
                <w:sz w:val="16"/>
                <w:szCs w:val="16"/>
                <w:lang w:eastAsia="es-ES"/>
              </w:rPr>
              <w:t>mino</w:t>
            </w:r>
            <w:r w:rsidR="0015579A">
              <w:rPr>
                <w:sz w:val="16"/>
                <w:szCs w:val="16"/>
                <w:lang w:eastAsia="es-ES"/>
              </w:rPr>
              <w:t xml:space="preserve"> a</w:t>
            </w:r>
            <w:r w:rsidR="00484B96" w:rsidRPr="008E6E0D">
              <w:rPr>
                <w:sz w:val="16"/>
                <w:szCs w:val="16"/>
                <w:lang w:eastAsia="es-ES"/>
              </w:rPr>
              <w:t>cid and position; Freq</w:t>
            </w:r>
            <w:r w:rsidR="00484B96" w:rsidRPr="008E6E0D">
              <w:rPr>
                <w:color w:val="000000"/>
                <w:sz w:val="16"/>
                <w:szCs w:val="16"/>
                <w:lang w:eastAsia="es-ES"/>
              </w:rPr>
              <w:t>: Frequency of classical HLA allele or amino acids; HR: Hazard ratio</w:t>
            </w:r>
            <w:r w:rsidR="00EA147F">
              <w:rPr>
                <w:color w:val="000000"/>
                <w:sz w:val="16"/>
                <w:szCs w:val="16"/>
                <w:lang w:eastAsia="es-ES"/>
              </w:rPr>
              <w:t>.</w:t>
            </w:r>
          </w:p>
        </w:tc>
      </w:tr>
    </w:tbl>
    <w:p w14:paraId="73E376FB" w14:textId="7EDAF193" w:rsidR="00BC32AF" w:rsidRPr="008E6E0D" w:rsidRDefault="00BC32AF">
      <w:pPr>
        <w:spacing w:after="160" w:line="259" w:lineRule="auto"/>
        <w:rPr>
          <w:sz w:val="20"/>
          <w:szCs w:val="20"/>
        </w:rPr>
      </w:pPr>
    </w:p>
    <w:p w14:paraId="7DDDB61B" w14:textId="77777777" w:rsidR="00151992" w:rsidRPr="008E6E0D" w:rsidRDefault="00151992">
      <w:pPr>
        <w:spacing w:after="160" w:line="259" w:lineRule="auto"/>
        <w:rPr>
          <w:sz w:val="20"/>
          <w:szCs w:val="20"/>
        </w:rPr>
      </w:pPr>
    </w:p>
    <w:p w14:paraId="1E248466" w14:textId="79F811F2" w:rsidR="00AF2CBD" w:rsidRPr="008E6E0D" w:rsidRDefault="00AF2CBD">
      <w:pPr>
        <w:spacing w:after="160" w:line="259" w:lineRule="auto"/>
        <w:rPr>
          <w:sz w:val="20"/>
          <w:szCs w:val="20"/>
        </w:rPr>
      </w:pPr>
    </w:p>
    <w:p w14:paraId="3CD56966" w14:textId="62394AE4" w:rsidR="00AF2CBD" w:rsidRPr="008E6E0D" w:rsidRDefault="00AF2CBD">
      <w:pPr>
        <w:spacing w:after="160" w:line="259" w:lineRule="auto"/>
        <w:rPr>
          <w:sz w:val="20"/>
          <w:szCs w:val="20"/>
        </w:rPr>
      </w:pPr>
    </w:p>
    <w:p w14:paraId="4AFAE8B1" w14:textId="16BD9C4E" w:rsidR="00AF2CBD" w:rsidRPr="008E6E0D" w:rsidRDefault="00AF2CBD">
      <w:pPr>
        <w:spacing w:after="160" w:line="259" w:lineRule="auto"/>
        <w:rPr>
          <w:sz w:val="20"/>
          <w:szCs w:val="20"/>
        </w:rPr>
      </w:pPr>
    </w:p>
    <w:p w14:paraId="03221330" w14:textId="4D46CA6A" w:rsidR="00AF2CBD" w:rsidRPr="008E6E0D" w:rsidRDefault="00AF2CBD">
      <w:pPr>
        <w:spacing w:after="160" w:line="259" w:lineRule="auto"/>
        <w:rPr>
          <w:sz w:val="20"/>
          <w:szCs w:val="20"/>
        </w:rPr>
      </w:pPr>
    </w:p>
    <w:p w14:paraId="2FD02445" w14:textId="5F0C3ACA" w:rsidR="00AF2CBD" w:rsidRPr="008E6E0D" w:rsidRDefault="00AF2CBD">
      <w:pPr>
        <w:spacing w:after="160" w:line="259" w:lineRule="auto"/>
        <w:rPr>
          <w:sz w:val="20"/>
          <w:szCs w:val="20"/>
        </w:rPr>
      </w:pPr>
    </w:p>
    <w:p w14:paraId="73383B69" w14:textId="4F4C17CA" w:rsidR="00AF2CBD" w:rsidRPr="008E6E0D" w:rsidRDefault="00AF2CBD">
      <w:pPr>
        <w:spacing w:after="160" w:line="259" w:lineRule="auto"/>
        <w:rPr>
          <w:sz w:val="20"/>
          <w:szCs w:val="20"/>
        </w:rPr>
      </w:pPr>
    </w:p>
    <w:p w14:paraId="353988E9" w14:textId="7B461507" w:rsidR="00AF2CBD" w:rsidRPr="008E6E0D" w:rsidRDefault="00AF2CBD">
      <w:pPr>
        <w:spacing w:after="160" w:line="259" w:lineRule="auto"/>
        <w:rPr>
          <w:sz w:val="20"/>
          <w:szCs w:val="20"/>
        </w:rPr>
      </w:pPr>
    </w:p>
    <w:p w14:paraId="4AA1AB33" w14:textId="37318E88" w:rsidR="00AF2CBD" w:rsidRPr="008E6E0D" w:rsidRDefault="00AF2CBD">
      <w:pPr>
        <w:spacing w:after="160" w:line="259" w:lineRule="auto"/>
        <w:rPr>
          <w:sz w:val="20"/>
          <w:szCs w:val="20"/>
        </w:rPr>
      </w:pPr>
    </w:p>
    <w:p w14:paraId="0335CA6E" w14:textId="41A39B54" w:rsidR="00AF2CBD" w:rsidRPr="008E6E0D" w:rsidRDefault="00AF2CBD">
      <w:pPr>
        <w:spacing w:after="160" w:line="259" w:lineRule="auto"/>
        <w:rPr>
          <w:sz w:val="20"/>
          <w:szCs w:val="20"/>
        </w:rPr>
      </w:pPr>
    </w:p>
    <w:p w14:paraId="3C8AB64B" w14:textId="30801E62" w:rsidR="00AF2CBD" w:rsidRPr="008E6E0D" w:rsidRDefault="00AF2CBD">
      <w:pPr>
        <w:spacing w:after="160" w:line="259" w:lineRule="auto"/>
        <w:rPr>
          <w:sz w:val="20"/>
          <w:szCs w:val="20"/>
        </w:rPr>
      </w:pPr>
    </w:p>
    <w:p w14:paraId="3E1A65DA" w14:textId="15C22447" w:rsidR="00AF2CBD" w:rsidRPr="008E6E0D" w:rsidRDefault="00AF2CBD">
      <w:pPr>
        <w:spacing w:after="160" w:line="259" w:lineRule="auto"/>
        <w:rPr>
          <w:sz w:val="20"/>
          <w:szCs w:val="20"/>
        </w:rPr>
      </w:pPr>
    </w:p>
    <w:p w14:paraId="53F68797" w14:textId="33BC96DB" w:rsidR="00AF2CBD" w:rsidRPr="008E6E0D" w:rsidRDefault="00AF2CBD">
      <w:pPr>
        <w:spacing w:after="160" w:line="259" w:lineRule="auto"/>
        <w:rPr>
          <w:sz w:val="20"/>
          <w:szCs w:val="20"/>
        </w:rPr>
      </w:pPr>
    </w:p>
    <w:p w14:paraId="64F411B8" w14:textId="0258A899" w:rsidR="00AF2CBD" w:rsidRPr="008E6E0D" w:rsidRDefault="00AF2CBD">
      <w:pPr>
        <w:spacing w:after="160" w:line="259" w:lineRule="auto"/>
        <w:rPr>
          <w:sz w:val="20"/>
          <w:szCs w:val="20"/>
        </w:rPr>
      </w:pPr>
    </w:p>
    <w:p w14:paraId="1E48A683" w14:textId="6428BA85" w:rsidR="00AF2CBD" w:rsidRPr="008E6E0D" w:rsidRDefault="00AF2CBD">
      <w:pPr>
        <w:spacing w:after="160" w:line="259" w:lineRule="auto"/>
        <w:rPr>
          <w:sz w:val="20"/>
          <w:szCs w:val="20"/>
        </w:rPr>
      </w:pPr>
    </w:p>
    <w:p w14:paraId="09886360" w14:textId="5059124C" w:rsidR="00AF2CBD" w:rsidRPr="008E6E0D" w:rsidRDefault="00AF2CBD">
      <w:pPr>
        <w:spacing w:after="160" w:line="259" w:lineRule="auto"/>
        <w:rPr>
          <w:sz w:val="20"/>
          <w:szCs w:val="20"/>
        </w:rPr>
      </w:pPr>
    </w:p>
    <w:p w14:paraId="041FBED6" w14:textId="1CA00011" w:rsidR="00AF2CBD" w:rsidRPr="008E6E0D" w:rsidRDefault="00AF2CBD">
      <w:pPr>
        <w:spacing w:after="160" w:line="259" w:lineRule="auto"/>
        <w:rPr>
          <w:sz w:val="20"/>
          <w:szCs w:val="20"/>
        </w:rPr>
      </w:pPr>
    </w:p>
    <w:p w14:paraId="412F43FF" w14:textId="77777777" w:rsidR="000D0D47" w:rsidRPr="008E6E0D" w:rsidRDefault="000D0D47">
      <w:pPr>
        <w:spacing w:after="160" w:line="259" w:lineRule="auto"/>
        <w:rPr>
          <w:sz w:val="20"/>
          <w:szCs w:val="20"/>
        </w:rPr>
      </w:pPr>
    </w:p>
    <w:p w14:paraId="5D67A0B6" w14:textId="0E6E0BC5" w:rsidR="00AF2CBD" w:rsidRPr="008E6E0D" w:rsidRDefault="00AF2CBD">
      <w:pPr>
        <w:spacing w:after="160" w:line="259" w:lineRule="auto"/>
        <w:rPr>
          <w:sz w:val="20"/>
          <w:szCs w:val="20"/>
        </w:rPr>
      </w:pPr>
    </w:p>
    <w:p w14:paraId="2EC64D66" w14:textId="0CF11E16" w:rsidR="00C92AF7" w:rsidRDefault="00C92AF7">
      <w:pPr>
        <w:spacing w:after="160" w:line="259" w:lineRule="auto"/>
        <w:rPr>
          <w:sz w:val="20"/>
          <w:szCs w:val="20"/>
        </w:rPr>
      </w:pPr>
    </w:p>
    <w:p w14:paraId="191BE3E6" w14:textId="5E02A0FB" w:rsidR="00B03947" w:rsidRDefault="00B03947">
      <w:pPr>
        <w:spacing w:after="160" w:line="259" w:lineRule="auto"/>
        <w:rPr>
          <w:sz w:val="20"/>
          <w:szCs w:val="20"/>
        </w:rPr>
      </w:pPr>
    </w:p>
    <w:p w14:paraId="3E3B0152" w14:textId="2FED0CF1" w:rsidR="00D774AF" w:rsidRDefault="00D774AF">
      <w:pPr>
        <w:spacing w:after="160" w:line="259" w:lineRule="auto"/>
        <w:rPr>
          <w:sz w:val="20"/>
          <w:szCs w:val="20"/>
        </w:rPr>
      </w:pPr>
    </w:p>
    <w:p w14:paraId="341646F4" w14:textId="77777777" w:rsidR="001E2770" w:rsidRPr="008E6E0D" w:rsidRDefault="001E2770">
      <w:pPr>
        <w:spacing w:after="160" w:line="259" w:lineRule="auto"/>
        <w:rPr>
          <w:sz w:val="20"/>
          <w:szCs w:val="20"/>
        </w:rPr>
      </w:pPr>
    </w:p>
    <w:tbl>
      <w:tblPr>
        <w:tblStyle w:val="Tablaconcuadrcula"/>
        <w:tblpPr w:leftFromText="141" w:rightFromText="141" w:vertAnchor="text" w:tblpXSpec="center" w:tblpY="1"/>
        <w:tblOverlap w:val="never"/>
        <w:tblW w:w="9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77"/>
        <w:gridCol w:w="2842"/>
        <w:gridCol w:w="2396"/>
      </w:tblGrid>
      <w:tr w:rsidR="0030745C" w:rsidRPr="008E6E0D" w14:paraId="3B014F42" w14:textId="77777777" w:rsidTr="00E5632A">
        <w:trPr>
          <w:trHeight w:val="25"/>
          <w:jc w:val="center"/>
        </w:trPr>
        <w:tc>
          <w:tcPr>
            <w:tcW w:w="9680" w:type="dxa"/>
            <w:gridSpan w:val="4"/>
            <w:tcBorders>
              <w:top w:val="single" w:sz="4" w:space="0" w:color="auto"/>
            </w:tcBorders>
            <w:vAlign w:val="center"/>
          </w:tcPr>
          <w:p w14:paraId="4CF05532" w14:textId="77777777" w:rsidR="0030745C" w:rsidRPr="008E6E0D" w:rsidRDefault="0030745C" w:rsidP="00110288">
            <w:pPr>
              <w:rPr>
                <w:b/>
                <w:bCs/>
                <w:sz w:val="16"/>
                <w:szCs w:val="16"/>
              </w:rPr>
            </w:pPr>
            <w:r w:rsidRPr="008E6E0D">
              <w:rPr>
                <w:b/>
                <w:bCs/>
                <w:sz w:val="16"/>
                <w:szCs w:val="16"/>
              </w:rPr>
              <w:t>Table S8. Functional assessment of variants associated with 28-day sepsis survival after meta-analysis.</w:t>
            </w:r>
          </w:p>
        </w:tc>
      </w:tr>
      <w:tr w:rsidR="0030745C" w:rsidRPr="008E6E0D" w14:paraId="61AC1624" w14:textId="77777777" w:rsidTr="00E5632A">
        <w:trPr>
          <w:trHeight w:val="25"/>
          <w:jc w:val="center"/>
        </w:trPr>
        <w:tc>
          <w:tcPr>
            <w:tcW w:w="2070" w:type="dxa"/>
            <w:tcBorders>
              <w:top w:val="single" w:sz="4" w:space="0" w:color="auto"/>
            </w:tcBorders>
            <w:vAlign w:val="center"/>
          </w:tcPr>
          <w:p w14:paraId="3C4A66A0" w14:textId="77777777" w:rsidR="0030745C" w:rsidRPr="008E6E0D" w:rsidRDefault="0030745C" w:rsidP="00110288">
            <w:pPr>
              <w:jc w:val="center"/>
              <w:rPr>
                <w:sz w:val="16"/>
                <w:szCs w:val="16"/>
              </w:rPr>
            </w:pPr>
          </w:p>
        </w:tc>
        <w:tc>
          <w:tcPr>
            <w:tcW w:w="2377" w:type="dxa"/>
            <w:tcBorders>
              <w:top w:val="single" w:sz="4" w:space="0" w:color="auto"/>
            </w:tcBorders>
            <w:vAlign w:val="center"/>
          </w:tcPr>
          <w:p w14:paraId="0D4FE530" w14:textId="77777777" w:rsidR="0030745C" w:rsidRPr="008E6E0D" w:rsidRDefault="0030745C" w:rsidP="00110288">
            <w:pPr>
              <w:jc w:val="center"/>
              <w:rPr>
                <w:b/>
                <w:bCs/>
                <w:sz w:val="16"/>
                <w:szCs w:val="16"/>
              </w:rPr>
            </w:pPr>
            <w:r w:rsidRPr="008E6E0D">
              <w:rPr>
                <w:b/>
                <w:bCs/>
                <w:sz w:val="16"/>
                <w:szCs w:val="16"/>
              </w:rPr>
              <w:t xml:space="preserve">rs34896991 </w:t>
            </w:r>
            <w:r w:rsidRPr="008E6E0D">
              <w:rPr>
                <w:bCs/>
                <w:sz w:val="16"/>
                <w:szCs w:val="16"/>
              </w:rPr>
              <w:t>(</w:t>
            </w:r>
            <w:r w:rsidRPr="008E6E0D">
              <w:rPr>
                <w:i/>
                <w:iCs/>
                <w:sz w:val="16"/>
                <w:szCs w:val="16"/>
              </w:rPr>
              <w:t>SAMD9)</w:t>
            </w:r>
          </w:p>
        </w:tc>
        <w:tc>
          <w:tcPr>
            <w:tcW w:w="2842" w:type="dxa"/>
            <w:tcBorders>
              <w:top w:val="single" w:sz="4" w:space="0" w:color="auto"/>
            </w:tcBorders>
            <w:vAlign w:val="center"/>
          </w:tcPr>
          <w:p w14:paraId="4D182CD7" w14:textId="77777777" w:rsidR="0030745C" w:rsidRPr="008E6E0D" w:rsidRDefault="0030745C" w:rsidP="00110288">
            <w:pPr>
              <w:jc w:val="center"/>
              <w:rPr>
                <w:b/>
                <w:bCs/>
                <w:sz w:val="16"/>
                <w:szCs w:val="16"/>
              </w:rPr>
            </w:pPr>
            <w:r w:rsidRPr="008E6E0D">
              <w:rPr>
                <w:b/>
                <w:bCs/>
                <w:sz w:val="16"/>
                <w:szCs w:val="16"/>
              </w:rPr>
              <w:t xml:space="preserve">rs146257041 </w:t>
            </w:r>
            <w:r w:rsidRPr="008E6E0D">
              <w:rPr>
                <w:bCs/>
                <w:i/>
                <w:sz w:val="16"/>
                <w:szCs w:val="16"/>
              </w:rPr>
              <w:t>(SLC5A12\FIBIN)</w:t>
            </w:r>
          </w:p>
        </w:tc>
        <w:tc>
          <w:tcPr>
            <w:tcW w:w="2396" w:type="dxa"/>
            <w:tcBorders>
              <w:top w:val="single" w:sz="4" w:space="0" w:color="auto"/>
            </w:tcBorders>
            <w:vAlign w:val="center"/>
          </w:tcPr>
          <w:p w14:paraId="337D1C1B" w14:textId="77777777" w:rsidR="0030745C" w:rsidRPr="008E6E0D" w:rsidRDefault="0030745C" w:rsidP="00110288">
            <w:pPr>
              <w:jc w:val="center"/>
              <w:rPr>
                <w:b/>
                <w:bCs/>
                <w:sz w:val="16"/>
                <w:szCs w:val="16"/>
              </w:rPr>
            </w:pPr>
            <w:r w:rsidRPr="008E6E0D">
              <w:rPr>
                <w:b/>
                <w:bCs/>
                <w:sz w:val="16"/>
                <w:szCs w:val="16"/>
              </w:rPr>
              <w:t xml:space="preserve">rs138347802 </w:t>
            </w:r>
            <w:r w:rsidRPr="008E6E0D">
              <w:rPr>
                <w:sz w:val="16"/>
                <w:szCs w:val="16"/>
              </w:rPr>
              <w:t>(LINC00378\MIR3169)</w:t>
            </w:r>
          </w:p>
        </w:tc>
      </w:tr>
      <w:tr w:rsidR="0030745C" w:rsidRPr="008E6E0D" w14:paraId="4369E212" w14:textId="77777777" w:rsidTr="00E5632A">
        <w:trPr>
          <w:trHeight w:val="25"/>
          <w:jc w:val="center"/>
        </w:trPr>
        <w:tc>
          <w:tcPr>
            <w:tcW w:w="2070" w:type="dxa"/>
            <w:vAlign w:val="center"/>
          </w:tcPr>
          <w:p w14:paraId="21DA5738" w14:textId="77777777" w:rsidR="0030745C" w:rsidRPr="008E6E0D" w:rsidRDefault="0030745C" w:rsidP="00110288">
            <w:pPr>
              <w:jc w:val="center"/>
              <w:rPr>
                <w:b/>
                <w:bCs/>
                <w:sz w:val="16"/>
                <w:szCs w:val="16"/>
              </w:rPr>
            </w:pPr>
            <w:r w:rsidRPr="008E6E0D">
              <w:rPr>
                <w:b/>
                <w:bCs/>
                <w:sz w:val="16"/>
                <w:szCs w:val="16"/>
              </w:rPr>
              <w:t>Chromosome location</w:t>
            </w:r>
          </w:p>
        </w:tc>
        <w:tc>
          <w:tcPr>
            <w:tcW w:w="2377" w:type="dxa"/>
            <w:vAlign w:val="center"/>
          </w:tcPr>
          <w:p w14:paraId="5050C7A6" w14:textId="77777777" w:rsidR="0030745C" w:rsidRPr="008E6E0D" w:rsidRDefault="0030745C" w:rsidP="00110288">
            <w:pPr>
              <w:jc w:val="center"/>
              <w:rPr>
                <w:sz w:val="16"/>
                <w:szCs w:val="16"/>
              </w:rPr>
            </w:pPr>
            <w:r w:rsidRPr="008E6E0D">
              <w:rPr>
                <w:sz w:val="16"/>
                <w:szCs w:val="16"/>
              </w:rPr>
              <w:t>chr7:92730745 (p.Ala1556Thr)</w:t>
            </w:r>
          </w:p>
        </w:tc>
        <w:tc>
          <w:tcPr>
            <w:tcW w:w="2842" w:type="dxa"/>
            <w:vAlign w:val="center"/>
          </w:tcPr>
          <w:p w14:paraId="46081002" w14:textId="77777777" w:rsidR="0030745C" w:rsidRPr="008E6E0D" w:rsidRDefault="0030745C" w:rsidP="00110288">
            <w:pPr>
              <w:jc w:val="center"/>
              <w:rPr>
                <w:sz w:val="16"/>
                <w:szCs w:val="16"/>
              </w:rPr>
            </w:pPr>
            <w:r w:rsidRPr="008E6E0D">
              <w:rPr>
                <w:sz w:val="16"/>
                <w:szCs w:val="16"/>
              </w:rPr>
              <w:t>chr11:26983813 (intergenic)</w:t>
            </w:r>
          </w:p>
        </w:tc>
        <w:tc>
          <w:tcPr>
            <w:tcW w:w="2396" w:type="dxa"/>
            <w:vAlign w:val="center"/>
          </w:tcPr>
          <w:p w14:paraId="3E5AFB5D" w14:textId="77777777" w:rsidR="0030745C" w:rsidRPr="008E6E0D" w:rsidRDefault="0030745C" w:rsidP="00110288">
            <w:pPr>
              <w:jc w:val="center"/>
              <w:rPr>
                <w:sz w:val="16"/>
                <w:szCs w:val="16"/>
              </w:rPr>
            </w:pPr>
            <w:r w:rsidRPr="008E6E0D">
              <w:rPr>
                <w:sz w:val="16"/>
                <w:szCs w:val="16"/>
              </w:rPr>
              <w:t>chr13:61367197 (intergenic)</w:t>
            </w:r>
          </w:p>
        </w:tc>
      </w:tr>
      <w:tr w:rsidR="0030745C" w:rsidRPr="008E6E0D" w14:paraId="1592D63D" w14:textId="77777777" w:rsidTr="00E5632A">
        <w:trPr>
          <w:trHeight w:val="339"/>
          <w:jc w:val="center"/>
        </w:trPr>
        <w:tc>
          <w:tcPr>
            <w:tcW w:w="2070" w:type="dxa"/>
            <w:vAlign w:val="center"/>
          </w:tcPr>
          <w:p w14:paraId="5012AAB9" w14:textId="3C60C99F" w:rsidR="0030745C" w:rsidRPr="008E6E0D" w:rsidRDefault="0030745C" w:rsidP="00110288">
            <w:pPr>
              <w:jc w:val="center"/>
              <w:rPr>
                <w:b/>
                <w:bCs/>
                <w:sz w:val="16"/>
                <w:szCs w:val="16"/>
              </w:rPr>
            </w:pPr>
            <w:r w:rsidRPr="008E6E0D">
              <w:rPr>
                <w:b/>
                <w:bCs/>
                <w:sz w:val="16"/>
                <w:szCs w:val="16"/>
              </w:rPr>
              <w:t xml:space="preserve">Functional significance score </w:t>
            </w:r>
            <w:r w:rsidRPr="008E6E0D">
              <w:rPr>
                <w:sz w:val="16"/>
                <w:szCs w:val="16"/>
              </w:rPr>
              <w:t>[DeepSEA</w:t>
            </w:r>
            <w:r w:rsidR="00E965BD" w:rsidRPr="008E6E0D">
              <w:rPr>
                <w:sz w:val="16"/>
                <w:szCs w:val="16"/>
              </w:rPr>
              <w:t xml:space="preserve"> </w:t>
            </w:r>
            <w:r w:rsidR="005D4614" w:rsidRPr="008E6E0D">
              <w:rPr>
                <w:i/>
                <w:iCs/>
                <w:sz w:val="16"/>
                <w:szCs w:val="16"/>
              </w:rPr>
              <w:t xml:space="preserve"> p </w:t>
            </w:r>
            <w:r w:rsidR="005D4614" w:rsidRPr="008E6E0D">
              <w:rPr>
                <w:sz w:val="16"/>
                <w:szCs w:val="16"/>
              </w:rPr>
              <w:t>≤ 0.05</w:t>
            </w:r>
            <w:r w:rsidRPr="008E6E0D">
              <w:rPr>
                <w:sz w:val="16"/>
                <w:szCs w:val="16"/>
              </w:rPr>
              <w:t>]</w:t>
            </w:r>
          </w:p>
        </w:tc>
        <w:tc>
          <w:tcPr>
            <w:tcW w:w="2377" w:type="dxa"/>
            <w:vAlign w:val="center"/>
          </w:tcPr>
          <w:p w14:paraId="772C6168" w14:textId="77777777" w:rsidR="0030745C" w:rsidRPr="008E6E0D" w:rsidRDefault="0030745C" w:rsidP="00110288">
            <w:pPr>
              <w:jc w:val="center"/>
              <w:rPr>
                <w:sz w:val="16"/>
                <w:szCs w:val="16"/>
              </w:rPr>
            </w:pPr>
            <w:r w:rsidRPr="008E6E0D">
              <w:rPr>
                <w:sz w:val="16"/>
                <w:szCs w:val="16"/>
              </w:rPr>
              <w:t>5.87x10</w:t>
            </w:r>
            <w:r w:rsidRPr="008E6E0D">
              <w:rPr>
                <w:sz w:val="16"/>
                <w:szCs w:val="16"/>
                <w:vertAlign w:val="superscript"/>
              </w:rPr>
              <w:t>-2</w:t>
            </w:r>
          </w:p>
        </w:tc>
        <w:tc>
          <w:tcPr>
            <w:tcW w:w="2842" w:type="dxa"/>
            <w:vAlign w:val="center"/>
          </w:tcPr>
          <w:p w14:paraId="7CA1C9B0" w14:textId="77777777" w:rsidR="0030745C" w:rsidRPr="008E6E0D" w:rsidRDefault="0030745C" w:rsidP="00110288">
            <w:pPr>
              <w:jc w:val="center"/>
              <w:rPr>
                <w:sz w:val="16"/>
                <w:szCs w:val="16"/>
              </w:rPr>
            </w:pPr>
            <w:r w:rsidRPr="008E6E0D">
              <w:rPr>
                <w:sz w:val="16"/>
                <w:szCs w:val="16"/>
              </w:rPr>
              <w:t>0.235</w:t>
            </w:r>
          </w:p>
        </w:tc>
        <w:tc>
          <w:tcPr>
            <w:tcW w:w="2396" w:type="dxa"/>
            <w:vAlign w:val="center"/>
          </w:tcPr>
          <w:p w14:paraId="65C36F54" w14:textId="77777777" w:rsidR="0030745C" w:rsidRPr="008E6E0D" w:rsidRDefault="0030745C" w:rsidP="00110288">
            <w:pPr>
              <w:jc w:val="center"/>
              <w:rPr>
                <w:sz w:val="16"/>
                <w:szCs w:val="16"/>
              </w:rPr>
            </w:pPr>
            <w:r w:rsidRPr="008E6E0D">
              <w:rPr>
                <w:sz w:val="16"/>
                <w:szCs w:val="16"/>
              </w:rPr>
              <w:t>0.138</w:t>
            </w:r>
          </w:p>
        </w:tc>
      </w:tr>
      <w:tr w:rsidR="0030745C" w:rsidRPr="008E6E0D" w14:paraId="453580C0" w14:textId="77777777" w:rsidTr="00E5632A">
        <w:trPr>
          <w:trHeight w:val="25"/>
          <w:jc w:val="center"/>
        </w:trPr>
        <w:tc>
          <w:tcPr>
            <w:tcW w:w="2070" w:type="dxa"/>
            <w:vAlign w:val="center"/>
          </w:tcPr>
          <w:p w14:paraId="3D31AB24" w14:textId="77777777" w:rsidR="0030745C" w:rsidRPr="008E6E0D" w:rsidRDefault="0030745C" w:rsidP="00110288">
            <w:pPr>
              <w:jc w:val="center"/>
              <w:rPr>
                <w:b/>
                <w:bCs/>
                <w:sz w:val="16"/>
                <w:szCs w:val="16"/>
                <w:highlight w:val="yellow"/>
              </w:rPr>
            </w:pPr>
            <w:r w:rsidRPr="008E6E0D">
              <w:rPr>
                <w:b/>
                <w:bCs/>
                <w:sz w:val="16"/>
                <w:szCs w:val="16"/>
              </w:rPr>
              <w:t>Clinical interpretation of genetic variants</w:t>
            </w:r>
          </w:p>
        </w:tc>
        <w:tc>
          <w:tcPr>
            <w:tcW w:w="2377" w:type="dxa"/>
            <w:vAlign w:val="center"/>
          </w:tcPr>
          <w:p w14:paraId="357F5AC5" w14:textId="77777777" w:rsidR="0030745C" w:rsidRPr="008E6E0D" w:rsidRDefault="0030745C" w:rsidP="00110288">
            <w:pPr>
              <w:jc w:val="center"/>
              <w:rPr>
                <w:sz w:val="16"/>
                <w:szCs w:val="16"/>
              </w:rPr>
            </w:pPr>
            <w:r w:rsidRPr="008E6E0D">
              <w:rPr>
                <w:sz w:val="16"/>
                <w:szCs w:val="16"/>
              </w:rPr>
              <w:t>Likely benign (InterVar); Benign (Varsome and ClinVar)</w:t>
            </w:r>
          </w:p>
        </w:tc>
        <w:tc>
          <w:tcPr>
            <w:tcW w:w="2842" w:type="dxa"/>
            <w:vAlign w:val="center"/>
          </w:tcPr>
          <w:p w14:paraId="71CA1779" w14:textId="77777777" w:rsidR="0030745C" w:rsidRPr="008E6E0D" w:rsidRDefault="0030745C" w:rsidP="00110288">
            <w:pPr>
              <w:jc w:val="center"/>
              <w:rPr>
                <w:sz w:val="16"/>
                <w:szCs w:val="16"/>
              </w:rPr>
            </w:pPr>
            <w:r w:rsidRPr="008E6E0D">
              <w:rPr>
                <w:sz w:val="16"/>
                <w:szCs w:val="16"/>
              </w:rPr>
              <w:t>NA</w:t>
            </w:r>
          </w:p>
        </w:tc>
        <w:tc>
          <w:tcPr>
            <w:tcW w:w="2396" w:type="dxa"/>
            <w:vAlign w:val="center"/>
          </w:tcPr>
          <w:p w14:paraId="70F369FA" w14:textId="77777777" w:rsidR="0030745C" w:rsidRPr="008E6E0D" w:rsidRDefault="0030745C" w:rsidP="00110288">
            <w:pPr>
              <w:jc w:val="center"/>
              <w:rPr>
                <w:sz w:val="16"/>
                <w:szCs w:val="16"/>
              </w:rPr>
            </w:pPr>
            <w:r w:rsidRPr="008E6E0D">
              <w:rPr>
                <w:sz w:val="16"/>
                <w:szCs w:val="16"/>
              </w:rPr>
              <w:t>NA</w:t>
            </w:r>
          </w:p>
        </w:tc>
      </w:tr>
      <w:tr w:rsidR="0030745C" w:rsidRPr="008E6E0D" w14:paraId="75E263DA" w14:textId="77777777" w:rsidTr="00E5632A">
        <w:trPr>
          <w:trHeight w:val="25"/>
          <w:jc w:val="center"/>
        </w:trPr>
        <w:tc>
          <w:tcPr>
            <w:tcW w:w="2070" w:type="dxa"/>
            <w:vAlign w:val="center"/>
          </w:tcPr>
          <w:p w14:paraId="30991301" w14:textId="455096AC" w:rsidR="0030745C" w:rsidRPr="008E6E0D" w:rsidRDefault="00BB7DE9" w:rsidP="00110288">
            <w:pPr>
              <w:jc w:val="center"/>
              <w:rPr>
                <w:b/>
                <w:bCs/>
                <w:sz w:val="16"/>
                <w:szCs w:val="16"/>
                <w:highlight w:val="yellow"/>
              </w:rPr>
            </w:pPr>
            <w:r w:rsidRPr="008E6E0D">
              <w:rPr>
                <w:b/>
                <w:bCs/>
                <w:sz w:val="16"/>
                <w:szCs w:val="16"/>
              </w:rPr>
              <w:t>LoFt</w:t>
            </w:r>
            <w:r w:rsidR="0030745C" w:rsidRPr="008E6E0D">
              <w:rPr>
                <w:b/>
                <w:bCs/>
                <w:sz w:val="16"/>
                <w:szCs w:val="16"/>
              </w:rPr>
              <w:t>ool score</w:t>
            </w:r>
            <w:r w:rsidR="00F82689" w:rsidRPr="008E6E0D">
              <w:rPr>
                <w:b/>
                <w:bCs/>
                <w:sz w:val="16"/>
                <w:szCs w:val="16"/>
              </w:rPr>
              <w:t xml:space="preserve"> &lt; 0.1</w:t>
            </w:r>
          </w:p>
        </w:tc>
        <w:tc>
          <w:tcPr>
            <w:tcW w:w="2377" w:type="dxa"/>
            <w:vAlign w:val="center"/>
          </w:tcPr>
          <w:p w14:paraId="7B7ACB40" w14:textId="77777777" w:rsidR="0030745C" w:rsidRPr="008E6E0D" w:rsidRDefault="0030745C" w:rsidP="00110288">
            <w:pPr>
              <w:jc w:val="center"/>
              <w:rPr>
                <w:sz w:val="16"/>
                <w:szCs w:val="16"/>
              </w:rPr>
            </w:pPr>
            <w:r w:rsidRPr="008E6E0D">
              <w:rPr>
                <w:sz w:val="16"/>
                <w:szCs w:val="16"/>
              </w:rPr>
              <w:t>0.991</w:t>
            </w:r>
          </w:p>
        </w:tc>
        <w:tc>
          <w:tcPr>
            <w:tcW w:w="2842" w:type="dxa"/>
            <w:vAlign w:val="center"/>
          </w:tcPr>
          <w:p w14:paraId="30D457CD" w14:textId="77777777" w:rsidR="0030745C" w:rsidRPr="008E6E0D" w:rsidRDefault="0030745C" w:rsidP="00110288">
            <w:pPr>
              <w:jc w:val="center"/>
              <w:rPr>
                <w:sz w:val="16"/>
                <w:szCs w:val="16"/>
              </w:rPr>
            </w:pPr>
            <w:r w:rsidRPr="008E6E0D">
              <w:rPr>
                <w:sz w:val="16"/>
                <w:szCs w:val="16"/>
                <w:lang w:eastAsia="es-ES"/>
              </w:rPr>
              <w:t>None</w:t>
            </w:r>
          </w:p>
        </w:tc>
        <w:tc>
          <w:tcPr>
            <w:tcW w:w="2396" w:type="dxa"/>
            <w:vAlign w:val="center"/>
          </w:tcPr>
          <w:p w14:paraId="5D392F8F" w14:textId="77777777" w:rsidR="0030745C" w:rsidRPr="008E6E0D" w:rsidRDefault="0030745C" w:rsidP="00110288">
            <w:pPr>
              <w:jc w:val="center"/>
              <w:rPr>
                <w:sz w:val="16"/>
                <w:szCs w:val="16"/>
              </w:rPr>
            </w:pPr>
            <w:r w:rsidRPr="008E6E0D">
              <w:rPr>
                <w:sz w:val="16"/>
                <w:szCs w:val="16"/>
              </w:rPr>
              <w:t>None</w:t>
            </w:r>
          </w:p>
        </w:tc>
      </w:tr>
      <w:tr w:rsidR="0030745C" w:rsidRPr="008E6E0D" w14:paraId="758449E4" w14:textId="77777777" w:rsidTr="00E5632A">
        <w:trPr>
          <w:trHeight w:val="25"/>
          <w:jc w:val="center"/>
        </w:trPr>
        <w:tc>
          <w:tcPr>
            <w:tcW w:w="2070" w:type="dxa"/>
            <w:vAlign w:val="center"/>
          </w:tcPr>
          <w:p w14:paraId="091D9969" w14:textId="77777777" w:rsidR="0030745C" w:rsidRPr="008E6E0D" w:rsidRDefault="0030745C" w:rsidP="00110288">
            <w:pPr>
              <w:jc w:val="center"/>
              <w:rPr>
                <w:b/>
                <w:bCs/>
                <w:sz w:val="16"/>
                <w:szCs w:val="16"/>
              </w:rPr>
            </w:pPr>
            <w:r w:rsidRPr="008E6E0D">
              <w:rPr>
                <w:b/>
                <w:bCs/>
                <w:sz w:val="16"/>
                <w:szCs w:val="16"/>
              </w:rPr>
              <w:t>CADD (scaled)</w:t>
            </w:r>
          </w:p>
        </w:tc>
        <w:tc>
          <w:tcPr>
            <w:tcW w:w="2377" w:type="dxa"/>
            <w:vAlign w:val="center"/>
          </w:tcPr>
          <w:p w14:paraId="4F930452" w14:textId="77777777" w:rsidR="0030745C" w:rsidRPr="008E6E0D" w:rsidRDefault="0030745C" w:rsidP="00110288">
            <w:pPr>
              <w:jc w:val="center"/>
              <w:rPr>
                <w:sz w:val="16"/>
                <w:szCs w:val="16"/>
              </w:rPr>
            </w:pPr>
            <w:r w:rsidRPr="008E6E0D">
              <w:rPr>
                <w:sz w:val="16"/>
                <w:szCs w:val="16"/>
              </w:rPr>
              <w:t>10.8</w:t>
            </w:r>
          </w:p>
        </w:tc>
        <w:tc>
          <w:tcPr>
            <w:tcW w:w="2842" w:type="dxa"/>
            <w:vAlign w:val="center"/>
          </w:tcPr>
          <w:p w14:paraId="561999F3" w14:textId="77777777" w:rsidR="0030745C" w:rsidRPr="008E6E0D" w:rsidRDefault="0030745C" w:rsidP="00110288">
            <w:pPr>
              <w:jc w:val="center"/>
              <w:rPr>
                <w:sz w:val="16"/>
                <w:szCs w:val="16"/>
              </w:rPr>
            </w:pPr>
            <w:r w:rsidRPr="008E6E0D">
              <w:rPr>
                <w:sz w:val="16"/>
                <w:szCs w:val="16"/>
                <w:lang w:eastAsia="es-ES"/>
              </w:rPr>
              <w:t>1.61</w:t>
            </w:r>
          </w:p>
        </w:tc>
        <w:tc>
          <w:tcPr>
            <w:tcW w:w="2396" w:type="dxa"/>
            <w:vAlign w:val="center"/>
          </w:tcPr>
          <w:p w14:paraId="2F33E927" w14:textId="77777777" w:rsidR="0030745C" w:rsidRPr="008E6E0D" w:rsidRDefault="0030745C" w:rsidP="00110288">
            <w:pPr>
              <w:jc w:val="center"/>
              <w:rPr>
                <w:sz w:val="16"/>
                <w:szCs w:val="16"/>
              </w:rPr>
            </w:pPr>
            <w:r w:rsidRPr="008E6E0D">
              <w:rPr>
                <w:sz w:val="16"/>
                <w:szCs w:val="16"/>
              </w:rPr>
              <w:t>6.73</w:t>
            </w:r>
          </w:p>
        </w:tc>
      </w:tr>
      <w:tr w:rsidR="0030745C" w:rsidRPr="008E6E0D" w14:paraId="71CCF752" w14:textId="77777777" w:rsidTr="00E5632A">
        <w:trPr>
          <w:trHeight w:val="25"/>
          <w:jc w:val="center"/>
        </w:trPr>
        <w:tc>
          <w:tcPr>
            <w:tcW w:w="2070" w:type="dxa"/>
            <w:vAlign w:val="center"/>
          </w:tcPr>
          <w:p w14:paraId="6F13B007" w14:textId="77777777" w:rsidR="0030745C" w:rsidRPr="008E6E0D" w:rsidRDefault="0030745C" w:rsidP="00110288">
            <w:pPr>
              <w:jc w:val="center"/>
              <w:rPr>
                <w:b/>
                <w:bCs/>
                <w:sz w:val="16"/>
                <w:szCs w:val="16"/>
              </w:rPr>
            </w:pPr>
            <w:r w:rsidRPr="008E6E0D">
              <w:rPr>
                <w:b/>
                <w:bCs/>
                <w:sz w:val="16"/>
                <w:szCs w:val="16"/>
              </w:rPr>
              <w:t>Variant Effect Predictor (</w:t>
            </w:r>
            <w:r w:rsidRPr="008E6E0D">
              <w:rPr>
                <w:sz w:val="16"/>
                <w:szCs w:val="16"/>
              </w:rPr>
              <w:t>[VEP]</w:t>
            </w:r>
            <w:r w:rsidRPr="008E6E0D">
              <w:rPr>
                <w:b/>
                <w:bCs/>
                <w:sz w:val="16"/>
                <w:szCs w:val="16"/>
              </w:rPr>
              <w:t>)</w:t>
            </w:r>
          </w:p>
        </w:tc>
        <w:tc>
          <w:tcPr>
            <w:tcW w:w="2377" w:type="dxa"/>
            <w:vAlign w:val="center"/>
          </w:tcPr>
          <w:p w14:paraId="6154F4A7" w14:textId="77777777" w:rsidR="0030745C" w:rsidRPr="008E6E0D" w:rsidRDefault="0030745C" w:rsidP="00110288">
            <w:pPr>
              <w:jc w:val="center"/>
              <w:rPr>
                <w:sz w:val="16"/>
                <w:szCs w:val="16"/>
              </w:rPr>
            </w:pPr>
            <w:r w:rsidRPr="008E6E0D">
              <w:rPr>
                <w:sz w:val="16"/>
                <w:szCs w:val="16"/>
              </w:rPr>
              <w:t>1 feature: ENSG00000205413 (missense variant)</w:t>
            </w:r>
          </w:p>
        </w:tc>
        <w:tc>
          <w:tcPr>
            <w:tcW w:w="2842" w:type="dxa"/>
            <w:vAlign w:val="center"/>
          </w:tcPr>
          <w:p w14:paraId="133A8B1B" w14:textId="77777777" w:rsidR="0030745C" w:rsidRPr="008E6E0D" w:rsidRDefault="0030745C" w:rsidP="00110288">
            <w:pPr>
              <w:jc w:val="center"/>
              <w:rPr>
                <w:sz w:val="16"/>
                <w:szCs w:val="16"/>
              </w:rPr>
            </w:pPr>
            <w:r w:rsidRPr="008E6E0D">
              <w:rPr>
                <w:sz w:val="16"/>
                <w:szCs w:val="16"/>
                <w:lang w:eastAsia="es-ES"/>
              </w:rPr>
              <w:t>None</w:t>
            </w:r>
          </w:p>
        </w:tc>
        <w:tc>
          <w:tcPr>
            <w:tcW w:w="2396" w:type="dxa"/>
            <w:vAlign w:val="center"/>
          </w:tcPr>
          <w:p w14:paraId="47F73584" w14:textId="77777777" w:rsidR="0030745C" w:rsidRPr="008E6E0D" w:rsidRDefault="0030745C" w:rsidP="00110288">
            <w:pPr>
              <w:jc w:val="center"/>
              <w:rPr>
                <w:sz w:val="16"/>
                <w:szCs w:val="16"/>
                <w:lang w:eastAsia="es-ES"/>
              </w:rPr>
            </w:pPr>
            <w:r w:rsidRPr="008E6E0D">
              <w:rPr>
                <w:sz w:val="16"/>
                <w:szCs w:val="16"/>
                <w:lang w:eastAsia="es-ES"/>
              </w:rPr>
              <w:t>None</w:t>
            </w:r>
          </w:p>
        </w:tc>
      </w:tr>
      <w:tr w:rsidR="0030745C" w:rsidRPr="008E6E0D" w14:paraId="5D049B4D" w14:textId="77777777" w:rsidTr="00E5632A">
        <w:trPr>
          <w:trHeight w:val="25"/>
          <w:jc w:val="center"/>
        </w:trPr>
        <w:tc>
          <w:tcPr>
            <w:tcW w:w="2070" w:type="dxa"/>
            <w:vAlign w:val="center"/>
          </w:tcPr>
          <w:p w14:paraId="5F38F3FB" w14:textId="77777777" w:rsidR="0030745C" w:rsidRPr="008E6E0D" w:rsidRDefault="0030745C" w:rsidP="00110288">
            <w:pPr>
              <w:jc w:val="center"/>
              <w:rPr>
                <w:b/>
                <w:bCs/>
                <w:sz w:val="16"/>
                <w:szCs w:val="16"/>
              </w:rPr>
            </w:pPr>
            <w:r w:rsidRPr="008E6E0D">
              <w:rPr>
                <w:b/>
                <w:bCs/>
                <w:sz w:val="16"/>
                <w:szCs w:val="16"/>
              </w:rPr>
              <w:t>RegulomedB rank (Score)</w:t>
            </w:r>
          </w:p>
        </w:tc>
        <w:tc>
          <w:tcPr>
            <w:tcW w:w="2377" w:type="dxa"/>
            <w:vAlign w:val="center"/>
          </w:tcPr>
          <w:p w14:paraId="26F4D34E" w14:textId="77777777" w:rsidR="0030745C" w:rsidRPr="008E6E0D" w:rsidRDefault="0030745C" w:rsidP="00110288">
            <w:pPr>
              <w:jc w:val="center"/>
              <w:rPr>
                <w:sz w:val="16"/>
                <w:szCs w:val="16"/>
              </w:rPr>
            </w:pPr>
            <w:r w:rsidRPr="008E6E0D">
              <w:rPr>
                <w:sz w:val="16"/>
                <w:szCs w:val="16"/>
              </w:rPr>
              <w:t>Motif hit (6, 0.437)</w:t>
            </w:r>
          </w:p>
        </w:tc>
        <w:tc>
          <w:tcPr>
            <w:tcW w:w="2842" w:type="dxa"/>
            <w:vAlign w:val="center"/>
          </w:tcPr>
          <w:p w14:paraId="195B1920" w14:textId="77777777" w:rsidR="0030745C" w:rsidRPr="008E6E0D" w:rsidRDefault="0030745C" w:rsidP="00110288">
            <w:pPr>
              <w:jc w:val="center"/>
              <w:rPr>
                <w:sz w:val="16"/>
                <w:szCs w:val="16"/>
              </w:rPr>
            </w:pPr>
            <w:r w:rsidRPr="008E6E0D">
              <w:rPr>
                <w:sz w:val="16"/>
                <w:szCs w:val="16"/>
              </w:rPr>
              <w:t>Other (7, 0.184)</w:t>
            </w:r>
          </w:p>
        </w:tc>
        <w:tc>
          <w:tcPr>
            <w:tcW w:w="2396" w:type="dxa"/>
            <w:vAlign w:val="center"/>
          </w:tcPr>
          <w:p w14:paraId="56DFA688" w14:textId="77777777" w:rsidR="0030745C" w:rsidRPr="008E6E0D" w:rsidRDefault="0030745C" w:rsidP="00110288">
            <w:pPr>
              <w:jc w:val="center"/>
              <w:rPr>
                <w:sz w:val="16"/>
                <w:szCs w:val="16"/>
              </w:rPr>
            </w:pPr>
            <w:r w:rsidRPr="008E6E0D">
              <w:rPr>
                <w:sz w:val="16"/>
                <w:szCs w:val="16"/>
              </w:rPr>
              <w:t>Other (7, 0.184)</w:t>
            </w:r>
          </w:p>
        </w:tc>
      </w:tr>
      <w:tr w:rsidR="0030745C" w:rsidRPr="008E6E0D" w14:paraId="3F7044C8" w14:textId="77777777" w:rsidTr="00E5632A">
        <w:trPr>
          <w:trHeight w:val="187"/>
          <w:jc w:val="center"/>
        </w:trPr>
        <w:tc>
          <w:tcPr>
            <w:tcW w:w="2070" w:type="dxa"/>
            <w:vAlign w:val="center"/>
          </w:tcPr>
          <w:p w14:paraId="14C6C865" w14:textId="77777777" w:rsidR="0030745C" w:rsidRPr="008E6E0D" w:rsidRDefault="0030745C" w:rsidP="00110288">
            <w:pPr>
              <w:jc w:val="center"/>
              <w:rPr>
                <w:b/>
                <w:bCs/>
                <w:sz w:val="16"/>
                <w:szCs w:val="16"/>
              </w:rPr>
            </w:pPr>
            <w:r w:rsidRPr="008E6E0D">
              <w:rPr>
                <w:b/>
                <w:bCs/>
                <w:sz w:val="16"/>
                <w:szCs w:val="16"/>
              </w:rPr>
              <w:t xml:space="preserve">Enhancer histone marks </w:t>
            </w:r>
            <w:r w:rsidRPr="008E6E0D">
              <w:rPr>
                <w:sz w:val="16"/>
                <w:szCs w:val="16"/>
              </w:rPr>
              <w:t>[HaploReg]</w:t>
            </w:r>
          </w:p>
        </w:tc>
        <w:tc>
          <w:tcPr>
            <w:tcW w:w="2377" w:type="dxa"/>
            <w:vAlign w:val="center"/>
          </w:tcPr>
          <w:p w14:paraId="290281FD"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6041A2B2" w14:textId="77777777" w:rsidR="0030745C" w:rsidRPr="008E6E0D" w:rsidRDefault="0030745C" w:rsidP="00110288">
            <w:pPr>
              <w:jc w:val="center"/>
              <w:rPr>
                <w:sz w:val="16"/>
                <w:szCs w:val="16"/>
              </w:rPr>
            </w:pPr>
            <w:r w:rsidRPr="008E6E0D">
              <w:rPr>
                <w:sz w:val="16"/>
                <w:szCs w:val="16"/>
              </w:rPr>
              <w:t>H3K4me1 (Mesench and Epithelial) and H3K27ac (Blood &amp; Primary T helper memory cells from peripheral blood; Epithelial, Foreskin Keratinocyte Primary Cells skin and Muscle Colon Smooth Muscle).</w:t>
            </w:r>
          </w:p>
        </w:tc>
        <w:tc>
          <w:tcPr>
            <w:tcW w:w="2396" w:type="dxa"/>
            <w:vAlign w:val="center"/>
          </w:tcPr>
          <w:p w14:paraId="510B740F" w14:textId="77777777" w:rsidR="0030745C" w:rsidRPr="008E6E0D" w:rsidRDefault="0030745C" w:rsidP="00110288">
            <w:pPr>
              <w:jc w:val="center"/>
              <w:rPr>
                <w:sz w:val="16"/>
                <w:szCs w:val="16"/>
              </w:rPr>
            </w:pPr>
            <w:r w:rsidRPr="008E6E0D">
              <w:rPr>
                <w:sz w:val="16"/>
                <w:szCs w:val="16"/>
              </w:rPr>
              <w:t>None</w:t>
            </w:r>
          </w:p>
        </w:tc>
      </w:tr>
      <w:tr w:rsidR="0030745C" w:rsidRPr="008E6E0D" w14:paraId="3F852D28" w14:textId="77777777" w:rsidTr="00E5632A">
        <w:trPr>
          <w:trHeight w:val="398"/>
          <w:jc w:val="center"/>
        </w:trPr>
        <w:tc>
          <w:tcPr>
            <w:tcW w:w="2070" w:type="dxa"/>
            <w:vAlign w:val="center"/>
          </w:tcPr>
          <w:p w14:paraId="510B849F" w14:textId="77777777" w:rsidR="0030745C" w:rsidRPr="008E6E0D" w:rsidRDefault="0030745C" w:rsidP="00110288">
            <w:pPr>
              <w:jc w:val="center"/>
              <w:rPr>
                <w:b/>
                <w:bCs/>
                <w:sz w:val="16"/>
                <w:szCs w:val="16"/>
              </w:rPr>
            </w:pPr>
            <w:r w:rsidRPr="008E6E0D">
              <w:rPr>
                <w:b/>
                <w:bCs/>
                <w:sz w:val="16"/>
                <w:szCs w:val="16"/>
              </w:rPr>
              <w:t xml:space="preserve">Promoter histone marks </w:t>
            </w:r>
            <w:r w:rsidRPr="008E6E0D">
              <w:rPr>
                <w:sz w:val="16"/>
                <w:szCs w:val="16"/>
              </w:rPr>
              <w:t>[HaploReg]</w:t>
            </w:r>
          </w:p>
        </w:tc>
        <w:tc>
          <w:tcPr>
            <w:tcW w:w="2377" w:type="dxa"/>
            <w:vAlign w:val="center"/>
          </w:tcPr>
          <w:p w14:paraId="41EBAB0B" w14:textId="77777777" w:rsidR="0030745C" w:rsidRPr="008E6E0D" w:rsidRDefault="0030745C" w:rsidP="00110288">
            <w:pPr>
              <w:jc w:val="center"/>
              <w:rPr>
                <w:sz w:val="16"/>
                <w:szCs w:val="16"/>
              </w:rPr>
            </w:pPr>
            <w:r w:rsidRPr="008E6E0D">
              <w:rPr>
                <w:sz w:val="16"/>
                <w:szCs w:val="16"/>
              </w:rPr>
              <w:t>H3K4me3 (Blood and T-cell; Mesench; Brain; Adipose; Heart; Muscle; Digestive; Fetal Lung and Liver)</w:t>
            </w:r>
          </w:p>
        </w:tc>
        <w:tc>
          <w:tcPr>
            <w:tcW w:w="2842" w:type="dxa"/>
            <w:vAlign w:val="center"/>
          </w:tcPr>
          <w:p w14:paraId="090D9253"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68B33F02" w14:textId="77777777" w:rsidR="0030745C" w:rsidRPr="008E6E0D" w:rsidRDefault="0030745C" w:rsidP="00110288">
            <w:pPr>
              <w:jc w:val="center"/>
              <w:rPr>
                <w:sz w:val="16"/>
                <w:szCs w:val="16"/>
              </w:rPr>
            </w:pPr>
            <w:r w:rsidRPr="008E6E0D">
              <w:rPr>
                <w:sz w:val="16"/>
                <w:szCs w:val="16"/>
              </w:rPr>
              <w:t>H3K9ac (Breast Myoepithelial Primary Cells)</w:t>
            </w:r>
          </w:p>
        </w:tc>
      </w:tr>
      <w:tr w:rsidR="0030745C" w:rsidRPr="008E6E0D" w14:paraId="05D887CF" w14:textId="77777777" w:rsidTr="00E5632A">
        <w:trPr>
          <w:trHeight w:val="93"/>
          <w:jc w:val="center"/>
        </w:trPr>
        <w:tc>
          <w:tcPr>
            <w:tcW w:w="2070" w:type="dxa"/>
            <w:vAlign w:val="center"/>
          </w:tcPr>
          <w:p w14:paraId="732233EA" w14:textId="77777777" w:rsidR="0030745C" w:rsidRPr="008E6E0D" w:rsidRDefault="0030745C" w:rsidP="00110288">
            <w:pPr>
              <w:jc w:val="center"/>
              <w:rPr>
                <w:b/>
                <w:bCs/>
                <w:sz w:val="16"/>
                <w:szCs w:val="16"/>
              </w:rPr>
            </w:pPr>
            <w:r w:rsidRPr="008E6E0D">
              <w:rPr>
                <w:b/>
                <w:bCs/>
                <w:sz w:val="16"/>
                <w:szCs w:val="16"/>
              </w:rPr>
              <w:t xml:space="preserve">DNAse </w:t>
            </w:r>
            <w:r w:rsidRPr="008E6E0D">
              <w:rPr>
                <w:sz w:val="16"/>
                <w:szCs w:val="16"/>
              </w:rPr>
              <w:t>[HaploReg]</w:t>
            </w:r>
          </w:p>
        </w:tc>
        <w:tc>
          <w:tcPr>
            <w:tcW w:w="2377" w:type="dxa"/>
            <w:vAlign w:val="center"/>
          </w:tcPr>
          <w:p w14:paraId="022E96CA"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505B83BF"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61DA115A" w14:textId="77777777" w:rsidR="0030745C" w:rsidRPr="008E6E0D" w:rsidRDefault="0030745C" w:rsidP="00110288">
            <w:pPr>
              <w:jc w:val="center"/>
              <w:rPr>
                <w:sz w:val="16"/>
                <w:szCs w:val="16"/>
              </w:rPr>
            </w:pPr>
            <w:r w:rsidRPr="008E6E0D">
              <w:rPr>
                <w:sz w:val="16"/>
                <w:szCs w:val="16"/>
              </w:rPr>
              <w:t>None</w:t>
            </w:r>
          </w:p>
        </w:tc>
      </w:tr>
      <w:tr w:rsidR="0030745C" w:rsidRPr="008E6E0D" w14:paraId="12A2F96E" w14:textId="77777777" w:rsidTr="00E5632A">
        <w:trPr>
          <w:trHeight w:val="283"/>
          <w:jc w:val="center"/>
        </w:trPr>
        <w:tc>
          <w:tcPr>
            <w:tcW w:w="2070" w:type="dxa"/>
            <w:vAlign w:val="center"/>
          </w:tcPr>
          <w:p w14:paraId="5EDEC911" w14:textId="77777777" w:rsidR="0030745C" w:rsidRPr="008E6E0D" w:rsidRDefault="0030745C" w:rsidP="00110288">
            <w:pPr>
              <w:jc w:val="center"/>
              <w:rPr>
                <w:b/>
                <w:bCs/>
                <w:sz w:val="16"/>
                <w:szCs w:val="16"/>
              </w:rPr>
            </w:pPr>
            <w:r w:rsidRPr="008E6E0D">
              <w:rPr>
                <w:b/>
                <w:bCs/>
                <w:sz w:val="16"/>
                <w:szCs w:val="16"/>
              </w:rPr>
              <w:t xml:space="preserve">Altered regulatory motifs </w:t>
            </w:r>
            <w:r w:rsidRPr="008E6E0D">
              <w:rPr>
                <w:sz w:val="16"/>
                <w:szCs w:val="16"/>
              </w:rPr>
              <w:t>[HaploReg]</w:t>
            </w:r>
          </w:p>
        </w:tc>
        <w:tc>
          <w:tcPr>
            <w:tcW w:w="2377" w:type="dxa"/>
            <w:vAlign w:val="center"/>
          </w:tcPr>
          <w:p w14:paraId="23D48C36" w14:textId="77777777" w:rsidR="0030745C" w:rsidRPr="008E6E0D" w:rsidRDefault="0030745C" w:rsidP="00110288">
            <w:pPr>
              <w:jc w:val="center"/>
              <w:rPr>
                <w:sz w:val="16"/>
                <w:szCs w:val="16"/>
              </w:rPr>
            </w:pPr>
            <w:r w:rsidRPr="008E6E0D">
              <w:rPr>
                <w:sz w:val="16"/>
                <w:szCs w:val="16"/>
              </w:rPr>
              <w:t>Egr-1,Pax-4</w:t>
            </w:r>
          </w:p>
        </w:tc>
        <w:tc>
          <w:tcPr>
            <w:tcW w:w="2842" w:type="dxa"/>
            <w:vAlign w:val="center"/>
          </w:tcPr>
          <w:p w14:paraId="2C13B0D6" w14:textId="77777777" w:rsidR="0030745C" w:rsidRPr="008E6E0D" w:rsidRDefault="0030745C" w:rsidP="00110288">
            <w:pPr>
              <w:jc w:val="center"/>
              <w:rPr>
                <w:sz w:val="16"/>
                <w:szCs w:val="16"/>
              </w:rPr>
            </w:pPr>
            <w:r w:rsidRPr="008E6E0D">
              <w:rPr>
                <w:sz w:val="16"/>
                <w:szCs w:val="16"/>
              </w:rPr>
              <w:t>ERalpha-a</w:t>
            </w:r>
          </w:p>
        </w:tc>
        <w:tc>
          <w:tcPr>
            <w:tcW w:w="2396" w:type="dxa"/>
            <w:vAlign w:val="center"/>
          </w:tcPr>
          <w:p w14:paraId="0A73C495" w14:textId="77777777" w:rsidR="0030745C" w:rsidRPr="008E6E0D" w:rsidRDefault="0030745C" w:rsidP="00110288">
            <w:pPr>
              <w:jc w:val="center"/>
              <w:rPr>
                <w:sz w:val="16"/>
                <w:szCs w:val="16"/>
              </w:rPr>
            </w:pPr>
            <w:r w:rsidRPr="008E6E0D">
              <w:rPr>
                <w:sz w:val="16"/>
                <w:szCs w:val="16"/>
              </w:rPr>
              <w:t>5 altered motifs (AP-1_disc6,</w:t>
            </w:r>
          </w:p>
          <w:p w14:paraId="16493C82" w14:textId="77777777" w:rsidR="0030745C" w:rsidRPr="008E6E0D" w:rsidRDefault="0030745C" w:rsidP="00110288">
            <w:pPr>
              <w:jc w:val="center"/>
              <w:rPr>
                <w:sz w:val="16"/>
                <w:szCs w:val="16"/>
              </w:rPr>
            </w:pPr>
            <w:r w:rsidRPr="008E6E0D">
              <w:rPr>
                <w:sz w:val="16"/>
                <w:szCs w:val="16"/>
              </w:rPr>
              <w:t>DMRT2, Hoxa7_1, Nanog_disc4 and Pou2f2)</w:t>
            </w:r>
          </w:p>
        </w:tc>
      </w:tr>
      <w:tr w:rsidR="0030745C" w:rsidRPr="008E6E0D" w14:paraId="19E7CC3D" w14:textId="77777777" w:rsidTr="00E5632A">
        <w:trPr>
          <w:trHeight w:val="197"/>
          <w:jc w:val="center"/>
        </w:trPr>
        <w:tc>
          <w:tcPr>
            <w:tcW w:w="2070" w:type="dxa"/>
            <w:vAlign w:val="center"/>
          </w:tcPr>
          <w:p w14:paraId="1147BF44" w14:textId="77777777" w:rsidR="0030745C" w:rsidRPr="008E6E0D" w:rsidRDefault="0030745C" w:rsidP="00110288">
            <w:pPr>
              <w:jc w:val="center"/>
              <w:rPr>
                <w:b/>
                <w:bCs/>
                <w:sz w:val="16"/>
                <w:szCs w:val="16"/>
              </w:rPr>
            </w:pPr>
            <w:r w:rsidRPr="008E6E0D">
              <w:rPr>
                <w:b/>
                <w:bCs/>
                <w:sz w:val="16"/>
                <w:szCs w:val="16"/>
              </w:rPr>
              <w:t xml:space="preserve">Proteins bound </w:t>
            </w:r>
            <w:r w:rsidRPr="008E6E0D">
              <w:rPr>
                <w:sz w:val="16"/>
                <w:szCs w:val="16"/>
              </w:rPr>
              <w:t>[HaploReg]</w:t>
            </w:r>
          </w:p>
        </w:tc>
        <w:tc>
          <w:tcPr>
            <w:tcW w:w="2377" w:type="dxa"/>
            <w:vAlign w:val="center"/>
          </w:tcPr>
          <w:p w14:paraId="08814010"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61836DAB"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0A131A62" w14:textId="77777777" w:rsidR="0030745C" w:rsidRPr="008E6E0D" w:rsidRDefault="0030745C" w:rsidP="00110288">
            <w:pPr>
              <w:jc w:val="center"/>
              <w:rPr>
                <w:sz w:val="16"/>
                <w:szCs w:val="16"/>
              </w:rPr>
            </w:pPr>
            <w:r w:rsidRPr="008E6E0D">
              <w:rPr>
                <w:sz w:val="16"/>
                <w:szCs w:val="16"/>
              </w:rPr>
              <w:t>None</w:t>
            </w:r>
          </w:p>
        </w:tc>
      </w:tr>
      <w:tr w:rsidR="0030745C" w:rsidRPr="008E6E0D" w14:paraId="10327B75" w14:textId="77777777" w:rsidTr="00E5632A">
        <w:trPr>
          <w:trHeight w:val="93"/>
          <w:jc w:val="center"/>
        </w:trPr>
        <w:tc>
          <w:tcPr>
            <w:tcW w:w="2070" w:type="dxa"/>
            <w:vAlign w:val="center"/>
          </w:tcPr>
          <w:p w14:paraId="6C930132" w14:textId="77777777" w:rsidR="0030745C" w:rsidRPr="008E6E0D" w:rsidRDefault="0030745C" w:rsidP="00110288">
            <w:pPr>
              <w:jc w:val="center"/>
              <w:rPr>
                <w:b/>
                <w:bCs/>
                <w:sz w:val="16"/>
                <w:szCs w:val="16"/>
              </w:rPr>
            </w:pPr>
            <w:r w:rsidRPr="008E6E0D">
              <w:rPr>
                <w:b/>
                <w:bCs/>
                <w:sz w:val="16"/>
                <w:szCs w:val="16"/>
              </w:rPr>
              <w:t>CHICP</w:t>
            </w:r>
          </w:p>
        </w:tc>
        <w:tc>
          <w:tcPr>
            <w:tcW w:w="2377" w:type="dxa"/>
            <w:vAlign w:val="center"/>
          </w:tcPr>
          <w:p w14:paraId="5EA1CE7A"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007B0D25" w14:textId="77777777" w:rsidR="0030745C" w:rsidRPr="008E6E0D" w:rsidRDefault="0030745C" w:rsidP="00110288">
            <w:pPr>
              <w:jc w:val="center"/>
              <w:rPr>
                <w:sz w:val="16"/>
                <w:szCs w:val="16"/>
              </w:rPr>
            </w:pPr>
            <w:r w:rsidRPr="008E6E0D">
              <w:rPr>
                <w:sz w:val="16"/>
                <w:szCs w:val="16"/>
              </w:rPr>
              <w:t>NA</w:t>
            </w:r>
          </w:p>
        </w:tc>
        <w:tc>
          <w:tcPr>
            <w:tcW w:w="2396" w:type="dxa"/>
            <w:vAlign w:val="center"/>
          </w:tcPr>
          <w:p w14:paraId="0BB3EA5C" w14:textId="77777777" w:rsidR="0030745C" w:rsidRPr="008E6E0D" w:rsidRDefault="0030745C" w:rsidP="00110288">
            <w:pPr>
              <w:jc w:val="center"/>
              <w:rPr>
                <w:sz w:val="16"/>
                <w:szCs w:val="16"/>
              </w:rPr>
            </w:pPr>
            <w:r w:rsidRPr="008E6E0D">
              <w:rPr>
                <w:sz w:val="16"/>
                <w:szCs w:val="16"/>
              </w:rPr>
              <w:t>NA</w:t>
            </w:r>
          </w:p>
        </w:tc>
      </w:tr>
      <w:tr w:rsidR="0030745C" w:rsidRPr="008E6E0D" w14:paraId="0DE3678D" w14:textId="77777777" w:rsidTr="00E5632A">
        <w:trPr>
          <w:trHeight w:val="293"/>
          <w:jc w:val="center"/>
        </w:trPr>
        <w:tc>
          <w:tcPr>
            <w:tcW w:w="2070" w:type="dxa"/>
            <w:vAlign w:val="center"/>
          </w:tcPr>
          <w:p w14:paraId="7BB6E0AC" w14:textId="77777777" w:rsidR="0030745C" w:rsidRPr="008E6E0D" w:rsidRDefault="0030745C" w:rsidP="00110288">
            <w:pPr>
              <w:jc w:val="center"/>
              <w:rPr>
                <w:b/>
                <w:bCs/>
                <w:sz w:val="16"/>
                <w:szCs w:val="16"/>
              </w:rPr>
            </w:pPr>
            <w:r w:rsidRPr="008E6E0D">
              <w:rPr>
                <w:b/>
                <w:bCs/>
                <w:sz w:val="16"/>
                <w:szCs w:val="16"/>
              </w:rPr>
              <w:t>Open Targets Genetics</w:t>
            </w:r>
          </w:p>
          <w:p w14:paraId="31D632A4" w14:textId="77777777" w:rsidR="0030745C" w:rsidRPr="008E6E0D" w:rsidRDefault="0030745C" w:rsidP="00110288">
            <w:pPr>
              <w:jc w:val="center"/>
              <w:rPr>
                <w:sz w:val="16"/>
                <w:szCs w:val="16"/>
              </w:rPr>
            </w:pPr>
            <w:r w:rsidRPr="008E6E0D">
              <w:rPr>
                <w:sz w:val="16"/>
                <w:szCs w:val="16"/>
              </w:rPr>
              <w:t>Top ranked genes based on the overall V2G score</w:t>
            </w:r>
          </w:p>
        </w:tc>
        <w:tc>
          <w:tcPr>
            <w:tcW w:w="2377" w:type="dxa"/>
            <w:vAlign w:val="center"/>
          </w:tcPr>
          <w:p w14:paraId="01617B19" w14:textId="77777777" w:rsidR="0030745C" w:rsidRPr="008E6E0D" w:rsidRDefault="0030745C" w:rsidP="00110288">
            <w:pPr>
              <w:jc w:val="center"/>
              <w:rPr>
                <w:sz w:val="16"/>
                <w:szCs w:val="16"/>
              </w:rPr>
            </w:pPr>
            <w:r w:rsidRPr="008E6E0D">
              <w:rPr>
                <w:sz w:val="16"/>
                <w:szCs w:val="16"/>
              </w:rPr>
              <w:t>0.27 (</w:t>
            </w:r>
            <w:r w:rsidRPr="008E6E0D">
              <w:rPr>
                <w:i/>
                <w:sz w:val="16"/>
                <w:szCs w:val="16"/>
              </w:rPr>
              <w:t>SAMD9</w:t>
            </w:r>
            <w:r w:rsidRPr="008E6E0D">
              <w:rPr>
                <w:sz w:val="16"/>
                <w:szCs w:val="16"/>
              </w:rPr>
              <w:t>)</w:t>
            </w:r>
          </w:p>
        </w:tc>
        <w:tc>
          <w:tcPr>
            <w:tcW w:w="2842" w:type="dxa"/>
            <w:vAlign w:val="center"/>
          </w:tcPr>
          <w:p w14:paraId="13BC266E" w14:textId="77777777" w:rsidR="0030745C" w:rsidRPr="008E6E0D" w:rsidRDefault="0030745C" w:rsidP="00110288">
            <w:pPr>
              <w:jc w:val="center"/>
              <w:rPr>
                <w:sz w:val="16"/>
                <w:szCs w:val="16"/>
              </w:rPr>
            </w:pPr>
            <w:r w:rsidRPr="008E6E0D">
              <w:rPr>
                <w:sz w:val="16"/>
                <w:szCs w:val="16"/>
              </w:rPr>
              <w:t>0.14 (</w:t>
            </w:r>
            <w:r w:rsidRPr="008E6E0D">
              <w:rPr>
                <w:i/>
                <w:sz w:val="16"/>
                <w:szCs w:val="16"/>
              </w:rPr>
              <w:t>SLC5A12</w:t>
            </w:r>
            <w:r w:rsidRPr="008E6E0D">
              <w:rPr>
                <w:sz w:val="16"/>
                <w:szCs w:val="16"/>
              </w:rPr>
              <w:t>)</w:t>
            </w:r>
          </w:p>
        </w:tc>
        <w:tc>
          <w:tcPr>
            <w:tcW w:w="2396" w:type="dxa"/>
            <w:vAlign w:val="center"/>
          </w:tcPr>
          <w:p w14:paraId="341B1438" w14:textId="77777777" w:rsidR="0030745C" w:rsidRPr="008E6E0D" w:rsidRDefault="0030745C" w:rsidP="00110288">
            <w:pPr>
              <w:jc w:val="center"/>
              <w:rPr>
                <w:iCs/>
                <w:sz w:val="16"/>
                <w:szCs w:val="16"/>
              </w:rPr>
            </w:pPr>
            <w:r w:rsidRPr="008E6E0D">
              <w:rPr>
                <w:iCs/>
                <w:sz w:val="16"/>
                <w:szCs w:val="16"/>
              </w:rPr>
              <w:t>0.07</w:t>
            </w:r>
            <w:r w:rsidRPr="008E6E0D">
              <w:rPr>
                <w:sz w:val="16"/>
                <w:szCs w:val="16"/>
              </w:rPr>
              <w:t xml:space="preserve"> (LINC01442)</w:t>
            </w:r>
          </w:p>
        </w:tc>
      </w:tr>
      <w:tr w:rsidR="0030745C" w:rsidRPr="008E6E0D" w14:paraId="4A44EFD3" w14:textId="77777777" w:rsidTr="00E5632A">
        <w:trPr>
          <w:trHeight w:val="187"/>
          <w:jc w:val="center"/>
        </w:trPr>
        <w:tc>
          <w:tcPr>
            <w:tcW w:w="2070" w:type="dxa"/>
            <w:vAlign w:val="center"/>
          </w:tcPr>
          <w:p w14:paraId="680834B8" w14:textId="77777777" w:rsidR="0030745C" w:rsidRPr="008E6E0D" w:rsidRDefault="0030745C" w:rsidP="00110288">
            <w:pPr>
              <w:jc w:val="center"/>
              <w:rPr>
                <w:b/>
                <w:bCs/>
                <w:sz w:val="16"/>
                <w:szCs w:val="16"/>
              </w:rPr>
            </w:pPr>
            <w:r w:rsidRPr="008E6E0D">
              <w:rPr>
                <w:b/>
                <w:bCs/>
                <w:sz w:val="16"/>
                <w:szCs w:val="16"/>
              </w:rPr>
              <w:t xml:space="preserve">dsQTL </w:t>
            </w:r>
            <w:r w:rsidRPr="008E6E0D">
              <w:rPr>
                <w:sz w:val="16"/>
                <w:szCs w:val="16"/>
              </w:rPr>
              <w:t>[GTEX]</w:t>
            </w:r>
          </w:p>
          <w:p w14:paraId="1DDB6AA6" w14:textId="3A04026E" w:rsidR="0030745C" w:rsidRPr="008E6E0D" w:rsidRDefault="0030745C" w:rsidP="00110288">
            <w:pPr>
              <w:jc w:val="center"/>
              <w:rPr>
                <w:sz w:val="16"/>
                <w:szCs w:val="16"/>
              </w:rPr>
            </w:pPr>
            <w:r w:rsidRPr="008E6E0D">
              <w:rPr>
                <w:sz w:val="16"/>
                <w:szCs w:val="16"/>
              </w:rPr>
              <w:t>Tissue-specific</w:t>
            </w:r>
            <w:r w:rsidRPr="008E6E0D">
              <w:rPr>
                <w:i/>
                <w:iCs/>
                <w:sz w:val="16"/>
                <w:szCs w:val="16"/>
              </w:rPr>
              <w:t xml:space="preserve"> p</w:t>
            </w:r>
            <w:r w:rsidR="00F82689" w:rsidRPr="008E6E0D">
              <w:rPr>
                <w:sz w:val="16"/>
                <w:szCs w:val="16"/>
              </w:rPr>
              <w:t xml:space="preserve"> ≤ </w:t>
            </w:r>
            <w:r w:rsidRPr="008E6E0D">
              <w:rPr>
                <w:sz w:val="16"/>
                <w:szCs w:val="16"/>
              </w:rPr>
              <w:t>0.05</w:t>
            </w:r>
          </w:p>
        </w:tc>
        <w:tc>
          <w:tcPr>
            <w:tcW w:w="2377" w:type="dxa"/>
            <w:vAlign w:val="center"/>
          </w:tcPr>
          <w:p w14:paraId="05971E67"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1175FC75"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7662E054" w14:textId="77777777" w:rsidR="0030745C" w:rsidRPr="008E6E0D" w:rsidRDefault="0030745C" w:rsidP="00110288">
            <w:pPr>
              <w:jc w:val="center"/>
              <w:rPr>
                <w:sz w:val="16"/>
                <w:szCs w:val="16"/>
              </w:rPr>
            </w:pPr>
            <w:r w:rsidRPr="008E6E0D">
              <w:rPr>
                <w:sz w:val="16"/>
                <w:szCs w:val="16"/>
              </w:rPr>
              <w:t>None</w:t>
            </w:r>
          </w:p>
        </w:tc>
      </w:tr>
      <w:tr w:rsidR="0030745C" w:rsidRPr="008E6E0D" w14:paraId="4F8DD4E9" w14:textId="77777777" w:rsidTr="00E5632A">
        <w:trPr>
          <w:trHeight w:val="197"/>
          <w:jc w:val="center"/>
        </w:trPr>
        <w:tc>
          <w:tcPr>
            <w:tcW w:w="2070" w:type="dxa"/>
            <w:vAlign w:val="center"/>
          </w:tcPr>
          <w:p w14:paraId="51B14E7D" w14:textId="77777777" w:rsidR="0030745C" w:rsidRPr="008E6E0D" w:rsidRDefault="0030745C" w:rsidP="00110288">
            <w:pPr>
              <w:jc w:val="center"/>
              <w:rPr>
                <w:b/>
                <w:bCs/>
                <w:sz w:val="16"/>
                <w:szCs w:val="16"/>
              </w:rPr>
            </w:pPr>
            <w:r w:rsidRPr="008E6E0D">
              <w:rPr>
                <w:b/>
                <w:bCs/>
                <w:sz w:val="16"/>
                <w:szCs w:val="16"/>
              </w:rPr>
              <w:t xml:space="preserve">eQTL </w:t>
            </w:r>
            <w:r w:rsidRPr="008E6E0D">
              <w:rPr>
                <w:sz w:val="16"/>
                <w:szCs w:val="16"/>
              </w:rPr>
              <w:t>[GTEX]</w:t>
            </w:r>
          </w:p>
          <w:p w14:paraId="1A1CED46" w14:textId="5BDFF698" w:rsidR="0030745C" w:rsidRPr="008E6E0D" w:rsidRDefault="0030745C" w:rsidP="00110288">
            <w:pPr>
              <w:jc w:val="center"/>
              <w:rPr>
                <w:b/>
                <w:bCs/>
                <w:sz w:val="16"/>
                <w:szCs w:val="16"/>
              </w:rPr>
            </w:pPr>
            <w:r w:rsidRPr="008E6E0D">
              <w:rPr>
                <w:sz w:val="16"/>
                <w:szCs w:val="16"/>
              </w:rPr>
              <w:t>Tissue-specific</w:t>
            </w:r>
            <w:r w:rsidRPr="008E6E0D">
              <w:rPr>
                <w:i/>
                <w:iCs/>
                <w:sz w:val="16"/>
                <w:szCs w:val="16"/>
              </w:rPr>
              <w:t xml:space="preserve"> p </w:t>
            </w:r>
            <w:r w:rsidR="00F82689" w:rsidRPr="008E6E0D">
              <w:rPr>
                <w:sz w:val="16"/>
                <w:szCs w:val="16"/>
              </w:rPr>
              <w:t xml:space="preserve">≤ </w:t>
            </w:r>
            <w:r w:rsidRPr="008E6E0D">
              <w:rPr>
                <w:sz w:val="16"/>
                <w:szCs w:val="16"/>
              </w:rPr>
              <w:t>0.05</w:t>
            </w:r>
          </w:p>
        </w:tc>
        <w:tc>
          <w:tcPr>
            <w:tcW w:w="2377" w:type="dxa"/>
            <w:vAlign w:val="center"/>
          </w:tcPr>
          <w:p w14:paraId="62C7646E" w14:textId="2540F69D" w:rsidR="0030745C" w:rsidRPr="008E6E0D" w:rsidRDefault="00657A03" w:rsidP="00110288">
            <w:pPr>
              <w:jc w:val="center"/>
              <w:rPr>
                <w:sz w:val="16"/>
                <w:szCs w:val="16"/>
              </w:rPr>
            </w:pPr>
            <w:r w:rsidRPr="008E6E0D">
              <w:rPr>
                <w:sz w:val="16"/>
                <w:szCs w:val="16"/>
              </w:rPr>
              <w:t>Not significant</w:t>
            </w:r>
          </w:p>
        </w:tc>
        <w:tc>
          <w:tcPr>
            <w:tcW w:w="2842" w:type="dxa"/>
            <w:vAlign w:val="center"/>
          </w:tcPr>
          <w:p w14:paraId="1664AD2D" w14:textId="51388CCC" w:rsidR="0030745C" w:rsidRPr="008E6E0D" w:rsidRDefault="00A4445F" w:rsidP="00110288">
            <w:pPr>
              <w:jc w:val="center"/>
              <w:rPr>
                <w:sz w:val="16"/>
                <w:szCs w:val="16"/>
              </w:rPr>
            </w:pPr>
            <w:r w:rsidRPr="008E6E0D">
              <w:rPr>
                <w:sz w:val="16"/>
                <w:szCs w:val="16"/>
              </w:rPr>
              <w:t>4 significant eQTLs were found for this variant in brain and testis</w:t>
            </w:r>
          </w:p>
        </w:tc>
        <w:tc>
          <w:tcPr>
            <w:tcW w:w="2396" w:type="dxa"/>
            <w:vAlign w:val="center"/>
          </w:tcPr>
          <w:p w14:paraId="2F544954" w14:textId="5E1BB8C0" w:rsidR="0030745C" w:rsidRPr="008E6E0D" w:rsidRDefault="00231E60" w:rsidP="00110288">
            <w:pPr>
              <w:jc w:val="center"/>
              <w:rPr>
                <w:sz w:val="16"/>
                <w:szCs w:val="16"/>
              </w:rPr>
            </w:pPr>
            <w:r w:rsidRPr="008E6E0D">
              <w:rPr>
                <w:sz w:val="16"/>
                <w:szCs w:val="16"/>
              </w:rPr>
              <w:t>Not significant</w:t>
            </w:r>
          </w:p>
        </w:tc>
      </w:tr>
      <w:tr w:rsidR="0030745C" w:rsidRPr="008E6E0D" w14:paraId="2DDCA3A2" w14:textId="77777777" w:rsidTr="00E5632A">
        <w:trPr>
          <w:trHeight w:val="93"/>
          <w:jc w:val="center"/>
        </w:trPr>
        <w:tc>
          <w:tcPr>
            <w:tcW w:w="2070" w:type="dxa"/>
            <w:vAlign w:val="center"/>
          </w:tcPr>
          <w:p w14:paraId="0F2DCDBB" w14:textId="77777777" w:rsidR="0030745C" w:rsidRPr="008E6E0D" w:rsidRDefault="0030745C" w:rsidP="00110288">
            <w:pPr>
              <w:jc w:val="center"/>
              <w:rPr>
                <w:b/>
                <w:bCs/>
                <w:sz w:val="16"/>
                <w:szCs w:val="16"/>
              </w:rPr>
            </w:pPr>
            <w:r w:rsidRPr="008E6E0D">
              <w:rPr>
                <w:b/>
                <w:bCs/>
                <w:sz w:val="16"/>
                <w:szCs w:val="16"/>
              </w:rPr>
              <w:t>Score CAPE dsQTL &gt;0.5</w:t>
            </w:r>
          </w:p>
        </w:tc>
        <w:tc>
          <w:tcPr>
            <w:tcW w:w="2377" w:type="dxa"/>
            <w:vAlign w:val="center"/>
          </w:tcPr>
          <w:p w14:paraId="6B3A45AA"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358F7695"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5BC4F44A" w14:textId="77777777" w:rsidR="0030745C" w:rsidRPr="008E6E0D" w:rsidRDefault="0030745C" w:rsidP="00110288">
            <w:pPr>
              <w:jc w:val="center"/>
              <w:rPr>
                <w:sz w:val="16"/>
                <w:szCs w:val="16"/>
              </w:rPr>
            </w:pPr>
            <w:r w:rsidRPr="008E6E0D">
              <w:rPr>
                <w:sz w:val="16"/>
                <w:szCs w:val="16"/>
              </w:rPr>
              <w:t>None</w:t>
            </w:r>
          </w:p>
        </w:tc>
      </w:tr>
      <w:tr w:rsidR="0030745C" w:rsidRPr="008E6E0D" w14:paraId="26086287" w14:textId="77777777" w:rsidTr="00E5632A">
        <w:trPr>
          <w:trHeight w:val="82"/>
          <w:jc w:val="center"/>
        </w:trPr>
        <w:tc>
          <w:tcPr>
            <w:tcW w:w="2070" w:type="dxa"/>
            <w:vAlign w:val="center"/>
          </w:tcPr>
          <w:p w14:paraId="047E5526" w14:textId="77777777" w:rsidR="0030745C" w:rsidRPr="008E6E0D" w:rsidRDefault="0030745C" w:rsidP="00110288">
            <w:pPr>
              <w:jc w:val="center"/>
              <w:rPr>
                <w:b/>
                <w:bCs/>
                <w:sz w:val="16"/>
                <w:szCs w:val="16"/>
              </w:rPr>
            </w:pPr>
            <w:r w:rsidRPr="008E6E0D">
              <w:rPr>
                <w:b/>
                <w:bCs/>
                <w:sz w:val="16"/>
                <w:szCs w:val="16"/>
              </w:rPr>
              <w:t>Score CAPE eQTL &gt;0.5</w:t>
            </w:r>
          </w:p>
        </w:tc>
        <w:tc>
          <w:tcPr>
            <w:tcW w:w="2377" w:type="dxa"/>
            <w:vAlign w:val="center"/>
          </w:tcPr>
          <w:p w14:paraId="7D95375E" w14:textId="77777777" w:rsidR="0030745C" w:rsidRPr="008E6E0D" w:rsidRDefault="0030745C" w:rsidP="00110288">
            <w:pPr>
              <w:jc w:val="center"/>
              <w:rPr>
                <w:sz w:val="16"/>
                <w:szCs w:val="16"/>
              </w:rPr>
            </w:pPr>
            <w:r w:rsidRPr="008E6E0D">
              <w:rPr>
                <w:sz w:val="16"/>
                <w:szCs w:val="16"/>
              </w:rPr>
              <w:t>None</w:t>
            </w:r>
          </w:p>
        </w:tc>
        <w:tc>
          <w:tcPr>
            <w:tcW w:w="2842" w:type="dxa"/>
            <w:vAlign w:val="center"/>
          </w:tcPr>
          <w:p w14:paraId="607A0390" w14:textId="77777777" w:rsidR="0030745C" w:rsidRPr="008E6E0D" w:rsidRDefault="0030745C" w:rsidP="00110288">
            <w:pPr>
              <w:jc w:val="center"/>
              <w:rPr>
                <w:sz w:val="16"/>
                <w:szCs w:val="16"/>
              </w:rPr>
            </w:pPr>
            <w:r w:rsidRPr="008E6E0D">
              <w:rPr>
                <w:sz w:val="16"/>
                <w:szCs w:val="16"/>
              </w:rPr>
              <w:t>None</w:t>
            </w:r>
          </w:p>
        </w:tc>
        <w:tc>
          <w:tcPr>
            <w:tcW w:w="2396" w:type="dxa"/>
            <w:vAlign w:val="center"/>
          </w:tcPr>
          <w:p w14:paraId="43E7933D" w14:textId="77777777" w:rsidR="0030745C" w:rsidRPr="008E6E0D" w:rsidRDefault="0030745C" w:rsidP="00110288">
            <w:pPr>
              <w:jc w:val="center"/>
              <w:rPr>
                <w:sz w:val="16"/>
                <w:szCs w:val="16"/>
              </w:rPr>
            </w:pPr>
            <w:r w:rsidRPr="008E6E0D">
              <w:rPr>
                <w:sz w:val="16"/>
                <w:szCs w:val="16"/>
              </w:rPr>
              <w:t>None</w:t>
            </w:r>
          </w:p>
        </w:tc>
      </w:tr>
      <w:tr w:rsidR="0030745C" w:rsidRPr="008E6E0D" w14:paraId="0E1ED63F" w14:textId="77777777" w:rsidTr="00E5632A">
        <w:trPr>
          <w:trHeight w:val="599"/>
          <w:jc w:val="center"/>
        </w:trPr>
        <w:tc>
          <w:tcPr>
            <w:tcW w:w="2070" w:type="dxa"/>
            <w:tcBorders>
              <w:bottom w:val="single" w:sz="4" w:space="0" w:color="auto"/>
            </w:tcBorders>
            <w:vAlign w:val="center"/>
          </w:tcPr>
          <w:p w14:paraId="0441601F" w14:textId="77777777" w:rsidR="005D4614" w:rsidRPr="008E6E0D" w:rsidRDefault="0030745C" w:rsidP="005D4614">
            <w:pPr>
              <w:jc w:val="center"/>
              <w:rPr>
                <w:b/>
                <w:bCs/>
                <w:sz w:val="16"/>
                <w:szCs w:val="16"/>
              </w:rPr>
            </w:pPr>
            <w:r w:rsidRPr="008E6E0D">
              <w:rPr>
                <w:b/>
                <w:bCs/>
                <w:sz w:val="16"/>
                <w:szCs w:val="16"/>
              </w:rPr>
              <w:t>PhenoScanner</w:t>
            </w:r>
            <w:r w:rsidR="005D4614" w:rsidRPr="008E6E0D">
              <w:rPr>
                <w:b/>
                <w:bCs/>
                <w:sz w:val="16"/>
                <w:szCs w:val="16"/>
              </w:rPr>
              <w:t xml:space="preserve"> </w:t>
            </w:r>
          </w:p>
          <w:p w14:paraId="2AB8A6F1" w14:textId="49B91178" w:rsidR="0030745C" w:rsidRPr="008E6E0D" w:rsidRDefault="005D4614" w:rsidP="005D4614">
            <w:pPr>
              <w:jc w:val="center"/>
              <w:rPr>
                <w:b/>
                <w:bCs/>
                <w:sz w:val="16"/>
                <w:szCs w:val="16"/>
              </w:rPr>
            </w:pPr>
            <w:r w:rsidRPr="008E6E0D">
              <w:rPr>
                <w:i/>
                <w:iCs/>
                <w:sz w:val="16"/>
                <w:szCs w:val="16"/>
              </w:rPr>
              <w:t xml:space="preserve">p </w:t>
            </w:r>
            <w:r w:rsidRPr="008E6E0D">
              <w:rPr>
                <w:sz w:val="16"/>
                <w:szCs w:val="16"/>
              </w:rPr>
              <w:t>≤</w:t>
            </w:r>
            <w:r w:rsidR="00F82689" w:rsidRPr="008E6E0D">
              <w:rPr>
                <w:bCs/>
                <w:sz w:val="16"/>
                <w:szCs w:val="16"/>
              </w:rPr>
              <w:t xml:space="preserve"> </w:t>
            </w:r>
            <w:r w:rsidRPr="008E6E0D">
              <w:rPr>
                <w:bCs/>
                <w:sz w:val="16"/>
                <w:szCs w:val="16"/>
              </w:rPr>
              <w:t>0.05</w:t>
            </w:r>
          </w:p>
        </w:tc>
        <w:tc>
          <w:tcPr>
            <w:tcW w:w="2377" w:type="dxa"/>
            <w:tcBorders>
              <w:bottom w:val="single" w:sz="4" w:space="0" w:color="auto"/>
            </w:tcBorders>
            <w:shd w:val="clear" w:color="auto" w:fill="auto"/>
            <w:vAlign w:val="center"/>
          </w:tcPr>
          <w:p w14:paraId="08E9337C" w14:textId="77777777" w:rsidR="0030745C" w:rsidRPr="008E6E0D" w:rsidRDefault="0030745C" w:rsidP="00110288">
            <w:pPr>
              <w:jc w:val="center"/>
              <w:rPr>
                <w:sz w:val="16"/>
                <w:szCs w:val="16"/>
              </w:rPr>
            </w:pPr>
            <w:r w:rsidRPr="008E6E0D">
              <w:rPr>
                <w:sz w:val="16"/>
                <w:szCs w:val="16"/>
              </w:rPr>
              <w:t>Allele T has been related with the cause of death of other specified degenerative diseases of the nervous system (</w:t>
            </w:r>
            <w:r w:rsidRPr="008E6E0D">
              <w:rPr>
                <w:i/>
                <w:sz w:val="16"/>
                <w:szCs w:val="16"/>
              </w:rPr>
              <w:t>p</w:t>
            </w:r>
            <w:r w:rsidRPr="008E6E0D">
              <w:rPr>
                <w:sz w:val="16"/>
                <w:szCs w:val="16"/>
              </w:rPr>
              <w:t>=8.62x10</w:t>
            </w:r>
            <w:r w:rsidRPr="008E6E0D">
              <w:rPr>
                <w:sz w:val="16"/>
                <w:szCs w:val="16"/>
                <w:vertAlign w:val="superscript"/>
              </w:rPr>
              <w:t>-11</w:t>
            </w:r>
            <w:r w:rsidRPr="008E6E0D">
              <w:rPr>
                <w:sz w:val="16"/>
                <w:szCs w:val="16"/>
              </w:rPr>
              <w:t>).</w:t>
            </w:r>
          </w:p>
        </w:tc>
        <w:tc>
          <w:tcPr>
            <w:tcW w:w="2842" w:type="dxa"/>
            <w:tcBorders>
              <w:bottom w:val="single" w:sz="4" w:space="0" w:color="auto"/>
            </w:tcBorders>
            <w:shd w:val="clear" w:color="auto" w:fill="auto"/>
            <w:vAlign w:val="center"/>
          </w:tcPr>
          <w:p w14:paraId="7568DDE8" w14:textId="77777777" w:rsidR="0030745C" w:rsidRPr="008E6E0D" w:rsidRDefault="0030745C" w:rsidP="00110288">
            <w:pPr>
              <w:jc w:val="center"/>
              <w:rPr>
                <w:sz w:val="16"/>
                <w:szCs w:val="16"/>
              </w:rPr>
            </w:pPr>
            <w:r w:rsidRPr="008E6E0D">
              <w:rPr>
                <w:sz w:val="16"/>
                <w:szCs w:val="16"/>
              </w:rPr>
              <w:t>NA</w:t>
            </w:r>
          </w:p>
        </w:tc>
        <w:tc>
          <w:tcPr>
            <w:tcW w:w="2396" w:type="dxa"/>
            <w:tcBorders>
              <w:bottom w:val="single" w:sz="4" w:space="0" w:color="auto"/>
            </w:tcBorders>
            <w:vAlign w:val="center"/>
          </w:tcPr>
          <w:p w14:paraId="53160085" w14:textId="77777777" w:rsidR="0030745C" w:rsidRPr="008E6E0D" w:rsidRDefault="0030745C" w:rsidP="00110288">
            <w:pPr>
              <w:jc w:val="center"/>
              <w:rPr>
                <w:sz w:val="16"/>
                <w:szCs w:val="16"/>
              </w:rPr>
            </w:pPr>
            <w:r w:rsidRPr="008E6E0D">
              <w:rPr>
                <w:sz w:val="16"/>
                <w:szCs w:val="16"/>
              </w:rPr>
              <w:t>NA</w:t>
            </w:r>
          </w:p>
        </w:tc>
      </w:tr>
      <w:tr w:rsidR="0030745C" w:rsidRPr="008E6E0D" w14:paraId="3F52FFBA" w14:textId="77777777" w:rsidTr="00E5632A">
        <w:trPr>
          <w:trHeight w:val="208"/>
          <w:jc w:val="center"/>
        </w:trPr>
        <w:tc>
          <w:tcPr>
            <w:tcW w:w="9680" w:type="dxa"/>
            <w:gridSpan w:val="4"/>
            <w:tcBorders>
              <w:bottom w:val="single" w:sz="4" w:space="0" w:color="auto"/>
            </w:tcBorders>
            <w:vAlign w:val="center"/>
          </w:tcPr>
          <w:p w14:paraId="500DDFE4" w14:textId="6A79D07F" w:rsidR="0030745C" w:rsidRPr="008E6E0D" w:rsidRDefault="00322717" w:rsidP="00110288">
            <w:pPr>
              <w:rPr>
                <w:sz w:val="16"/>
                <w:szCs w:val="16"/>
              </w:rPr>
            </w:pPr>
            <w:r w:rsidRPr="008E6E0D">
              <w:rPr>
                <w:sz w:val="16"/>
                <w:szCs w:val="16"/>
                <w:lang w:eastAsia="es-ES"/>
              </w:rPr>
              <w:t xml:space="preserve">CADD, Combined annotation dependent depletion; </w:t>
            </w:r>
            <w:r w:rsidR="0030745C" w:rsidRPr="008E6E0D">
              <w:rPr>
                <w:sz w:val="16"/>
                <w:szCs w:val="16"/>
                <w:lang w:eastAsia="es-ES"/>
              </w:rPr>
              <w:t xml:space="preserve">CAPE, Cellular dependent deactivating; CHiCP, capture HiC plotter; </w:t>
            </w:r>
            <w:r w:rsidR="0030745C" w:rsidRPr="008E6E0D">
              <w:rPr>
                <w:sz w:val="16"/>
                <w:szCs w:val="16"/>
              </w:rPr>
              <w:t>dsQTL,</w:t>
            </w:r>
            <w:r w:rsidR="0030745C" w:rsidRPr="008E6E0D">
              <w:rPr>
                <w:sz w:val="16"/>
                <w:szCs w:val="16"/>
                <w:lang w:eastAsia="es-ES"/>
              </w:rPr>
              <w:t xml:space="preserve"> DNase I sensitivity quantitative trait loci; </w:t>
            </w:r>
            <w:r w:rsidR="00C73FB5" w:rsidRPr="008E6E0D">
              <w:rPr>
                <w:sz w:val="16"/>
                <w:szCs w:val="16"/>
                <w:lang w:eastAsia="es-ES"/>
              </w:rPr>
              <w:t xml:space="preserve">EGR-1, </w:t>
            </w:r>
            <w:r w:rsidR="0030745C" w:rsidRPr="008E6E0D">
              <w:rPr>
                <w:sz w:val="16"/>
                <w:szCs w:val="16"/>
                <w:lang w:eastAsia="es-ES"/>
              </w:rPr>
              <w:t>Early growth response protein 1; eQTL, expression quantitative trait loci; PAX-4, Paired box 4; and V2G, Assigning variants to genes.</w:t>
            </w:r>
          </w:p>
        </w:tc>
      </w:tr>
    </w:tbl>
    <w:p w14:paraId="26EED60A" w14:textId="11C20495" w:rsidR="00BC1E2F" w:rsidRPr="008E6E0D" w:rsidRDefault="00BC1E2F">
      <w:pPr>
        <w:rPr>
          <w:sz w:val="20"/>
          <w:szCs w:val="20"/>
        </w:rPr>
      </w:pPr>
    </w:p>
    <w:p w14:paraId="371C8B5C" w14:textId="5F5016D6" w:rsidR="00F927ED" w:rsidRPr="008E6E0D" w:rsidRDefault="00F927ED" w:rsidP="008C3F62">
      <w:pPr>
        <w:spacing w:after="160" w:line="259" w:lineRule="auto"/>
        <w:rPr>
          <w:sz w:val="20"/>
          <w:szCs w:val="20"/>
        </w:rPr>
      </w:pPr>
    </w:p>
    <w:sectPr w:rsidR="00F927ED" w:rsidRPr="008E6E0D" w:rsidSect="00F03A7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BC48" w14:textId="77777777" w:rsidR="003E66A1" w:rsidRDefault="003E66A1" w:rsidP="00024E76">
      <w:r>
        <w:separator/>
      </w:r>
    </w:p>
  </w:endnote>
  <w:endnote w:type="continuationSeparator" w:id="0">
    <w:p w14:paraId="158BB4EB" w14:textId="77777777" w:rsidR="003E66A1" w:rsidRDefault="003E66A1" w:rsidP="0002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eeSans">
    <w:altName w:val="Calibri"/>
    <w:panose1 w:val="020B0604020202020204"/>
    <w:charset w:val="00"/>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42238"/>
      <w:docPartObj>
        <w:docPartGallery w:val="Page Numbers (Bottom of Page)"/>
        <w:docPartUnique/>
      </w:docPartObj>
    </w:sdtPr>
    <w:sdtEndPr/>
    <w:sdtContent>
      <w:p w14:paraId="54EA3740" w14:textId="19B4ACD9" w:rsidR="000B16F5" w:rsidRDefault="000B16F5">
        <w:pPr>
          <w:pStyle w:val="Piedepgina"/>
          <w:jc w:val="right"/>
        </w:pPr>
        <w:r>
          <w:fldChar w:fldCharType="begin"/>
        </w:r>
        <w:r>
          <w:instrText>PAGE   \* MERGEFORMAT</w:instrText>
        </w:r>
        <w:r>
          <w:fldChar w:fldCharType="separate"/>
        </w:r>
        <w:r w:rsidR="001E2770">
          <w:rPr>
            <w:noProof/>
          </w:rPr>
          <w:t>23</w:t>
        </w:r>
        <w:r>
          <w:fldChar w:fldCharType="end"/>
        </w:r>
      </w:p>
    </w:sdtContent>
  </w:sdt>
  <w:p w14:paraId="4C5C1F38" w14:textId="77777777" w:rsidR="000B16F5" w:rsidRDefault="000B1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88F6" w14:textId="77777777" w:rsidR="003E66A1" w:rsidRDefault="003E66A1" w:rsidP="00024E76">
      <w:r>
        <w:separator/>
      </w:r>
    </w:p>
  </w:footnote>
  <w:footnote w:type="continuationSeparator" w:id="0">
    <w:p w14:paraId="3BB7854C" w14:textId="77777777" w:rsidR="003E66A1" w:rsidRDefault="003E66A1" w:rsidP="0002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10"/>
    <w:multiLevelType w:val="hybridMultilevel"/>
    <w:tmpl w:val="0E4852DC"/>
    <w:lvl w:ilvl="0" w:tplc="F9D4D320">
      <w:start w:val="1"/>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31F4CF7"/>
    <w:multiLevelType w:val="hybridMultilevel"/>
    <w:tmpl w:val="DBE0C16A"/>
    <w:lvl w:ilvl="0" w:tplc="3372ED28">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56D4D0C"/>
    <w:multiLevelType w:val="hybridMultilevel"/>
    <w:tmpl w:val="2940C7FE"/>
    <w:lvl w:ilvl="0" w:tplc="E7F07D8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F406C88"/>
    <w:multiLevelType w:val="hybridMultilevel"/>
    <w:tmpl w:val="F6EA0F2A"/>
    <w:lvl w:ilvl="0" w:tplc="6ABAD6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72ECE"/>
    <w:multiLevelType w:val="hybridMultilevel"/>
    <w:tmpl w:val="914A5E36"/>
    <w:lvl w:ilvl="0" w:tplc="928EBD5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1C66FF"/>
    <w:multiLevelType w:val="hybridMultilevel"/>
    <w:tmpl w:val="1DD6E252"/>
    <w:lvl w:ilvl="0" w:tplc="D1A68808">
      <w:start w:val="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5916E3"/>
    <w:multiLevelType w:val="hybridMultilevel"/>
    <w:tmpl w:val="71E61880"/>
    <w:lvl w:ilvl="0" w:tplc="FDF2BC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75455"/>
    <w:multiLevelType w:val="hybridMultilevel"/>
    <w:tmpl w:val="7DC8C122"/>
    <w:lvl w:ilvl="0" w:tplc="A84E2BB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D6"/>
    <w:rsid w:val="00000B07"/>
    <w:rsid w:val="000017CE"/>
    <w:rsid w:val="00006979"/>
    <w:rsid w:val="00011667"/>
    <w:rsid w:val="00012F20"/>
    <w:rsid w:val="000242C3"/>
    <w:rsid w:val="00024E76"/>
    <w:rsid w:val="00024E98"/>
    <w:rsid w:val="00025D04"/>
    <w:rsid w:val="00025FD8"/>
    <w:rsid w:val="00031325"/>
    <w:rsid w:val="00033D1C"/>
    <w:rsid w:val="00034260"/>
    <w:rsid w:val="000357F6"/>
    <w:rsid w:val="00037913"/>
    <w:rsid w:val="0004062A"/>
    <w:rsid w:val="00040B86"/>
    <w:rsid w:val="00042C1B"/>
    <w:rsid w:val="000447AF"/>
    <w:rsid w:val="000473B1"/>
    <w:rsid w:val="00056727"/>
    <w:rsid w:val="0005701F"/>
    <w:rsid w:val="00061740"/>
    <w:rsid w:val="0006280E"/>
    <w:rsid w:val="000631E7"/>
    <w:rsid w:val="00071409"/>
    <w:rsid w:val="00077254"/>
    <w:rsid w:val="00080169"/>
    <w:rsid w:val="00081AB0"/>
    <w:rsid w:val="000821B3"/>
    <w:rsid w:val="00082C80"/>
    <w:rsid w:val="0008503A"/>
    <w:rsid w:val="000912B7"/>
    <w:rsid w:val="00096F86"/>
    <w:rsid w:val="00097EAA"/>
    <w:rsid w:val="000A19CF"/>
    <w:rsid w:val="000A42A6"/>
    <w:rsid w:val="000A5A76"/>
    <w:rsid w:val="000A612C"/>
    <w:rsid w:val="000B16F5"/>
    <w:rsid w:val="000B2E69"/>
    <w:rsid w:val="000B49F3"/>
    <w:rsid w:val="000B658C"/>
    <w:rsid w:val="000B71EB"/>
    <w:rsid w:val="000C5871"/>
    <w:rsid w:val="000D078B"/>
    <w:rsid w:val="000D0D47"/>
    <w:rsid w:val="000D26A3"/>
    <w:rsid w:val="000D5D9D"/>
    <w:rsid w:val="000E03D4"/>
    <w:rsid w:val="000F1566"/>
    <w:rsid w:val="000F1C65"/>
    <w:rsid w:val="000F2275"/>
    <w:rsid w:val="000F2B6B"/>
    <w:rsid w:val="000F3F55"/>
    <w:rsid w:val="000F4395"/>
    <w:rsid w:val="000F4EAC"/>
    <w:rsid w:val="000F4F76"/>
    <w:rsid w:val="001019AD"/>
    <w:rsid w:val="0010332B"/>
    <w:rsid w:val="00110288"/>
    <w:rsid w:val="001107AE"/>
    <w:rsid w:val="001113E9"/>
    <w:rsid w:val="00111631"/>
    <w:rsid w:val="0012085C"/>
    <w:rsid w:val="00125064"/>
    <w:rsid w:val="00126CA8"/>
    <w:rsid w:val="00127484"/>
    <w:rsid w:val="00130058"/>
    <w:rsid w:val="00130406"/>
    <w:rsid w:val="00133641"/>
    <w:rsid w:val="001345A0"/>
    <w:rsid w:val="00134670"/>
    <w:rsid w:val="00134D26"/>
    <w:rsid w:val="00140822"/>
    <w:rsid w:val="00142705"/>
    <w:rsid w:val="00143344"/>
    <w:rsid w:val="00145D1F"/>
    <w:rsid w:val="001513EE"/>
    <w:rsid w:val="00151992"/>
    <w:rsid w:val="0015579A"/>
    <w:rsid w:val="001577E9"/>
    <w:rsid w:val="00162D17"/>
    <w:rsid w:val="00163E11"/>
    <w:rsid w:val="001660EC"/>
    <w:rsid w:val="0017092A"/>
    <w:rsid w:val="0017183C"/>
    <w:rsid w:val="00171F47"/>
    <w:rsid w:val="00172AB7"/>
    <w:rsid w:val="00175702"/>
    <w:rsid w:val="0017579A"/>
    <w:rsid w:val="00183163"/>
    <w:rsid w:val="00184D10"/>
    <w:rsid w:val="001919E2"/>
    <w:rsid w:val="0019245D"/>
    <w:rsid w:val="00193C4E"/>
    <w:rsid w:val="001A2FE3"/>
    <w:rsid w:val="001A5C12"/>
    <w:rsid w:val="001A73C7"/>
    <w:rsid w:val="001B1937"/>
    <w:rsid w:val="001B679A"/>
    <w:rsid w:val="001B7366"/>
    <w:rsid w:val="001C1FF2"/>
    <w:rsid w:val="001C3020"/>
    <w:rsid w:val="001C401F"/>
    <w:rsid w:val="001C4B3A"/>
    <w:rsid w:val="001C5287"/>
    <w:rsid w:val="001C7423"/>
    <w:rsid w:val="001D3ADC"/>
    <w:rsid w:val="001D6E41"/>
    <w:rsid w:val="001E1025"/>
    <w:rsid w:val="001E2770"/>
    <w:rsid w:val="001E31D4"/>
    <w:rsid w:val="001E4AB0"/>
    <w:rsid w:val="001E60BF"/>
    <w:rsid w:val="001E6221"/>
    <w:rsid w:val="001F2B30"/>
    <w:rsid w:val="001F40AC"/>
    <w:rsid w:val="001F6F58"/>
    <w:rsid w:val="00206DC8"/>
    <w:rsid w:val="002112AD"/>
    <w:rsid w:val="00224471"/>
    <w:rsid w:val="00224F38"/>
    <w:rsid w:val="002253CB"/>
    <w:rsid w:val="0022673C"/>
    <w:rsid w:val="00230403"/>
    <w:rsid w:val="00231E60"/>
    <w:rsid w:val="0023411E"/>
    <w:rsid w:val="002344C2"/>
    <w:rsid w:val="0024146D"/>
    <w:rsid w:val="002437D7"/>
    <w:rsid w:val="00243836"/>
    <w:rsid w:val="002440B2"/>
    <w:rsid w:val="002468AE"/>
    <w:rsid w:val="00247CAB"/>
    <w:rsid w:val="00251C19"/>
    <w:rsid w:val="00253AF0"/>
    <w:rsid w:val="00253BFD"/>
    <w:rsid w:val="002564DB"/>
    <w:rsid w:val="00260138"/>
    <w:rsid w:val="00260A5E"/>
    <w:rsid w:val="00260B87"/>
    <w:rsid w:val="00267E8C"/>
    <w:rsid w:val="00267F06"/>
    <w:rsid w:val="00280156"/>
    <w:rsid w:val="0028368B"/>
    <w:rsid w:val="00292F24"/>
    <w:rsid w:val="0029405B"/>
    <w:rsid w:val="002941D6"/>
    <w:rsid w:val="002948B4"/>
    <w:rsid w:val="002964BE"/>
    <w:rsid w:val="00296E8D"/>
    <w:rsid w:val="0029709D"/>
    <w:rsid w:val="002A0558"/>
    <w:rsid w:val="002A5796"/>
    <w:rsid w:val="002A675B"/>
    <w:rsid w:val="002B014E"/>
    <w:rsid w:val="002B1D38"/>
    <w:rsid w:val="002B4CE2"/>
    <w:rsid w:val="002C1394"/>
    <w:rsid w:val="002C2223"/>
    <w:rsid w:val="002C7CA8"/>
    <w:rsid w:val="002D0315"/>
    <w:rsid w:val="002D2982"/>
    <w:rsid w:val="002D5AF9"/>
    <w:rsid w:val="002D60DA"/>
    <w:rsid w:val="002E0222"/>
    <w:rsid w:val="002E0BAB"/>
    <w:rsid w:val="002E1354"/>
    <w:rsid w:val="002E3F79"/>
    <w:rsid w:val="002E42C2"/>
    <w:rsid w:val="002E4E79"/>
    <w:rsid w:val="002E7021"/>
    <w:rsid w:val="002F132A"/>
    <w:rsid w:val="002F4079"/>
    <w:rsid w:val="002F590B"/>
    <w:rsid w:val="002F787B"/>
    <w:rsid w:val="003035ED"/>
    <w:rsid w:val="0030398E"/>
    <w:rsid w:val="0030526A"/>
    <w:rsid w:val="0030626A"/>
    <w:rsid w:val="0030745C"/>
    <w:rsid w:val="00312496"/>
    <w:rsid w:val="0031291A"/>
    <w:rsid w:val="00312C3D"/>
    <w:rsid w:val="00313A60"/>
    <w:rsid w:val="00314EBB"/>
    <w:rsid w:val="00315463"/>
    <w:rsid w:val="003156C9"/>
    <w:rsid w:val="00316342"/>
    <w:rsid w:val="00317C65"/>
    <w:rsid w:val="00322717"/>
    <w:rsid w:val="003249BB"/>
    <w:rsid w:val="0033212C"/>
    <w:rsid w:val="00332E2D"/>
    <w:rsid w:val="003356FD"/>
    <w:rsid w:val="00335F49"/>
    <w:rsid w:val="00335F85"/>
    <w:rsid w:val="0034032F"/>
    <w:rsid w:val="003429DC"/>
    <w:rsid w:val="00342B0D"/>
    <w:rsid w:val="00343A22"/>
    <w:rsid w:val="00343BBF"/>
    <w:rsid w:val="003441FA"/>
    <w:rsid w:val="0034420D"/>
    <w:rsid w:val="0034723E"/>
    <w:rsid w:val="00351789"/>
    <w:rsid w:val="003521EE"/>
    <w:rsid w:val="003537FC"/>
    <w:rsid w:val="00353C3F"/>
    <w:rsid w:val="0035404B"/>
    <w:rsid w:val="00354AE3"/>
    <w:rsid w:val="003551A0"/>
    <w:rsid w:val="00356189"/>
    <w:rsid w:val="00356AE6"/>
    <w:rsid w:val="00357689"/>
    <w:rsid w:val="00362AE9"/>
    <w:rsid w:val="00362E10"/>
    <w:rsid w:val="003644C7"/>
    <w:rsid w:val="00371583"/>
    <w:rsid w:val="00371C3F"/>
    <w:rsid w:val="00372B91"/>
    <w:rsid w:val="00374598"/>
    <w:rsid w:val="003756BB"/>
    <w:rsid w:val="003768C7"/>
    <w:rsid w:val="00376E98"/>
    <w:rsid w:val="0038044C"/>
    <w:rsid w:val="00380EE5"/>
    <w:rsid w:val="00381FEC"/>
    <w:rsid w:val="003833A8"/>
    <w:rsid w:val="00385726"/>
    <w:rsid w:val="00387427"/>
    <w:rsid w:val="0039010C"/>
    <w:rsid w:val="00391063"/>
    <w:rsid w:val="00392495"/>
    <w:rsid w:val="003947D9"/>
    <w:rsid w:val="00395BA2"/>
    <w:rsid w:val="00397158"/>
    <w:rsid w:val="00397714"/>
    <w:rsid w:val="00397DA5"/>
    <w:rsid w:val="003A778D"/>
    <w:rsid w:val="003B24E4"/>
    <w:rsid w:val="003B47DC"/>
    <w:rsid w:val="003B541A"/>
    <w:rsid w:val="003B69A2"/>
    <w:rsid w:val="003C0FAA"/>
    <w:rsid w:val="003C1A07"/>
    <w:rsid w:val="003C46DB"/>
    <w:rsid w:val="003C69BE"/>
    <w:rsid w:val="003C6A6D"/>
    <w:rsid w:val="003D1838"/>
    <w:rsid w:val="003D38F1"/>
    <w:rsid w:val="003D4F2C"/>
    <w:rsid w:val="003D6B51"/>
    <w:rsid w:val="003D7713"/>
    <w:rsid w:val="003E16E1"/>
    <w:rsid w:val="003E387C"/>
    <w:rsid w:val="003E3B57"/>
    <w:rsid w:val="003E3D1B"/>
    <w:rsid w:val="003E5388"/>
    <w:rsid w:val="003E66A1"/>
    <w:rsid w:val="003F094D"/>
    <w:rsid w:val="003F1348"/>
    <w:rsid w:val="003F247B"/>
    <w:rsid w:val="003F2FCD"/>
    <w:rsid w:val="003F6197"/>
    <w:rsid w:val="003F77C8"/>
    <w:rsid w:val="004016A6"/>
    <w:rsid w:val="004019B7"/>
    <w:rsid w:val="00405765"/>
    <w:rsid w:val="00405C97"/>
    <w:rsid w:val="0041131B"/>
    <w:rsid w:val="00412305"/>
    <w:rsid w:val="00412512"/>
    <w:rsid w:val="0041352E"/>
    <w:rsid w:val="00414BF3"/>
    <w:rsid w:val="00415CC6"/>
    <w:rsid w:val="00416536"/>
    <w:rsid w:val="0041796F"/>
    <w:rsid w:val="004229AC"/>
    <w:rsid w:val="00422A72"/>
    <w:rsid w:val="004232E3"/>
    <w:rsid w:val="00427D0D"/>
    <w:rsid w:val="00433C90"/>
    <w:rsid w:val="00434BDA"/>
    <w:rsid w:val="0043624E"/>
    <w:rsid w:val="00444678"/>
    <w:rsid w:val="00451FF5"/>
    <w:rsid w:val="00453DAF"/>
    <w:rsid w:val="004553F9"/>
    <w:rsid w:val="00456A79"/>
    <w:rsid w:val="00456E46"/>
    <w:rsid w:val="004578E6"/>
    <w:rsid w:val="00461819"/>
    <w:rsid w:val="004625E2"/>
    <w:rsid w:val="004631F6"/>
    <w:rsid w:val="00465E21"/>
    <w:rsid w:val="00467890"/>
    <w:rsid w:val="00471529"/>
    <w:rsid w:val="00471B9E"/>
    <w:rsid w:val="00474192"/>
    <w:rsid w:val="004808A0"/>
    <w:rsid w:val="004846A2"/>
    <w:rsid w:val="00484A34"/>
    <w:rsid w:val="00484B96"/>
    <w:rsid w:val="00487681"/>
    <w:rsid w:val="004916D8"/>
    <w:rsid w:val="004920AC"/>
    <w:rsid w:val="00495077"/>
    <w:rsid w:val="00495705"/>
    <w:rsid w:val="004A1CF8"/>
    <w:rsid w:val="004B0D0F"/>
    <w:rsid w:val="004B349C"/>
    <w:rsid w:val="004C012F"/>
    <w:rsid w:val="004C0F0E"/>
    <w:rsid w:val="004C2034"/>
    <w:rsid w:val="004C42C6"/>
    <w:rsid w:val="004C4664"/>
    <w:rsid w:val="004D080D"/>
    <w:rsid w:val="004D1BC3"/>
    <w:rsid w:val="004D2953"/>
    <w:rsid w:val="004D3857"/>
    <w:rsid w:val="004D39F4"/>
    <w:rsid w:val="004D3E8A"/>
    <w:rsid w:val="004D43D0"/>
    <w:rsid w:val="004D578A"/>
    <w:rsid w:val="004D6CCA"/>
    <w:rsid w:val="004D6CDA"/>
    <w:rsid w:val="004E132C"/>
    <w:rsid w:val="004E440E"/>
    <w:rsid w:val="004E462D"/>
    <w:rsid w:val="004E65BD"/>
    <w:rsid w:val="004E66ED"/>
    <w:rsid w:val="004E6FE8"/>
    <w:rsid w:val="004E7438"/>
    <w:rsid w:val="004F27BD"/>
    <w:rsid w:val="004F2D27"/>
    <w:rsid w:val="004F2F85"/>
    <w:rsid w:val="004F3ACF"/>
    <w:rsid w:val="004F7E00"/>
    <w:rsid w:val="005006F9"/>
    <w:rsid w:val="0050119F"/>
    <w:rsid w:val="0050345A"/>
    <w:rsid w:val="00505E85"/>
    <w:rsid w:val="00507922"/>
    <w:rsid w:val="00513DA1"/>
    <w:rsid w:val="00513E54"/>
    <w:rsid w:val="00514988"/>
    <w:rsid w:val="00514FC8"/>
    <w:rsid w:val="005164BD"/>
    <w:rsid w:val="00520637"/>
    <w:rsid w:val="00521342"/>
    <w:rsid w:val="00522466"/>
    <w:rsid w:val="00525BAA"/>
    <w:rsid w:val="00525D2F"/>
    <w:rsid w:val="00525E23"/>
    <w:rsid w:val="0052733A"/>
    <w:rsid w:val="00527933"/>
    <w:rsid w:val="005307A7"/>
    <w:rsid w:val="005344BB"/>
    <w:rsid w:val="00534689"/>
    <w:rsid w:val="00535BE7"/>
    <w:rsid w:val="00537493"/>
    <w:rsid w:val="005454DD"/>
    <w:rsid w:val="00547227"/>
    <w:rsid w:val="00557002"/>
    <w:rsid w:val="0056125B"/>
    <w:rsid w:val="0056199D"/>
    <w:rsid w:val="0056274B"/>
    <w:rsid w:val="005648ED"/>
    <w:rsid w:val="00565900"/>
    <w:rsid w:val="00565BBF"/>
    <w:rsid w:val="00565DC0"/>
    <w:rsid w:val="0056611F"/>
    <w:rsid w:val="005725B0"/>
    <w:rsid w:val="00573287"/>
    <w:rsid w:val="005745B7"/>
    <w:rsid w:val="00577791"/>
    <w:rsid w:val="005841D1"/>
    <w:rsid w:val="0058433A"/>
    <w:rsid w:val="00594031"/>
    <w:rsid w:val="005940C0"/>
    <w:rsid w:val="005A23D1"/>
    <w:rsid w:val="005A327F"/>
    <w:rsid w:val="005A3F76"/>
    <w:rsid w:val="005A6E54"/>
    <w:rsid w:val="005B1403"/>
    <w:rsid w:val="005B14E1"/>
    <w:rsid w:val="005B19C4"/>
    <w:rsid w:val="005B31F7"/>
    <w:rsid w:val="005B40DD"/>
    <w:rsid w:val="005B485F"/>
    <w:rsid w:val="005B4C6A"/>
    <w:rsid w:val="005B4F57"/>
    <w:rsid w:val="005B53F9"/>
    <w:rsid w:val="005B6D16"/>
    <w:rsid w:val="005B6F6F"/>
    <w:rsid w:val="005C489F"/>
    <w:rsid w:val="005C631E"/>
    <w:rsid w:val="005D0145"/>
    <w:rsid w:val="005D0C12"/>
    <w:rsid w:val="005D1C4A"/>
    <w:rsid w:val="005D2513"/>
    <w:rsid w:val="005D4614"/>
    <w:rsid w:val="005D4F1F"/>
    <w:rsid w:val="005D6710"/>
    <w:rsid w:val="005D7F84"/>
    <w:rsid w:val="005E7311"/>
    <w:rsid w:val="005F024C"/>
    <w:rsid w:val="005F293E"/>
    <w:rsid w:val="005F2B58"/>
    <w:rsid w:val="005F30BA"/>
    <w:rsid w:val="005F71FC"/>
    <w:rsid w:val="00603BD0"/>
    <w:rsid w:val="00604DD8"/>
    <w:rsid w:val="00612C2E"/>
    <w:rsid w:val="0061329A"/>
    <w:rsid w:val="00613D09"/>
    <w:rsid w:val="00621281"/>
    <w:rsid w:val="006249CF"/>
    <w:rsid w:val="00626863"/>
    <w:rsid w:val="00630365"/>
    <w:rsid w:val="00631245"/>
    <w:rsid w:val="0063165C"/>
    <w:rsid w:val="00633330"/>
    <w:rsid w:val="00634D88"/>
    <w:rsid w:val="006350FA"/>
    <w:rsid w:val="006423B5"/>
    <w:rsid w:val="006426B3"/>
    <w:rsid w:val="0064365B"/>
    <w:rsid w:val="00644769"/>
    <w:rsid w:val="0064785E"/>
    <w:rsid w:val="00647B5C"/>
    <w:rsid w:val="0065323D"/>
    <w:rsid w:val="00654FF4"/>
    <w:rsid w:val="00656ED6"/>
    <w:rsid w:val="00656FAC"/>
    <w:rsid w:val="00657A03"/>
    <w:rsid w:val="00660397"/>
    <w:rsid w:val="0066228A"/>
    <w:rsid w:val="0066572D"/>
    <w:rsid w:val="00666076"/>
    <w:rsid w:val="006670D8"/>
    <w:rsid w:val="0066763E"/>
    <w:rsid w:val="00671087"/>
    <w:rsid w:val="00672741"/>
    <w:rsid w:val="006747CA"/>
    <w:rsid w:val="006750C7"/>
    <w:rsid w:val="00677BB9"/>
    <w:rsid w:val="00681E2A"/>
    <w:rsid w:val="0068625B"/>
    <w:rsid w:val="00686775"/>
    <w:rsid w:val="006868E7"/>
    <w:rsid w:val="006910E3"/>
    <w:rsid w:val="0069164B"/>
    <w:rsid w:val="006947F4"/>
    <w:rsid w:val="00695C23"/>
    <w:rsid w:val="00695F03"/>
    <w:rsid w:val="006966B4"/>
    <w:rsid w:val="006975A3"/>
    <w:rsid w:val="00697E79"/>
    <w:rsid w:val="006A4987"/>
    <w:rsid w:val="006A5AEB"/>
    <w:rsid w:val="006A6624"/>
    <w:rsid w:val="006B3D28"/>
    <w:rsid w:val="006C19DF"/>
    <w:rsid w:val="006C4049"/>
    <w:rsid w:val="006C6740"/>
    <w:rsid w:val="006C6B18"/>
    <w:rsid w:val="006D51E7"/>
    <w:rsid w:val="006D680F"/>
    <w:rsid w:val="006E3475"/>
    <w:rsid w:val="006E6896"/>
    <w:rsid w:val="006F02D8"/>
    <w:rsid w:val="006F3585"/>
    <w:rsid w:val="006F4EC6"/>
    <w:rsid w:val="006F5F42"/>
    <w:rsid w:val="007105BA"/>
    <w:rsid w:val="00711ADB"/>
    <w:rsid w:val="00713D1A"/>
    <w:rsid w:val="00721EFA"/>
    <w:rsid w:val="007239E4"/>
    <w:rsid w:val="00723F55"/>
    <w:rsid w:val="0072517D"/>
    <w:rsid w:val="007277CD"/>
    <w:rsid w:val="00733799"/>
    <w:rsid w:val="00740557"/>
    <w:rsid w:val="00743236"/>
    <w:rsid w:val="007432AB"/>
    <w:rsid w:val="00745532"/>
    <w:rsid w:val="00745A40"/>
    <w:rsid w:val="00760E98"/>
    <w:rsid w:val="00763273"/>
    <w:rsid w:val="00765518"/>
    <w:rsid w:val="007669D4"/>
    <w:rsid w:val="00766B06"/>
    <w:rsid w:val="00767CC0"/>
    <w:rsid w:val="00770081"/>
    <w:rsid w:val="00772D74"/>
    <w:rsid w:val="0077315E"/>
    <w:rsid w:val="0077715E"/>
    <w:rsid w:val="00777B2C"/>
    <w:rsid w:val="007809E1"/>
    <w:rsid w:val="00782D80"/>
    <w:rsid w:val="00793A6F"/>
    <w:rsid w:val="00796674"/>
    <w:rsid w:val="007A396C"/>
    <w:rsid w:val="007A629C"/>
    <w:rsid w:val="007A7205"/>
    <w:rsid w:val="007A778C"/>
    <w:rsid w:val="007B1658"/>
    <w:rsid w:val="007B17AA"/>
    <w:rsid w:val="007B49EF"/>
    <w:rsid w:val="007C387A"/>
    <w:rsid w:val="007C4B8A"/>
    <w:rsid w:val="007C5C0D"/>
    <w:rsid w:val="007C5E97"/>
    <w:rsid w:val="007D0E22"/>
    <w:rsid w:val="007D55F7"/>
    <w:rsid w:val="007D6469"/>
    <w:rsid w:val="007D6B03"/>
    <w:rsid w:val="007D7347"/>
    <w:rsid w:val="007E0063"/>
    <w:rsid w:val="007E01C0"/>
    <w:rsid w:val="007E0463"/>
    <w:rsid w:val="007E6290"/>
    <w:rsid w:val="007F16EA"/>
    <w:rsid w:val="007F218C"/>
    <w:rsid w:val="007F2C5B"/>
    <w:rsid w:val="007F3BA0"/>
    <w:rsid w:val="007F6F0F"/>
    <w:rsid w:val="00801912"/>
    <w:rsid w:val="008027D5"/>
    <w:rsid w:val="0080470B"/>
    <w:rsid w:val="00810F63"/>
    <w:rsid w:val="00813882"/>
    <w:rsid w:val="00821F97"/>
    <w:rsid w:val="0082497C"/>
    <w:rsid w:val="00824E9A"/>
    <w:rsid w:val="00825292"/>
    <w:rsid w:val="00831CD2"/>
    <w:rsid w:val="00832058"/>
    <w:rsid w:val="008325D6"/>
    <w:rsid w:val="0083434B"/>
    <w:rsid w:val="00834B70"/>
    <w:rsid w:val="0084217C"/>
    <w:rsid w:val="00844E8A"/>
    <w:rsid w:val="00845CBF"/>
    <w:rsid w:val="00852AA9"/>
    <w:rsid w:val="0085558A"/>
    <w:rsid w:val="008605BC"/>
    <w:rsid w:val="00864132"/>
    <w:rsid w:val="00865499"/>
    <w:rsid w:val="00867037"/>
    <w:rsid w:val="00870991"/>
    <w:rsid w:val="00871263"/>
    <w:rsid w:val="00873CAD"/>
    <w:rsid w:val="0087417A"/>
    <w:rsid w:val="00875784"/>
    <w:rsid w:val="0087626D"/>
    <w:rsid w:val="0087666C"/>
    <w:rsid w:val="008767EB"/>
    <w:rsid w:val="00877C24"/>
    <w:rsid w:val="008861FD"/>
    <w:rsid w:val="00886C01"/>
    <w:rsid w:val="00891A26"/>
    <w:rsid w:val="00893694"/>
    <w:rsid w:val="008941DB"/>
    <w:rsid w:val="008959EE"/>
    <w:rsid w:val="00896250"/>
    <w:rsid w:val="008979E6"/>
    <w:rsid w:val="00897D7C"/>
    <w:rsid w:val="00897E65"/>
    <w:rsid w:val="008A0411"/>
    <w:rsid w:val="008A0AE4"/>
    <w:rsid w:val="008A3DE8"/>
    <w:rsid w:val="008A41C7"/>
    <w:rsid w:val="008A564B"/>
    <w:rsid w:val="008B10B5"/>
    <w:rsid w:val="008B39DA"/>
    <w:rsid w:val="008B47F7"/>
    <w:rsid w:val="008B5790"/>
    <w:rsid w:val="008B70A4"/>
    <w:rsid w:val="008C17F4"/>
    <w:rsid w:val="008C1FAE"/>
    <w:rsid w:val="008C3F62"/>
    <w:rsid w:val="008C56AE"/>
    <w:rsid w:val="008C7D45"/>
    <w:rsid w:val="008D2D5E"/>
    <w:rsid w:val="008D3F12"/>
    <w:rsid w:val="008D43CD"/>
    <w:rsid w:val="008D4AEE"/>
    <w:rsid w:val="008D6DB4"/>
    <w:rsid w:val="008E4CAE"/>
    <w:rsid w:val="008E62CB"/>
    <w:rsid w:val="008E6E0D"/>
    <w:rsid w:val="008E7CA3"/>
    <w:rsid w:val="008F31EC"/>
    <w:rsid w:val="008F40C8"/>
    <w:rsid w:val="008F52F5"/>
    <w:rsid w:val="00901783"/>
    <w:rsid w:val="009042C8"/>
    <w:rsid w:val="00905A7A"/>
    <w:rsid w:val="00907429"/>
    <w:rsid w:val="00911C47"/>
    <w:rsid w:val="009122B4"/>
    <w:rsid w:val="009168CB"/>
    <w:rsid w:val="00917034"/>
    <w:rsid w:val="00917965"/>
    <w:rsid w:val="0092449A"/>
    <w:rsid w:val="00924D12"/>
    <w:rsid w:val="00930A6C"/>
    <w:rsid w:val="00930E3C"/>
    <w:rsid w:val="00933CDA"/>
    <w:rsid w:val="00937942"/>
    <w:rsid w:val="009420AF"/>
    <w:rsid w:val="009473AE"/>
    <w:rsid w:val="0095168B"/>
    <w:rsid w:val="00955517"/>
    <w:rsid w:val="00961192"/>
    <w:rsid w:val="00966D53"/>
    <w:rsid w:val="00967D70"/>
    <w:rsid w:val="00970EFB"/>
    <w:rsid w:val="009715C3"/>
    <w:rsid w:val="00971BB5"/>
    <w:rsid w:val="00981A97"/>
    <w:rsid w:val="00982622"/>
    <w:rsid w:val="0098470C"/>
    <w:rsid w:val="0099588C"/>
    <w:rsid w:val="009A1A8F"/>
    <w:rsid w:val="009A25E5"/>
    <w:rsid w:val="009A32B6"/>
    <w:rsid w:val="009A634A"/>
    <w:rsid w:val="009B2123"/>
    <w:rsid w:val="009B5FDE"/>
    <w:rsid w:val="009B627F"/>
    <w:rsid w:val="009C3BFC"/>
    <w:rsid w:val="009D19B9"/>
    <w:rsid w:val="009D2659"/>
    <w:rsid w:val="009D37C8"/>
    <w:rsid w:val="009D4E50"/>
    <w:rsid w:val="009E19B1"/>
    <w:rsid w:val="009E3E88"/>
    <w:rsid w:val="009E4C55"/>
    <w:rsid w:val="009E5D8B"/>
    <w:rsid w:val="009F1459"/>
    <w:rsid w:val="009F17F6"/>
    <w:rsid w:val="009F1D9B"/>
    <w:rsid w:val="009F7078"/>
    <w:rsid w:val="009F7366"/>
    <w:rsid w:val="009F7612"/>
    <w:rsid w:val="00A0175F"/>
    <w:rsid w:val="00A027B2"/>
    <w:rsid w:val="00A03009"/>
    <w:rsid w:val="00A1081A"/>
    <w:rsid w:val="00A126BA"/>
    <w:rsid w:val="00A21CD5"/>
    <w:rsid w:val="00A24A41"/>
    <w:rsid w:val="00A265C9"/>
    <w:rsid w:val="00A30649"/>
    <w:rsid w:val="00A31E83"/>
    <w:rsid w:val="00A32E1E"/>
    <w:rsid w:val="00A334E1"/>
    <w:rsid w:val="00A4445F"/>
    <w:rsid w:val="00A5685B"/>
    <w:rsid w:val="00A65A9A"/>
    <w:rsid w:val="00A6709E"/>
    <w:rsid w:val="00A71473"/>
    <w:rsid w:val="00A71F6B"/>
    <w:rsid w:val="00A7494D"/>
    <w:rsid w:val="00A76CF3"/>
    <w:rsid w:val="00A77D84"/>
    <w:rsid w:val="00A80BCC"/>
    <w:rsid w:val="00A81313"/>
    <w:rsid w:val="00A84835"/>
    <w:rsid w:val="00A859FA"/>
    <w:rsid w:val="00A917A9"/>
    <w:rsid w:val="00AA0AC5"/>
    <w:rsid w:val="00AA377C"/>
    <w:rsid w:val="00AA4B75"/>
    <w:rsid w:val="00AB59D7"/>
    <w:rsid w:val="00AC2048"/>
    <w:rsid w:val="00AC3D2D"/>
    <w:rsid w:val="00AC4437"/>
    <w:rsid w:val="00AC4AB8"/>
    <w:rsid w:val="00AC76BD"/>
    <w:rsid w:val="00AC77C4"/>
    <w:rsid w:val="00AD5B72"/>
    <w:rsid w:val="00AD65D7"/>
    <w:rsid w:val="00AD66A0"/>
    <w:rsid w:val="00AD6CB1"/>
    <w:rsid w:val="00AE0760"/>
    <w:rsid w:val="00AF2CBD"/>
    <w:rsid w:val="00AF303C"/>
    <w:rsid w:val="00AF42AC"/>
    <w:rsid w:val="00AF4B82"/>
    <w:rsid w:val="00AF4F5B"/>
    <w:rsid w:val="00AF527C"/>
    <w:rsid w:val="00B002D7"/>
    <w:rsid w:val="00B01D40"/>
    <w:rsid w:val="00B03947"/>
    <w:rsid w:val="00B04B86"/>
    <w:rsid w:val="00B05C8A"/>
    <w:rsid w:val="00B117CC"/>
    <w:rsid w:val="00B127EF"/>
    <w:rsid w:val="00B133FF"/>
    <w:rsid w:val="00B14A7F"/>
    <w:rsid w:val="00B252B9"/>
    <w:rsid w:val="00B25436"/>
    <w:rsid w:val="00B2695D"/>
    <w:rsid w:val="00B31691"/>
    <w:rsid w:val="00B34835"/>
    <w:rsid w:val="00B37653"/>
    <w:rsid w:val="00B37712"/>
    <w:rsid w:val="00B37E84"/>
    <w:rsid w:val="00B44B56"/>
    <w:rsid w:val="00B47D73"/>
    <w:rsid w:val="00B500E5"/>
    <w:rsid w:val="00B54823"/>
    <w:rsid w:val="00B604DA"/>
    <w:rsid w:val="00B61815"/>
    <w:rsid w:val="00B62D7E"/>
    <w:rsid w:val="00B6602C"/>
    <w:rsid w:val="00B66E15"/>
    <w:rsid w:val="00B717D2"/>
    <w:rsid w:val="00B77FD7"/>
    <w:rsid w:val="00B809C9"/>
    <w:rsid w:val="00B81E98"/>
    <w:rsid w:val="00B84F8C"/>
    <w:rsid w:val="00B875B5"/>
    <w:rsid w:val="00B90472"/>
    <w:rsid w:val="00B9393B"/>
    <w:rsid w:val="00B94360"/>
    <w:rsid w:val="00B97EE1"/>
    <w:rsid w:val="00BA04F9"/>
    <w:rsid w:val="00BA09F8"/>
    <w:rsid w:val="00BA1367"/>
    <w:rsid w:val="00BA21E5"/>
    <w:rsid w:val="00BA4146"/>
    <w:rsid w:val="00BA7D9E"/>
    <w:rsid w:val="00BB07AC"/>
    <w:rsid w:val="00BB1EEB"/>
    <w:rsid w:val="00BB61EA"/>
    <w:rsid w:val="00BB6504"/>
    <w:rsid w:val="00BB7DE9"/>
    <w:rsid w:val="00BC1E2F"/>
    <w:rsid w:val="00BC32AF"/>
    <w:rsid w:val="00BC6297"/>
    <w:rsid w:val="00BD087B"/>
    <w:rsid w:val="00BD0FA0"/>
    <w:rsid w:val="00BD423E"/>
    <w:rsid w:val="00BD7A29"/>
    <w:rsid w:val="00BE01FF"/>
    <w:rsid w:val="00BE17BA"/>
    <w:rsid w:val="00BE65CC"/>
    <w:rsid w:val="00BF7CF0"/>
    <w:rsid w:val="00C03804"/>
    <w:rsid w:val="00C05A7C"/>
    <w:rsid w:val="00C06D46"/>
    <w:rsid w:val="00C079DB"/>
    <w:rsid w:val="00C146A7"/>
    <w:rsid w:val="00C147F0"/>
    <w:rsid w:val="00C17C67"/>
    <w:rsid w:val="00C24420"/>
    <w:rsid w:val="00C2679F"/>
    <w:rsid w:val="00C273AF"/>
    <w:rsid w:val="00C31793"/>
    <w:rsid w:val="00C330E6"/>
    <w:rsid w:val="00C3340F"/>
    <w:rsid w:val="00C34ECB"/>
    <w:rsid w:val="00C41AF1"/>
    <w:rsid w:val="00C46CC4"/>
    <w:rsid w:val="00C51203"/>
    <w:rsid w:val="00C514C1"/>
    <w:rsid w:val="00C57843"/>
    <w:rsid w:val="00C57F63"/>
    <w:rsid w:val="00C62857"/>
    <w:rsid w:val="00C64A43"/>
    <w:rsid w:val="00C6743D"/>
    <w:rsid w:val="00C71548"/>
    <w:rsid w:val="00C73FB5"/>
    <w:rsid w:val="00C74DFC"/>
    <w:rsid w:val="00C7583F"/>
    <w:rsid w:val="00C76651"/>
    <w:rsid w:val="00C81568"/>
    <w:rsid w:val="00C82912"/>
    <w:rsid w:val="00C83560"/>
    <w:rsid w:val="00C8705B"/>
    <w:rsid w:val="00C90BA6"/>
    <w:rsid w:val="00C91093"/>
    <w:rsid w:val="00C92500"/>
    <w:rsid w:val="00C92AF7"/>
    <w:rsid w:val="00C94FA7"/>
    <w:rsid w:val="00C95BA7"/>
    <w:rsid w:val="00CA2938"/>
    <w:rsid w:val="00CB0EC9"/>
    <w:rsid w:val="00CB4112"/>
    <w:rsid w:val="00CB549A"/>
    <w:rsid w:val="00CB5E38"/>
    <w:rsid w:val="00CB6BCB"/>
    <w:rsid w:val="00CC1BC5"/>
    <w:rsid w:val="00CC1CBA"/>
    <w:rsid w:val="00CC2BFD"/>
    <w:rsid w:val="00CC395F"/>
    <w:rsid w:val="00CC40D1"/>
    <w:rsid w:val="00CC51BE"/>
    <w:rsid w:val="00CC5276"/>
    <w:rsid w:val="00CC5498"/>
    <w:rsid w:val="00CC6590"/>
    <w:rsid w:val="00CC7B21"/>
    <w:rsid w:val="00CD0C1F"/>
    <w:rsid w:val="00CD2549"/>
    <w:rsid w:val="00CD4775"/>
    <w:rsid w:val="00CD7DEF"/>
    <w:rsid w:val="00CE0174"/>
    <w:rsid w:val="00CE01DD"/>
    <w:rsid w:val="00CE225B"/>
    <w:rsid w:val="00CE2B47"/>
    <w:rsid w:val="00CE5EF4"/>
    <w:rsid w:val="00CF1D86"/>
    <w:rsid w:val="00D00E56"/>
    <w:rsid w:val="00D107B5"/>
    <w:rsid w:val="00D130CB"/>
    <w:rsid w:val="00D14BAD"/>
    <w:rsid w:val="00D15FD9"/>
    <w:rsid w:val="00D1649A"/>
    <w:rsid w:val="00D1713E"/>
    <w:rsid w:val="00D26E3C"/>
    <w:rsid w:val="00D3037B"/>
    <w:rsid w:val="00D3071D"/>
    <w:rsid w:val="00D310E7"/>
    <w:rsid w:val="00D327F7"/>
    <w:rsid w:val="00D3296E"/>
    <w:rsid w:val="00D33260"/>
    <w:rsid w:val="00D34180"/>
    <w:rsid w:val="00D42905"/>
    <w:rsid w:val="00D43163"/>
    <w:rsid w:val="00D434A7"/>
    <w:rsid w:val="00D51B38"/>
    <w:rsid w:val="00D52257"/>
    <w:rsid w:val="00D53D9D"/>
    <w:rsid w:val="00D5651E"/>
    <w:rsid w:val="00D567E1"/>
    <w:rsid w:val="00D56A67"/>
    <w:rsid w:val="00D61739"/>
    <w:rsid w:val="00D6206C"/>
    <w:rsid w:val="00D623ED"/>
    <w:rsid w:val="00D63076"/>
    <w:rsid w:val="00D64B81"/>
    <w:rsid w:val="00D65C67"/>
    <w:rsid w:val="00D67E97"/>
    <w:rsid w:val="00D70588"/>
    <w:rsid w:val="00D729D3"/>
    <w:rsid w:val="00D7588B"/>
    <w:rsid w:val="00D774AF"/>
    <w:rsid w:val="00D77771"/>
    <w:rsid w:val="00D80618"/>
    <w:rsid w:val="00D809C3"/>
    <w:rsid w:val="00D82FCD"/>
    <w:rsid w:val="00D8712C"/>
    <w:rsid w:val="00D91EBD"/>
    <w:rsid w:val="00D92862"/>
    <w:rsid w:val="00D949E1"/>
    <w:rsid w:val="00DA2373"/>
    <w:rsid w:val="00DA3872"/>
    <w:rsid w:val="00DA7946"/>
    <w:rsid w:val="00DB123C"/>
    <w:rsid w:val="00DB2315"/>
    <w:rsid w:val="00DB3FA4"/>
    <w:rsid w:val="00DB65BF"/>
    <w:rsid w:val="00DC2B08"/>
    <w:rsid w:val="00DC4343"/>
    <w:rsid w:val="00DC62F5"/>
    <w:rsid w:val="00DC6FF5"/>
    <w:rsid w:val="00DC7F42"/>
    <w:rsid w:val="00DD2927"/>
    <w:rsid w:val="00DD69ED"/>
    <w:rsid w:val="00DE0346"/>
    <w:rsid w:val="00DE56E5"/>
    <w:rsid w:val="00DE6FC5"/>
    <w:rsid w:val="00DE724C"/>
    <w:rsid w:val="00DF0344"/>
    <w:rsid w:val="00DF0FE2"/>
    <w:rsid w:val="00DF24F4"/>
    <w:rsid w:val="00DF469D"/>
    <w:rsid w:val="00E004F2"/>
    <w:rsid w:val="00E01612"/>
    <w:rsid w:val="00E02FAA"/>
    <w:rsid w:val="00E039CA"/>
    <w:rsid w:val="00E0728B"/>
    <w:rsid w:val="00E12DA2"/>
    <w:rsid w:val="00E132C6"/>
    <w:rsid w:val="00E16295"/>
    <w:rsid w:val="00E1652B"/>
    <w:rsid w:val="00E16540"/>
    <w:rsid w:val="00E17417"/>
    <w:rsid w:val="00E21322"/>
    <w:rsid w:val="00E22DDA"/>
    <w:rsid w:val="00E25573"/>
    <w:rsid w:val="00E270D6"/>
    <w:rsid w:val="00E30C9D"/>
    <w:rsid w:val="00E32C76"/>
    <w:rsid w:val="00E33003"/>
    <w:rsid w:val="00E34E18"/>
    <w:rsid w:val="00E35FB5"/>
    <w:rsid w:val="00E36D49"/>
    <w:rsid w:val="00E4117F"/>
    <w:rsid w:val="00E46BDB"/>
    <w:rsid w:val="00E50C62"/>
    <w:rsid w:val="00E554BD"/>
    <w:rsid w:val="00E561F1"/>
    <w:rsid w:val="00E5632A"/>
    <w:rsid w:val="00E57FAF"/>
    <w:rsid w:val="00E62B1F"/>
    <w:rsid w:val="00E6348B"/>
    <w:rsid w:val="00E6354E"/>
    <w:rsid w:val="00E6427C"/>
    <w:rsid w:val="00E648EF"/>
    <w:rsid w:val="00E74677"/>
    <w:rsid w:val="00E765C1"/>
    <w:rsid w:val="00E777A0"/>
    <w:rsid w:val="00E818FE"/>
    <w:rsid w:val="00E874CF"/>
    <w:rsid w:val="00E92004"/>
    <w:rsid w:val="00E95864"/>
    <w:rsid w:val="00E965BD"/>
    <w:rsid w:val="00E97841"/>
    <w:rsid w:val="00EA147F"/>
    <w:rsid w:val="00EA4121"/>
    <w:rsid w:val="00EA5AE9"/>
    <w:rsid w:val="00EB092A"/>
    <w:rsid w:val="00EB2256"/>
    <w:rsid w:val="00EB554A"/>
    <w:rsid w:val="00EB69D9"/>
    <w:rsid w:val="00EB72D0"/>
    <w:rsid w:val="00EC135D"/>
    <w:rsid w:val="00EC33D7"/>
    <w:rsid w:val="00EC5462"/>
    <w:rsid w:val="00ED7DAE"/>
    <w:rsid w:val="00EE03FC"/>
    <w:rsid w:val="00EE1692"/>
    <w:rsid w:val="00EE24C1"/>
    <w:rsid w:val="00EE4757"/>
    <w:rsid w:val="00EE4C12"/>
    <w:rsid w:val="00EE7959"/>
    <w:rsid w:val="00EF0335"/>
    <w:rsid w:val="00EF0A05"/>
    <w:rsid w:val="00EF2301"/>
    <w:rsid w:val="00EF297C"/>
    <w:rsid w:val="00EF6179"/>
    <w:rsid w:val="00EF6916"/>
    <w:rsid w:val="00F00A26"/>
    <w:rsid w:val="00F00B3F"/>
    <w:rsid w:val="00F01423"/>
    <w:rsid w:val="00F03A73"/>
    <w:rsid w:val="00F041EA"/>
    <w:rsid w:val="00F042DC"/>
    <w:rsid w:val="00F053A7"/>
    <w:rsid w:val="00F10A17"/>
    <w:rsid w:val="00F1279E"/>
    <w:rsid w:val="00F130BB"/>
    <w:rsid w:val="00F13259"/>
    <w:rsid w:val="00F14437"/>
    <w:rsid w:val="00F163EA"/>
    <w:rsid w:val="00F16F00"/>
    <w:rsid w:val="00F17B8F"/>
    <w:rsid w:val="00F20FD8"/>
    <w:rsid w:val="00F25CA7"/>
    <w:rsid w:val="00F273BE"/>
    <w:rsid w:val="00F274D3"/>
    <w:rsid w:val="00F278FA"/>
    <w:rsid w:val="00F279F1"/>
    <w:rsid w:val="00F35966"/>
    <w:rsid w:val="00F37064"/>
    <w:rsid w:val="00F40891"/>
    <w:rsid w:val="00F41D33"/>
    <w:rsid w:val="00F4261D"/>
    <w:rsid w:val="00F4679F"/>
    <w:rsid w:val="00F50B65"/>
    <w:rsid w:val="00F54B8A"/>
    <w:rsid w:val="00F5653B"/>
    <w:rsid w:val="00F63070"/>
    <w:rsid w:val="00F706B9"/>
    <w:rsid w:val="00F70BA8"/>
    <w:rsid w:val="00F70D9C"/>
    <w:rsid w:val="00F8119E"/>
    <w:rsid w:val="00F82689"/>
    <w:rsid w:val="00F82B2A"/>
    <w:rsid w:val="00F9143A"/>
    <w:rsid w:val="00F927D2"/>
    <w:rsid w:val="00F927ED"/>
    <w:rsid w:val="00F97011"/>
    <w:rsid w:val="00F974D9"/>
    <w:rsid w:val="00FA24BD"/>
    <w:rsid w:val="00FA6A7B"/>
    <w:rsid w:val="00FB0BD3"/>
    <w:rsid w:val="00FB1A8A"/>
    <w:rsid w:val="00FB3069"/>
    <w:rsid w:val="00FB6A60"/>
    <w:rsid w:val="00FC086B"/>
    <w:rsid w:val="00FC15B5"/>
    <w:rsid w:val="00FC1BDF"/>
    <w:rsid w:val="00FC337D"/>
    <w:rsid w:val="00FC72E9"/>
    <w:rsid w:val="00FD40AE"/>
    <w:rsid w:val="00FD7B5B"/>
    <w:rsid w:val="00FE1ACC"/>
    <w:rsid w:val="00FE40CC"/>
    <w:rsid w:val="00FE49BE"/>
    <w:rsid w:val="00FE4B26"/>
    <w:rsid w:val="00FE62FE"/>
    <w:rsid w:val="00FE6BDC"/>
    <w:rsid w:val="00FE7497"/>
    <w:rsid w:val="00FF1984"/>
    <w:rsid w:val="00FF3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4071"/>
  <w15:chartTrackingRefBased/>
  <w15:docId w15:val="{64690FD0-1081-4AC4-9AA8-28F47D4B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1D6"/>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39249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semiHidden/>
    <w:unhideWhenUsed/>
    <w:qFormat/>
    <w:rsid w:val="0039249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
    </w:rPr>
  </w:style>
  <w:style w:type="paragraph" w:styleId="Ttulo3">
    <w:name w:val="heading 3"/>
    <w:basedOn w:val="Normal"/>
    <w:next w:val="Normal"/>
    <w:link w:val="Ttulo3Car"/>
    <w:uiPriority w:val="9"/>
    <w:unhideWhenUsed/>
    <w:qFormat/>
    <w:rsid w:val="00392495"/>
    <w:pPr>
      <w:keepNext/>
      <w:keepLines/>
      <w:spacing w:before="40" w:line="259" w:lineRule="auto"/>
      <w:outlineLvl w:val="2"/>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249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9249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92495"/>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362A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AE9"/>
    <w:rPr>
      <w:rFonts w:ascii="Segoe UI" w:eastAsia="Times New Roman" w:hAnsi="Segoe UI" w:cs="Segoe UI"/>
      <w:sz w:val="18"/>
      <w:szCs w:val="18"/>
      <w:lang w:val="en-US"/>
    </w:r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qFormat/>
    <w:rPr>
      <w:sz w:val="16"/>
      <w:szCs w:val="16"/>
    </w:rPr>
  </w:style>
  <w:style w:type="paragraph" w:styleId="Sinespaciado">
    <w:name w:val="No Spacing"/>
    <w:link w:val="SinespaciadoCar"/>
    <w:uiPriority w:val="1"/>
    <w:qFormat/>
    <w:rsid w:val="00133641"/>
    <w:pPr>
      <w:spacing w:after="0"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392495"/>
    <w:pPr>
      <w:ind w:left="720"/>
      <w:contextualSpacing/>
    </w:pPr>
  </w:style>
  <w:style w:type="paragraph" w:styleId="NormalWeb">
    <w:name w:val="Normal (Web)"/>
    <w:basedOn w:val="Normal"/>
    <w:link w:val="NormalWebCar"/>
    <w:uiPriority w:val="99"/>
    <w:unhideWhenUsed/>
    <w:rsid w:val="00392495"/>
    <w:pPr>
      <w:spacing w:before="100" w:beforeAutospacing="1" w:after="100" w:afterAutospacing="1"/>
    </w:pPr>
  </w:style>
  <w:style w:type="character" w:customStyle="1" w:styleId="NormalWebCar">
    <w:name w:val="Normal (Web) Car"/>
    <w:basedOn w:val="Fuentedeprrafopredeter"/>
    <w:link w:val="NormalWeb"/>
    <w:uiPriority w:val="99"/>
    <w:rsid w:val="00392495"/>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392495"/>
  </w:style>
  <w:style w:type="paragraph" w:styleId="Asuntodelcomentario">
    <w:name w:val="annotation subject"/>
    <w:basedOn w:val="Textocomentario"/>
    <w:next w:val="Textocomentario"/>
    <w:link w:val="AsuntodelcomentarioCar"/>
    <w:uiPriority w:val="99"/>
    <w:semiHidden/>
    <w:unhideWhenUsed/>
    <w:rsid w:val="00392495"/>
    <w:pPr>
      <w:spacing w:after="160"/>
    </w:pPr>
    <w:rPr>
      <w:rFonts w:asciiTheme="minorHAnsi" w:eastAsia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392495"/>
    <w:rPr>
      <w:rFonts w:ascii="Times New Roman" w:eastAsia="Times New Roman" w:hAnsi="Times New Roman" w:cs="Times New Roman"/>
      <w:b/>
      <w:bCs/>
      <w:sz w:val="20"/>
      <w:szCs w:val="20"/>
      <w:lang w:val="en-US"/>
    </w:rPr>
  </w:style>
  <w:style w:type="character" w:customStyle="1" w:styleId="nowrap">
    <w:name w:val="nowrap"/>
    <w:basedOn w:val="Fuentedeprrafopredeter"/>
    <w:rsid w:val="00392495"/>
  </w:style>
  <w:style w:type="paragraph" w:customStyle="1" w:styleId="xmsonormal">
    <w:name w:val="x_msonormal"/>
    <w:basedOn w:val="Normal"/>
    <w:rsid w:val="00392495"/>
    <w:pPr>
      <w:spacing w:before="100" w:beforeAutospacing="1" w:after="100" w:afterAutospacing="1"/>
    </w:pPr>
    <w:rPr>
      <w:lang w:val="es-ES" w:eastAsia="es-ES"/>
    </w:rPr>
  </w:style>
  <w:style w:type="paragraph" w:styleId="Descripcin">
    <w:name w:val="caption"/>
    <w:basedOn w:val="Normal"/>
    <w:qFormat/>
    <w:rsid w:val="00392495"/>
    <w:pPr>
      <w:suppressLineNumbers/>
      <w:spacing w:before="120" w:after="120" w:line="276" w:lineRule="auto"/>
    </w:pPr>
    <w:rPr>
      <w:rFonts w:asciiTheme="minorHAnsi" w:eastAsiaTheme="minorHAnsi" w:hAnsiTheme="minorHAnsi" w:cs="FreeSans"/>
      <w:i/>
      <w:iCs/>
      <w:color w:val="00000A"/>
      <w:lang w:val="es-ES"/>
    </w:rPr>
  </w:style>
  <w:style w:type="character" w:customStyle="1" w:styleId="s1">
    <w:name w:val="s1"/>
    <w:basedOn w:val="Fuentedeprrafopredeter"/>
    <w:qFormat/>
    <w:rsid w:val="00392495"/>
  </w:style>
  <w:style w:type="character" w:customStyle="1" w:styleId="normaltextrun">
    <w:name w:val="normaltextrun"/>
    <w:basedOn w:val="Fuentedeprrafopredeter"/>
    <w:qFormat/>
    <w:rsid w:val="00392495"/>
  </w:style>
  <w:style w:type="table" w:styleId="Tablaconcuadrcula">
    <w:name w:val="Table Grid"/>
    <w:basedOn w:val="Tablanormal"/>
    <w:uiPriority w:val="39"/>
    <w:rsid w:val="0039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392495"/>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ighlight">
    <w:name w:val="highlight"/>
    <w:basedOn w:val="Fuentedeprrafopredeter"/>
    <w:rsid w:val="00392495"/>
  </w:style>
  <w:style w:type="paragraph" w:styleId="Encabezado">
    <w:name w:val="header"/>
    <w:basedOn w:val="Normal"/>
    <w:link w:val="EncabezadoCar"/>
    <w:uiPriority w:val="99"/>
    <w:unhideWhenUsed/>
    <w:rsid w:val="00392495"/>
    <w:pPr>
      <w:tabs>
        <w:tab w:val="center" w:pos="4252"/>
        <w:tab w:val="right" w:pos="8504"/>
      </w:tabs>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392495"/>
  </w:style>
  <w:style w:type="paragraph" w:styleId="Piedepgina">
    <w:name w:val="footer"/>
    <w:basedOn w:val="Normal"/>
    <w:link w:val="PiedepginaCar"/>
    <w:uiPriority w:val="99"/>
    <w:unhideWhenUsed/>
    <w:rsid w:val="00392495"/>
    <w:pPr>
      <w:tabs>
        <w:tab w:val="center" w:pos="4252"/>
        <w:tab w:val="right" w:pos="8504"/>
      </w:tabs>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392495"/>
  </w:style>
  <w:style w:type="character" w:styleId="Hipervnculo">
    <w:name w:val="Hyperlink"/>
    <w:basedOn w:val="Fuentedeprrafopredeter"/>
    <w:uiPriority w:val="99"/>
    <w:unhideWhenUsed/>
    <w:rsid w:val="001107AE"/>
    <w:rPr>
      <w:color w:val="0563C1" w:themeColor="hyperlink"/>
      <w:u w:val="single"/>
    </w:rPr>
  </w:style>
  <w:style w:type="character" w:styleId="Hipervnculovisitado">
    <w:name w:val="FollowedHyperlink"/>
    <w:basedOn w:val="Fuentedeprrafopredeter"/>
    <w:uiPriority w:val="99"/>
    <w:semiHidden/>
    <w:unhideWhenUsed/>
    <w:rsid w:val="00CE0174"/>
    <w:rPr>
      <w:color w:val="954F72"/>
      <w:u w:val="single"/>
    </w:rPr>
  </w:style>
  <w:style w:type="paragraph" w:customStyle="1" w:styleId="msonormal0">
    <w:name w:val="msonormal"/>
    <w:basedOn w:val="Normal"/>
    <w:rsid w:val="00CE0174"/>
    <w:pPr>
      <w:spacing w:before="100" w:beforeAutospacing="1" w:after="100" w:afterAutospacing="1"/>
    </w:pPr>
    <w:rPr>
      <w:lang w:val="es-ES" w:eastAsia="es-ES"/>
    </w:rPr>
  </w:style>
  <w:style w:type="paragraph" w:customStyle="1" w:styleId="font0">
    <w:name w:val="font0"/>
    <w:basedOn w:val="Normal"/>
    <w:rsid w:val="00CE0174"/>
    <w:pPr>
      <w:spacing w:before="100" w:beforeAutospacing="1" w:after="100" w:afterAutospacing="1"/>
    </w:pPr>
    <w:rPr>
      <w:rFonts w:ascii="Calibri" w:hAnsi="Calibri" w:cs="Calibri"/>
      <w:color w:val="000000"/>
      <w:sz w:val="22"/>
      <w:szCs w:val="22"/>
      <w:lang w:val="es-ES" w:eastAsia="es-ES"/>
    </w:rPr>
  </w:style>
  <w:style w:type="paragraph" w:customStyle="1" w:styleId="font5">
    <w:name w:val="font5"/>
    <w:basedOn w:val="Normal"/>
    <w:rsid w:val="00CE0174"/>
    <w:pPr>
      <w:spacing w:before="100" w:beforeAutospacing="1" w:after="100" w:afterAutospacing="1"/>
    </w:pPr>
    <w:rPr>
      <w:rFonts w:ascii="Calibri" w:hAnsi="Calibri" w:cs="Calibri"/>
      <w:b/>
      <w:bCs/>
      <w:color w:val="000000"/>
      <w:sz w:val="22"/>
      <w:szCs w:val="22"/>
      <w:lang w:val="es-ES" w:eastAsia="es-ES"/>
    </w:rPr>
  </w:style>
  <w:style w:type="paragraph" w:customStyle="1" w:styleId="xl63">
    <w:name w:val="xl63"/>
    <w:basedOn w:val="Normal"/>
    <w:rsid w:val="00CE0174"/>
    <w:pPr>
      <w:pBdr>
        <w:bottom w:val="single" w:sz="4" w:space="0" w:color="auto"/>
      </w:pBdr>
      <w:spacing w:before="100" w:beforeAutospacing="1" w:after="100" w:afterAutospacing="1"/>
      <w:jc w:val="center"/>
      <w:textAlignment w:val="center"/>
    </w:pPr>
    <w:rPr>
      <w:b/>
      <w:bCs/>
      <w:lang w:val="es-ES" w:eastAsia="es-ES"/>
    </w:rPr>
  </w:style>
  <w:style w:type="paragraph" w:customStyle="1" w:styleId="xl64">
    <w:name w:val="xl64"/>
    <w:basedOn w:val="Normal"/>
    <w:rsid w:val="00CE0174"/>
    <w:pPr>
      <w:spacing w:before="100" w:beforeAutospacing="1" w:after="100" w:afterAutospacing="1"/>
      <w:jc w:val="center"/>
      <w:textAlignment w:val="center"/>
    </w:pPr>
    <w:rPr>
      <w:lang w:val="es-ES" w:eastAsia="es-ES"/>
    </w:rPr>
  </w:style>
  <w:style w:type="paragraph" w:customStyle="1" w:styleId="xl65">
    <w:name w:val="xl65"/>
    <w:basedOn w:val="Normal"/>
    <w:rsid w:val="00CE0174"/>
    <w:pPr>
      <w:spacing w:before="100" w:beforeAutospacing="1" w:after="100" w:afterAutospacing="1"/>
      <w:jc w:val="center"/>
      <w:textAlignment w:val="center"/>
    </w:pPr>
    <w:rPr>
      <w:lang w:val="es-ES" w:eastAsia="es-ES"/>
    </w:rPr>
  </w:style>
  <w:style w:type="paragraph" w:customStyle="1" w:styleId="xl66">
    <w:name w:val="xl66"/>
    <w:basedOn w:val="Normal"/>
    <w:rsid w:val="00CE0174"/>
    <w:pPr>
      <w:spacing w:before="100" w:beforeAutospacing="1" w:after="100" w:afterAutospacing="1"/>
      <w:jc w:val="center"/>
    </w:pPr>
    <w:rPr>
      <w:lang w:val="es-ES" w:eastAsia="es-ES"/>
    </w:rPr>
  </w:style>
  <w:style w:type="paragraph" w:customStyle="1" w:styleId="xl67">
    <w:name w:val="xl67"/>
    <w:basedOn w:val="Normal"/>
    <w:rsid w:val="00CE0174"/>
    <w:pPr>
      <w:spacing w:before="100" w:beforeAutospacing="1" w:after="100" w:afterAutospacing="1"/>
      <w:jc w:val="center"/>
    </w:pPr>
    <w:rPr>
      <w:lang w:val="es-ES" w:eastAsia="es-ES"/>
    </w:rPr>
  </w:style>
  <w:style w:type="paragraph" w:customStyle="1" w:styleId="xl68">
    <w:name w:val="xl68"/>
    <w:basedOn w:val="Normal"/>
    <w:rsid w:val="00CE0174"/>
    <w:pPr>
      <w:spacing w:before="100" w:beforeAutospacing="1" w:after="100" w:afterAutospacing="1"/>
      <w:jc w:val="center"/>
      <w:textAlignment w:val="center"/>
    </w:pPr>
    <w:rPr>
      <w:lang w:val="es-ES" w:eastAsia="es-ES"/>
    </w:rPr>
  </w:style>
  <w:style w:type="paragraph" w:customStyle="1" w:styleId="xl69">
    <w:name w:val="xl69"/>
    <w:basedOn w:val="Normal"/>
    <w:rsid w:val="00CE0174"/>
    <w:pPr>
      <w:spacing w:before="100" w:beforeAutospacing="1" w:after="100" w:afterAutospacing="1"/>
      <w:jc w:val="center"/>
    </w:pPr>
    <w:rPr>
      <w:lang w:val="es-ES" w:eastAsia="es-ES"/>
    </w:rPr>
  </w:style>
  <w:style w:type="paragraph" w:customStyle="1" w:styleId="xl70">
    <w:name w:val="xl70"/>
    <w:basedOn w:val="Normal"/>
    <w:rsid w:val="00CE0174"/>
    <w:pPr>
      <w:spacing w:before="100" w:beforeAutospacing="1" w:after="100" w:afterAutospacing="1"/>
      <w:jc w:val="center"/>
      <w:textAlignment w:val="center"/>
    </w:pPr>
    <w:rPr>
      <w:b/>
      <w:bCs/>
      <w:lang w:val="es-ES" w:eastAsia="es-ES"/>
    </w:rPr>
  </w:style>
  <w:style w:type="paragraph" w:customStyle="1" w:styleId="xl71">
    <w:name w:val="xl71"/>
    <w:basedOn w:val="Normal"/>
    <w:rsid w:val="00CE0174"/>
    <w:pPr>
      <w:spacing w:before="100" w:beforeAutospacing="1" w:after="100" w:afterAutospacing="1"/>
      <w:jc w:val="center"/>
      <w:textAlignment w:val="center"/>
    </w:pPr>
    <w:rPr>
      <w:b/>
      <w:bCs/>
      <w:lang w:val="es-ES" w:eastAsia="es-ES"/>
    </w:rPr>
  </w:style>
  <w:style w:type="paragraph" w:customStyle="1" w:styleId="xl72">
    <w:name w:val="xl72"/>
    <w:basedOn w:val="Normal"/>
    <w:rsid w:val="00CE0174"/>
    <w:pPr>
      <w:spacing w:before="100" w:beforeAutospacing="1" w:after="100" w:afterAutospacing="1"/>
      <w:jc w:val="center"/>
    </w:pPr>
    <w:rPr>
      <w:b/>
      <w:bCs/>
      <w:lang w:val="es-ES" w:eastAsia="es-ES"/>
    </w:rPr>
  </w:style>
  <w:style w:type="paragraph" w:customStyle="1" w:styleId="xl73">
    <w:name w:val="xl73"/>
    <w:basedOn w:val="Normal"/>
    <w:rsid w:val="00CE0174"/>
    <w:pPr>
      <w:spacing w:before="100" w:beforeAutospacing="1" w:after="100" w:afterAutospacing="1"/>
      <w:jc w:val="center"/>
    </w:pPr>
    <w:rPr>
      <w:b/>
      <w:bCs/>
      <w:lang w:val="es-ES" w:eastAsia="es-ES"/>
    </w:rPr>
  </w:style>
  <w:style w:type="paragraph" w:customStyle="1" w:styleId="xl74">
    <w:name w:val="xl74"/>
    <w:basedOn w:val="Normal"/>
    <w:rsid w:val="00CE0174"/>
    <w:pPr>
      <w:pBdr>
        <w:bottom w:val="single" w:sz="4" w:space="0" w:color="auto"/>
      </w:pBdr>
      <w:spacing w:before="100" w:beforeAutospacing="1" w:after="100" w:afterAutospacing="1"/>
      <w:jc w:val="center"/>
    </w:pPr>
    <w:rPr>
      <w:lang w:val="es-ES" w:eastAsia="es-ES"/>
    </w:rPr>
  </w:style>
  <w:style w:type="paragraph" w:customStyle="1" w:styleId="xl75">
    <w:name w:val="xl75"/>
    <w:basedOn w:val="Normal"/>
    <w:rsid w:val="00CE0174"/>
    <w:pPr>
      <w:pBdr>
        <w:bottom w:val="single" w:sz="4" w:space="0" w:color="auto"/>
      </w:pBdr>
      <w:spacing w:before="100" w:beforeAutospacing="1" w:after="100" w:afterAutospacing="1"/>
      <w:jc w:val="center"/>
      <w:textAlignment w:val="center"/>
    </w:pPr>
    <w:rPr>
      <w:lang w:val="es-ES" w:eastAsia="es-ES"/>
    </w:rPr>
  </w:style>
  <w:style w:type="paragraph" w:customStyle="1" w:styleId="xl76">
    <w:name w:val="xl76"/>
    <w:basedOn w:val="Normal"/>
    <w:rsid w:val="00CE0174"/>
    <w:pPr>
      <w:pBdr>
        <w:bottom w:val="single" w:sz="4" w:space="0" w:color="auto"/>
      </w:pBdr>
      <w:spacing w:before="100" w:beforeAutospacing="1" w:after="100" w:afterAutospacing="1"/>
      <w:jc w:val="center"/>
    </w:pPr>
    <w:rPr>
      <w:lang w:val="es-ES" w:eastAsia="es-ES"/>
    </w:rPr>
  </w:style>
  <w:style w:type="paragraph" w:customStyle="1" w:styleId="xl77">
    <w:name w:val="xl77"/>
    <w:basedOn w:val="Normal"/>
    <w:rsid w:val="00CE0174"/>
    <w:pPr>
      <w:pBdr>
        <w:top w:val="single" w:sz="4" w:space="0" w:color="auto"/>
        <w:bottom w:val="single" w:sz="4" w:space="0" w:color="auto"/>
      </w:pBdr>
      <w:spacing w:before="100" w:beforeAutospacing="1" w:after="100" w:afterAutospacing="1"/>
    </w:pPr>
    <w:rPr>
      <w:lang w:val="es-ES" w:eastAsia="es-ES"/>
    </w:rPr>
  </w:style>
  <w:style w:type="paragraph" w:customStyle="1" w:styleId="xl78">
    <w:name w:val="xl78"/>
    <w:basedOn w:val="Normal"/>
    <w:rsid w:val="00CE0174"/>
    <w:pPr>
      <w:pBdr>
        <w:top w:val="single" w:sz="4" w:space="0" w:color="auto"/>
        <w:bottom w:val="single" w:sz="4" w:space="0" w:color="auto"/>
      </w:pBdr>
      <w:spacing w:before="100" w:beforeAutospacing="1" w:after="100" w:afterAutospacing="1"/>
    </w:pPr>
    <w:rPr>
      <w:lang w:val="es-ES" w:eastAsia="es-ES"/>
    </w:rPr>
  </w:style>
  <w:style w:type="character" w:customStyle="1" w:styleId="SinespaciadoCar">
    <w:name w:val="Sin espaciado Car"/>
    <w:basedOn w:val="Fuentedeprrafopredeter"/>
    <w:link w:val="Sinespaciado"/>
    <w:uiPriority w:val="1"/>
    <w:rsid w:val="00374598"/>
    <w:rPr>
      <w:rFonts w:ascii="Times New Roman" w:eastAsia="Times New Roman" w:hAnsi="Times New Roman" w:cs="Times New Roman"/>
      <w:sz w:val="24"/>
      <w:szCs w:val="24"/>
      <w:lang w:val="en-US"/>
    </w:rPr>
  </w:style>
  <w:style w:type="paragraph" w:styleId="Revisin">
    <w:name w:val="Revision"/>
    <w:hidden/>
    <w:uiPriority w:val="99"/>
    <w:semiHidden/>
    <w:rsid w:val="004016A6"/>
    <w:pPr>
      <w:spacing w:after="0" w:line="240" w:lineRule="auto"/>
    </w:pPr>
    <w:rPr>
      <w:rFonts w:ascii="Times New Roman" w:eastAsia="Times New Roman"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69164B"/>
    <w:rPr>
      <w:color w:val="605E5C"/>
      <w:shd w:val="clear" w:color="auto" w:fill="E1DFDD"/>
    </w:rPr>
  </w:style>
  <w:style w:type="character" w:customStyle="1" w:styleId="il">
    <w:name w:val="il"/>
    <w:basedOn w:val="Fuentedeprrafopredeter"/>
    <w:rsid w:val="002E7021"/>
  </w:style>
  <w:style w:type="paragraph" w:customStyle="1" w:styleId="Default">
    <w:name w:val="Default"/>
    <w:rsid w:val="00E32C7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448">
      <w:bodyDiv w:val="1"/>
      <w:marLeft w:val="0"/>
      <w:marRight w:val="0"/>
      <w:marTop w:val="0"/>
      <w:marBottom w:val="0"/>
      <w:divBdr>
        <w:top w:val="none" w:sz="0" w:space="0" w:color="auto"/>
        <w:left w:val="none" w:sz="0" w:space="0" w:color="auto"/>
        <w:bottom w:val="none" w:sz="0" w:space="0" w:color="auto"/>
        <w:right w:val="none" w:sz="0" w:space="0" w:color="auto"/>
      </w:divBdr>
      <w:divsChild>
        <w:div w:id="666859665">
          <w:marLeft w:val="0"/>
          <w:marRight w:val="0"/>
          <w:marTop w:val="0"/>
          <w:marBottom w:val="0"/>
          <w:divBdr>
            <w:top w:val="none" w:sz="0" w:space="0" w:color="auto"/>
            <w:left w:val="none" w:sz="0" w:space="0" w:color="auto"/>
            <w:bottom w:val="none" w:sz="0" w:space="0" w:color="auto"/>
            <w:right w:val="none" w:sz="0" w:space="0" w:color="auto"/>
          </w:divBdr>
          <w:divsChild>
            <w:div w:id="298651807">
              <w:marLeft w:val="0"/>
              <w:marRight w:val="0"/>
              <w:marTop w:val="0"/>
              <w:marBottom w:val="0"/>
              <w:divBdr>
                <w:top w:val="none" w:sz="0" w:space="0" w:color="auto"/>
                <w:left w:val="none" w:sz="0" w:space="0" w:color="auto"/>
                <w:bottom w:val="none" w:sz="0" w:space="0" w:color="auto"/>
                <w:right w:val="none" w:sz="0" w:space="0" w:color="auto"/>
              </w:divBdr>
            </w:div>
            <w:div w:id="1109468228">
              <w:marLeft w:val="0"/>
              <w:marRight w:val="0"/>
              <w:marTop w:val="0"/>
              <w:marBottom w:val="0"/>
              <w:divBdr>
                <w:top w:val="none" w:sz="0" w:space="0" w:color="auto"/>
                <w:left w:val="none" w:sz="0" w:space="0" w:color="auto"/>
                <w:bottom w:val="none" w:sz="0" w:space="0" w:color="auto"/>
                <w:right w:val="none" w:sz="0" w:space="0" w:color="auto"/>
              </w:divBdr>
            </w:div>
            <w:div w:id="1720934837">
              <w:marLeft w:val="0"/>
              <w:marRight w:val="0"/>
              <w:marTop w:val="0"/>
              <w:marBottom w:val="0"/>
              <w:divBdr>
                <w:top w:val="none" w:sz="0" w:space="0" w:color="auto"/>
                <w:left w:val="none" w:sz="0" w:space="0" w:color="auto"/>
                <w:bottom w:val="none" w:sz="0" w:space="0" w:color="auto"/>
                <w:right w:val="none" w:sz="0" w:space="0" w:color="auto"/>
              </w:divBdr>
            </w:div>
            <w:div w:id="1887063200">
              <w:marLeft w:val="0"/>
              <w:marRight w:val="0"/>
              <w:marTop w:val="0"/>
              <w:marBottom w:val="0"/>
              <w:divBdr>
                <w:top w:val="none" w:sz="0" w:space="0" w:color="auto"/>
                <w:left w:val="none" w:sz="0" w:space="0" w:color="auto"/>
                <w:bottom w:val="none" w:sz="0" w:space="0" w:color="auto"/>
                <w:right w:val="none" w:sz="0" w:space="0" w:color="auto"/>
              </w:divBdr>
            </w:div>
          </w:divsChild>
        </w:div>
        <w:div w:id="1368606234">
          <w:marLeft w:val="0"/>
          <w:marRight w:val="0"/>
          <w:marTop w:val="0"/>
          <w:marBottom w:val="0"/>
          <w:divBdr>
            <w:top w:val="none" w:sz="0" w:space="0" w:color="auto"/>
            <w:left w:val="none" w:sz="0" w:space="0" w:color="auto"/>
            <w:bottom w:val="none" w:sz="0" w:space="0" w:color="auto"/>
            <w:right w:val="none" w:sz="0" w:space="0" w:color="auto"/>
          </w:divBdr>
          <w:divsChild>
            <w:div w:id="211423422">
              <w:marLeft w:val="0"/>
              <w:marRight w:val="0"/>
              <w:marTop w:val="0"/>
              <w:marBottom w:val="0"/>
              <w:divBdr>
                <w:top w:val="none" w:sz="0" w:space="0" w:color="auto"/>
                <w:left w:val="none" w:sz="0" w:space="0" w:color="auto"/>
                <w:bottom w:val="none" w:sz="0" w:space="0" w:color="auto"/>
                <w:right w:val="none" w:sz="0" w:space="0" w:color="auto"/>
              </w:divBdr>
            </w:div>
            <w:div w:id="1252668138">
              <w:marLeft w:val="0"/>
              <w:marRight w:val="0"/>
              <w:marTop w:val="0"/>
              <w:marBottom w:val="0"/>
              <w:divBdr>
                <w:top w:val="none" w:sz="0" w:space="0" w:color="auto"/>
                <w:left w:val="none" w:sz="0" w:space="0" w:color="auto"/>
                <w:bottom w:val="none" w:sz="0" w:space="0" w:color="auto"/>
                <w:right w:val="none" w:sz="0" w:space="0" w:color="auto"/>
              </w:divBdr>
            </w:div>
          </w:divsChild>
        </w:div>
        <w:div w:id="1674725977">
          <w:marLeft w:val="0"/>
          <w:marRight w:val="0"/>
          <w:marTop w:val="0"/>
          <w:marBottom w:val="0"/>
          <w:divBdr>
            <w:top w:val="none" w:sz="0" w:space="0" w:color="auto"/>
            <w:left w:val="none" w:sz="0" w:space="0" w:color="auto"/>
            <w:bottom w:val="none" w:sz="0" w:space="0" w:color="auto"/>
            <w:right w:val="none" w:sz="0" w:space="0" w:color="auto"/>
          </w:divBdr>
        </w:div>
        <w:div w:id="1240168743">
          <w:marLeft w:val="0"/>
          <w:marRight w:val="0"/>
          <w:marTop w:val="0"/>
          <w:marBottom w:val="0"/>
          <w:divBdr>
            <w:top w:val="none" w:sz="0" w:space="0" w:color="auto"/>
            <w:left w:val="none" w:sz="0" w:space="0" w:color="auto"/>
            <w:bottom w:val="none" w:sz="0" w:space="0" w:color="auto"/>
            <w:right w:val="none" w:sz="0" w:space="0" w:color="auto"/>
          </w:divBdr>
        </w:div>
      </w:divsChild>
    </w:div>
    <w:div w:id="121726480">
      <w:bodyDiv w:val="1"/>
      <w:marLeft w:val="0"/>
      <w:marRight w:val="0"/>
      <w:marTop w:val="0"/>
      <w:marBottom w:val="0"/>
      <w:divBdr>
        <w:top w:val="none" w:sz="0" w:space="0" w:color="auto"/>
        <w:left w:val="none" w:sz="0" w:space="0" w:color="auto"/>
        <w:bottom w:val="none" w:sz="0" w:space="0" w:color="auto"/>
        <w:right w:val="none" w:sz="0" w:space="0" w:color="auto"/>
      </w:divBdr>
      <w:divsChild>
        <w:div w:id="414129681">
          <w:marLeft w:val="0"/>
          <w:marRight w:val="0"/>
          <w:marTop w:val="0"/>
          <w:marBottom w:val="0"/>
          <w:divBdr>
            <w:top w:val="none" w:sz="0" w:space="0" w:color="auto"/>
            <w:left w:val="none" w:sz="0" w:space="0" w:color="auto"/>
            <w:bottom w:val="none" w:sz="0" w:space="0" w:color="auto"/>
            <w:right w:val="none" w:sz="0" w:space="0" w:color="auto"/>
          </w:divBdr>
        </w:div>
      </w:divsChild>
    </w:div>
    <w:div w:id="142553006">
      <w:bodyDiv w:val="1"/>
      <w:marLeft w:val="0"/>
      <w:marRight w:val="0"/>
      <w:marTop w:val="0"/>
      <w:marBottom w:val="0"/>
      <w:divBdr>
        <w:top w:val="none" w:sz="0" w:space="0" w:color="auto"/>
        <w:left w:val="none" w:sz="0" w:space="0" w:color="auto"/>
        <w:bottom w:val="none" w:sz="0" w:space="0" w:color="auto"/>
        <w:right w:val="none" w:sz="0" w:space="0" w:color="auto"/>
      </w:divBdr>
    </w:div>
    <w:div w:id="247691887">
      <w:bodyDiv w:val="1"/>
      <w:marLeft w:val="0"/>
      <w:marRight w:val="0"/>
      <w:marTop w:val="0"/>
      <w:marBottom w:val="0"/>
      <w:divBdr>
        <w:top w:val="none" w:sz="0" w:space="0" w:color="auto"/>
        <w:left w:val="none" w:sz="0" w:space="0" w:color="auto"/>
        <w:bottom w:val="none" w:sz="0" w:space="0" w:color="auto"/>
        <w:right w:val="none" w:sz="0" w:space="0" w:color="auto"/>
      </w:divBdr>
    </w:div>
    <w:div w:id="278681174">
      <w:bodyDiv w:val="1"/>
      <w:marLeft w:val="0"/>
      <w:marRight w:val="0"/>
      <w:marTop w:val="0"/>
      <w:marBottom w:val="0"/>
      <w:divBdr>
        <w:top w:val="none" w:sz="0" w:space="0" w:color="auto"/>
        <w:left w:val="none" w:sz="0" w:space="0" w:color="auto"/>
        <w:bottom w:val="none" w:sz="0" w:space="0" w:color="auto"/>
        <w:right w:val="none" w:sz="0" w:space="0" w:color="auto"/>
      </w:divBdr>
    </w:div>
    <w:div w:id="375588958">
      <w:bodyDiv w:val="1"/>
      <w:marLeft w:val="0"/>
      <w:marRight w:val="0"/>
      <w:marTop w:val="0"/>
      <w:marBottom w:val="0"/>
      <w:divBdr>
        <w:top w:val="none" w:sz="0" w:space="0" w:color="auto"/>
        <w:left w:val="none" w:sz="0" w:space="0" w:color="auto"/>
        <w:bottom w:val="none" w:sz="0" w:space="0" w:color="auto"/>
        <w:right w:val="none" w:sz="0" w:space="0" w:color="auto"/>
      </w:divBdr>
      <w:divsChild>
        <w:div w:id="1831366194">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
            <w:div w:id="1946188404">
              <w:marLeft w:val="0"/>
              <w:marRight w:val="0"/>
              <w:marTop w:val="0"/>
              <w:marBottom w:val="0"/>
              <w:divBdr>
                <w:top w:val="none" w:sz="0" w:space="0" w:color="auto"/>
                <w:left w:val="none" w:sz="0" w:space="0" w:color="auto"/>
                <w:bottom w:val="none" w:sz="0" w:space="0" w:color="auto"/>
                <w:right w:val="none" w:sz="0" w:space="0" w:color="auto"/>
              </w:divBdr>
            </w:div>
          </w:divsChild>
        </w:div>
        <w:div w:id="1458599778">
          <w:marLeft w:val="0"/>
          <w:marRight w:val="0"/>
          <w:marTop w:val="0"/>
          <w:marBottom w:val="0"/>
          <w:divBdr>
            <w:top w:val="none" w:sz="0" w:space="0" w:color="auto"/>
            <w:left w:val="none" w:sz="0" w:space="0" w:color="auto"/>
            <w:bottom w:val="none" w:sz="0" w:space="0" w:color="auto"/>
            <w:right w:val="none" w:sz="0" w:space="0" w:color="auto"/>
          </w:divBdr>
          <w:divsChild>
            <w:div w:id="783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1505">
      <w:bodyDiv w:val="1"/>
      <w:marLeft w:val="0"/>
      <w:marRight w:val="0"/>
      <w:marTop w:val="0"/>
      <w:marBottom w:val="0"/>
      <w:divBdr>
        <w:top w:val="none" w:sz="0" w:space="0" w:color="auto"/>
        <w:left w:val="none" w:sz="0" w:space="0" w:color="auto"/>
        <w:bottom w:val="none" w:sz="0" w:space="0" w:color="auto"/>
        <w:right w:val="none" w:sz="0" w:space="0" w:color="auto"/>
      </w:divBdr>
    </w:div>
    <w:div w:id="498932204">
      <w:bodyDiv w:val="1"/>
      <w:marLeft w:val="0"/>
      <w:marRight w:val="0"/>
      <w:marTop w:val="0"/>
      <w:marBottom w:val="0"/>
      <w:divBdr>
        <w:top w:val="none" w:sz="0" w:space="0" w:color="auto"/>
        <w:left w:val="none" w:sz="0" w:space="0" w:color="auto"/>
        <w:bottom w:val="none" w:sz="0" w:space="0" w:color="auto"/>
        <w:right w:val="none" w:sz="0" w:space="0" w:color="auto"/>
      </w:divBdr>
    </w:div>
    <w:div w:id="708142452">
      <w:bodyDiv w:val="1"/>
      <w:marLeft w:val="0"/>
      <w:marRight w:val="0"/>
      <w:marTop w:val="0"/>
      <w:marBottom w:val="0"/>
      <w:divBdr>
        <w:top w:val="none" w:sz="0" w:space="0" w:color="auto"/>
        <w:left w:val="none" w:sz="0" w:space="0" w:color="auto"/>
        <w:bottom w:val="none" w:sz="0" w:space="0" w:color="auto"/>
        <w:right w:val="none" w:sz="0" w:space="0" w:color="auto"/>
      </w:divBdr>
    </w:div>
    <w:div w:id="745761060">
      <w:bodyDiv w:val="1"/>
      <w:marLeft w:val="0"/>
      <w:marRight w:val="0"/>
      <w:marTop w:val="0"/>
      <w:marBottom w:val="0"/>
      <w:divBdr>
        <w:top w:val="none" w:sz="0" w:space="0" w:color="auto"/>
        <w:left w:val="none" w:sz="0" w:space="0" w:color="auto"/>
        <w:bottom w:val="none" w:sz="0" w:space="0" w:color="auto"/>
        <w:right w:val="none" w:sz="0" w:space="0" w:color="auto"/>
      </w:divBdr>
    </w:div>
    <w:div w:id="759104854">
      <w:bodyDiv w:val="1"/>
      <w:marLeft w:val="0"/>
      <w:marRight w:val="0"/>
      <w:marTop w:val="0"/>
      <w:marBottom w:val="0"/>
      <w:divBdr>
        <w:top w:val="none" w:sz="0" w:space="0" w:color="auto"/>
        <w:left w:val="none" w:sz="0" w:space="0" w:color="auto"/>
        <w:bottom w:val="none" w:sz="0" w:space="0" w:color="auto"/>
        <w:right w:val="none" w:sz="0" w:space="0" w:color="auto"/>
      </w:divBdr>
    </w:div>
    <w:div w:id="773331448">
      <w:bodyDiv w:val="1"/>
      <w:marLeft w:val="0"/>
      <w:marRight w:val="0"/>
      <w:marTop w:val="0"/>
      <w:marBottom w:val="0"/>
      <w:divBdr>
        <w:top w:val="none" w:sz="0" w:space="0" w:color="auto"/>
        <w:left w:val="none" w:sz="0" w:space="0" w:color="auto"/>
        <w:bottom w:val="none" w:sz="0" w:space="0" w:color="auto"/>
        <w:right w:val="none" w:sz="0" w:space="0" w:color="auto"/>
      </w:divBdr>
    </w:div>
    <w:div w:id="786583565">
      <w:bodyDiv w:val="1"/>
      <w:marLeft w:val="0"/>
      <w:marRight w:val="0"/>
      <w:marTop w:val="0"/>
      <w:marBottom w:val="0"/>
      <w:divBdr>
        <w:top w:val="none" w:sz="0" w:space="0" w:color="auto"/>
        <w:left w:val="none" w:sz="0" w:space="0" w:color="auto"/>
        <w:bottom w:val="none" w:sz="0" w:space="0" w:color="auto"/>
        <w:right w:val="none" w:sz="0" w:space="0" w:color="auto"/>
      </w:divBdr>
    </w:div>
    <w:div w:id="828138712">
      <w:bodyDiv w:val="1"/>
      <w:marLeft w:val="0"/>
      <w:marRight w:val="0"/>
      <w:marTop w:val="0"/>
      <w:marBottom w:val="0"/>
      <w:divBdr>
        <w:top w:val="none" w:sz="0" w:space="0" w:color="auto"/>
        <w:left w:val="none" w:sz="0" w:space="0" w:color="auto"/>
        <w:bottom w:val="none" w:sz="0" w:space="0" w:color="auto"/>
        <w:right w:val="none" w:sz="0" w:space="0" w:color="auto"/>
      </w:divBdr>
    </w:div>
    <w:div w:id="857699645">
      <w:bodyDiv w:val="1"/>
      <w:marLeft w:val="0"/>
      <w:marRight w:val="0"/>
      <w:marTop w:val="0"/>
      <w:marBottom w:val="0"/>
      <w:divBdr>
        <w:top w:val="none" w:sz="0" w:space="0" w:color="auto"/>
        <w:left w:val="none" w:sz="0" w:space="0" w:color="auto"/>
        <w:bottom w:val="none" w:sz="0" w:space="0" w:color="auto"/>
        <w:right w:val="none" w:sz="0" w:space="0" w:color="auto"/>
      </w:divBdr>
    </w:div>
    <w:div w:id="911743281">
      <w:bodyDiv w:val="1"/>
      <w:marLeft w:val="0"/>
      <w:marRight w:val="0"/>
      <w:marTop w:val="0"/>
      <w:marBottom w:val="0"/>
      <w:divBdr>
        <w:top w:val="none" w:sz="0" w:space="0" w:color="auto"/>
        <w:left w:val="none" w:sz="0" w:space="0" w:color="auto"/>
        <w:bottom w:val="none" w:sz="0" w:space="0" w:color="auto"/>
        <w:right w:val="none" w:sz="0" w:space="0" w:color="auto"/>
      </w:divBdr>
    </w:div>
    <w:div w:id="916208709">
      <w:bodyDiv w:val="1"/>
      <w:marLeft w:val="0"/>
      <w:marRight w:val="0"/>
      <w:marTop w:val="0"/>
      <w:marBottom w:val="0"/>
      <w:divBdr>
        <w:top w:val="none" w:sz="0" w:space="0" w:color="auto"/>
        <w:left w:val="none" w:sz="0" w:space="0" w:color="auto"/>
        <w:bottom w:val="none" w:sz="0" w:space="0" w:color="auto"/>
        <w:right w:val="none" w:sz="0" w:space="0" w:color="auto"/>
      </w:divBdr>
    </w:div>
    <w:div w:id="936792161">
      <w:bodyDiv w:val="1"/>
      <w:marLeft w:val="0"/>
      <w:marRight w:val="0"/>
      <w:marTop w:val="0"/>
      <w:marBottom w:val="0"/>
      <w:divBdr>
        <w:top w:val="none" w:sz="0" w:space="0" w:color="auto"/>
        <w:left w:val="none" w:sz="0" w:space="0" w:color="auto"/>
        <w:bottom w:val="none" w:sz="0" w:space="0" w:color="auto"/>
        <w:right w:val="none" w:sz="0" w:space="0" w:color="auto"/>
      </w:divBdr>
    </w:div>
    <w:div w:id="955529530">
      <w:bodyDiv w:val="1"/>
      <w:marLeft w:val="0"/>
      <w:marRight w:val="0"/>
      <w:marTop w:val="0"/>
      <w:marBottom w:val="0"/>
      <w:divBdr>
        <w:top w:val="none" w:sz="0" w:space="0" w:color="auto"/>
        <w:left w:val="none" w:sz="0" w:space="0" w:color="auto"/>
        <w:bottom w:val="none" w:sz="0" w:space="0" w:color="auto"/>
        <w:right w:val="none" w:sz="0" w:space="0" w:color="auto"/>
      </w:divBdr>
    </w:div>
    <w:div w:id="996878993">
      <w:bodyDiv w:val="1"/>
      <w:marLeft w:val="0"/>
      <w:marRight w:val="0"/>
      <w:marTop w:val="0"/>
      <w:marBottom w:val="0"/>
      <w:divBdr>
        <w:top w:val="none" w:sz="0" w:space="0" w:color="auto"/>
        <w:left w:val="none" w:sz="0" w:space="0" w:color="auto"/>
        <w:bottom w:val="none" w:sz="0" w:space="0" w:color="auto"/>
        <w:right w:val="none" w:sz="0" w:space="0" w:color="auto"/>
      </w:divBdr>
    </w:div>
    <w:div w:id="1030643717">
      <w:bodyDiv w:val="1"/>
      <w:marLeft w:val="0"/>
      <w:marRight w:val="0"/>
      <w:marTop w:val="0"/>
      <w:marBottom w:val="0"/>
      <w:divBdr>
        <w:top w:val="none" w:sz="0" w:space="0" w:color="auto"/>
        <w:left w:val="none" w:sz="0" w:space="0" w:color="auto"/>
        <w:bottom w:val="none" w:sz="0" w:space="0" w:color="auto"/>
        <w:right w:val="none" w:sz="0" w:space="0" w:color="auto"/>
      </w:divBdr>
    </w:div>
    <w:div w:id="1097864732">
      <w:bodyDiv w:val="1"/>
      <w:marLeft w:val="0"/>
      <w:marRight w:val="0"/>
      <w:marTop w:val="0"/>
      <w:marBottom w:val="0"/>
      <w:divBdr>
        <w:top w:val="none" w:sz="0" w:space="0" w:color="auto"/>
        <w:left w:val="none" w:sz="0" w:space="0" w:color="auto"/>
        <w:bottom w:val="none" w:sz="0" w:space="0" w:color="auto"/>
        <w:right w:val="none" w:sz="0" w:space="0" w:color="auto"/>
      </w:divBdr>
    </w:div>
    <w:div w:id="1168791037">
      <w:bodyDiv w:val="1"/>
      <w:marLeft w:val="0"/>
      <w:marRight w:val="0"/>
      <w:marTop w:val="0"/>
      <w:marBottom w:val="0"/>
      <w:divBdr>
        <w:top w:val="none" w:sz="0" w:space="0" w:color="auto"/>
        <w:left w:val="none" w:sz="0" w:space="0" w:color="auto"/>
        <w:bottom w:val="none" w:sz="0" w:space="0" w:color="auto"/>
        <w:right w:val="none" w:sz="0" w:space="0" w:color="auto"/>
      </w:divBdr>
    </w:div>
    <w:div w:id="1282304772">
      <w:bodyDiv w:val="1"/>
      <w:marLeft w:val="0"/>
      <w:marRight w:val="0"/>
      <w:marTop w:val="0"/>
      <w:marBottom w:val="0"/>
      <w:divBdr>
        <w:top w:val="none" w:sz="0" w:space="0" w:color="auto"/>
        <w:left w:val="none" w:sz="0" w:space="0" w:color="auto"/>
        <w:bottom w:val="none" w:sz="0" w:space="0" w:color="auto"/>
        <w:right w:val="none" w:sz="0" w:space="0" w:color="auto"/>
      </w:divBdr>
    </w:div>
    <w:div w:id="1343123600">
      <w:bodyDiv w:val="1"/>
      <w:marLeft w:val="0"/>
      <w:marRight w:val="0"/>
      <w:marTop w:val="0"/>
      <w:marBottom w:val="0"/>
      <w:divBdr>
        <w:top w:val="none" w:sz="0" w:space="0" w:color="auto"/>
        <w:left w:val="none" w:sz="0" w:space="0" w:color="auto"/>
        <w:bottom w:val="none" w:sz="0" w:space="0" w:color="auto"/>
        <w:right w:val="none" w:sz="0" w:space="0" w:color="auto"/>
      </w:divBdr>
    </w:div>
    <w:div w:id="1456144463">
      <w:bodyDiv w:val="1"/>
      <w:marLeft w:val="0"/>
      <w:marRight w:val="0"/>
      <w:marTop w:val="0"/>
      <w:marBottom w:val="0"/>
      <w:divBdr>
        <w:top w:val="none" w:sz="0" w:space="0" w:color="auto"/>
        <w:left w:val="none" w:sz="0" w:space="0" w:color="auto"/>
        <w:bottom w:val="none" w:sz="0" w:space="0" w:color="auto"/>
        <w:right w:val="none" w:sz="0" w:space="0" w:color="auto"/>
      </w:divBdr>
    </w:div>
    <w:div w:id="1474445660">
      <w:bodyDiv w:val="1"/>
      <w:marLeft w:val="0"/>
      <w:marRight w:val="0"/>
      <w:marTop w:val="0"/>
      <w:marBottom w:val="0"/>
      <w:divBdr>
        <w:top w:val="none" w:sz="0" w:space="0" w:color="auto"/>
        <w:left w:val="none" w:sz="0" w:space="0" w:color="auto"/>
        <w:bottom w:val="none" w:sz="0" w:space="0" w:color="auto"/>
        <w:right w:val="none" w:sz="0" w:space="0" w:color="auto"/>
      </w:divBdr>
    </w:div>
    <w:div w:id="1548176429">
      <w:bodyDiv w:val="1"/>
      <w:marLeft w:val="0"/>
      <w:marRight w:val="0"/>
      <w:marTop w:val="0"/>
      <w:marBottom w:val="0"/>
      <w:divBdr>
        <w:top w:val="none" w:sz="0" w:space="0" w:color="auto"/>
        <w:left w:val="none" w:sz="0" w:space="0" w:color="auto"/>
        <w:bottom w:val="none" w:sz="0" w:space="0" w:color="auto"/>
        <w:right w:val="none" w:sz="0" w:space="0" w:color="auto"/>
      </w:divBdr>
    </w:div>
    <w:div w:id="1550217781">
      <w:bodyDiv w:val="1"/>
      <w:marLeft w:val="0"/>
      <w:marRight w:val="0"/>
      <w:marTop w:val="0"/>
      <w:marBottom w:val="0"/>
      <w:divBdr>
        <w:top w:val="none" w:sz="0" w:space="0" w:color="auto"/>
        <w:left w:val="none" w:sz="0" w:space="0" w:color="auto"/>
        <w:bottom w:val="none" w:sz="0" w:space="0" w:color="auto"/>
        <w:right w:val="none" w:sz="0" w:space="0" w:color="auto"/>
      </w:divBdr>
    </w:div>
    <w:div w:id="1590390601">
      <w:bodyDiv w:val="1"/>
      <w:marLeft w:val="0"/>
      <w:marRight w:val="0"/>
      <w:marTop w:val="0"/>
      <w:marBottom w:val="0"/>
      <w:divBdr>
        <w:top w:val="none" w:sz="0" w:space="0" w:color="auto"/>
        <w:left w:val="none" w:sz="0" w:space="0" w:color="auto"/>
        <w:bottom w:val="none" w:sz="0" w:space="0" w:color="auto"/>
        <w:right w:val="none" w:sz="0" w:space="0" w:color="auto"/>
      </w:divBdr>
    </w:div>
    <w:div w:id="1616250545">
      <w:bodyDiv w:val="1"/>
      <w:marLeft w:val="0"/>
      <w:marRight w:val="0"/>
      <w:marTop w:val="0"/>
      <w:marBottom w:val="0"/>
      <w:divBdr>
        <w:top w:val="none" w:sz="0" w:space="0" w:color="auto"/>
        <w:left w:val="none" w:sz="0" w:space="0" w:color="auto"/>
        <w:bottom w:val="none" w:sz="0" w:space="0" w:color="auto"/>
        <w:right w:val="none" w:sz="0" w:space="0" w:color="auto"/>
      </w:divBdr>
    </w:div>
    <w:div w:id="1624576700">
      <w:bodyDiv w:val="1"/>
      <w:marLeft w:val="0"/>
      <w:marRight w:val="0"/>
      <w:marTop w:val="0"/>
      <w:marBottom w:val="0"/>
      <w:divBdr>
        <w:top w:val="none" w:sz="0" w:space="0" w:color="auto"/>
        <w:left w:val="none" w:sz="0" w:space="0" w:color="auto"/>
        <w:bottom w:val="none" w:sz="0" w:space="0" w:color="auto"/>
        <w:right w:val="none" w:sz="0" w:space="0" w:color="auto"/>
      </w:divBdr>
    </w:div>
    <w:div w:id="1646617274">
      <w:bodyDiv w:val="1"/>
      <w:marLeft w:val="0"/>
      <w:marRight w:val="0"/>
      <w:marTop w:val="0"/>
      <w:marBottom w:val="0"/>
      <w:divBdr>
        <w:top w:val="none" w:sz="0" w:space="0" w:color="auto"/>
        <w:left w:val="none" w:sz="0" w:space="0" w:color="auto"/>
        <w:bottom w:val="none" w:sz="0" w:space="0" w:color="auto"/>
        <w:right w:val="none" w:sz="0" w:space="0" w:color="auto"/>
      </w:divBdr>
    </w:div>
    <w:div w:id="1671520857">
      <w:bodyDiv w:val="1"/>
      <w:marLeft w:val="0"/>
      <w:marRight w:val="0"/>
      <w:marTop w:val="0"/>
      <w:marBottom w:val="0"/>
      <w:divBdr>
        <w:top w:val="none" w:sz="0" w:space="0" w:color="auto"/>
        <w:left w:val="none" w:sz="0" w:space="0" w:color="auto"/>
        <w:bottom w:val="none" w:sz="0" w:space="0" w:color="auto"/>
        <w:right w:val="none" w:sz="0" w:space="0" w:color="auto"/>
      </w:divBdr>
    </w:div>
    <w:div w:id="1739554364">
      <w:bodyDiv w:val="1"/>
      <w:marLeft w:val="0"/>
      <w:marRight w:val="0"/>
      <w:marTop w:val="0"/>
      <w:marBottom w:val="0"/>
      <w:divBdr>
        <w:top w:val="none" w:sz="0" w:space="0" w:color="auto"/>
        <w:left w:val="none" w:sz="0" w:space="0" w:color="auto"/>
        <w:bottom w:val="none" w:sz="0" w:space="0" w:color="auto"/>
        <w:right w:val="none" w:sz="0" w:space="0" w:color="auto"/>
      </w:divBdr>
    </w:div>
    <w:div w:id="1794253853">
      <w:bodyDiv w:val="1"/>
      <w:marLeft w:val="0"/>
      <w:marRight w:val="0"/>
      <w:marTop w:val="0"/>
      <w:marBottom w:val="0"/>
      <w:divBdr>
        <w:top w:val="none" w:sz="0" w:space="0" w:color="auto"/>
        <w:left w:val="none" w:sz="0" w:space="0" w:color="auto"/>
        <w:bottom w:val="none" w:sz="0" w:space="0" w:color="auto"/>
        <w:right w:val="none" w:sz="0" w:space="0" w:color="auto"/>
      </w:divBdr>
    </w:div>
    <w:div w:id="1813478001">
      <w:bodyDiv w:val="1"/>
      <w:marLeft w:val="0"/>
      <w:marRight w:val="0"/>
      <w:marTop w:val="0"/>
      <w:marBottom w:val="0"/>
      <w:divBdr>
        <w:top w:val="none" w:sz="0" w:space="0" w:color="auto"/>
        <w:left w:val="none" w:sz="0" w:space="0" w:color="auto"/>
        <w:bottom w:val="none" w:sz="0" w:space="0" w:color="auto"/>
        <w:right w:val="none" w:sz="0" w:space="0" w:color="auto"/>
      </w:divBdr>
    </w:div>
    <w:div w:id="1840659989">
      <w:bodyDiv w:val="1"/>
      <w:marLeft w:val="0"/>
      <w:marRight w:val="0"/>
      <w:marTop w:val="0"/>
      <w:marBottom w:val="0"/>
      <w:divBdr>
        <w:top w:val="none" w:sz="0" w:space="0" w:color="auto"/>
        <w:left w:val="none" w:sz="0" w:space="0" w:color="auto"/>
        <w:bottom w:val="none" w:sz="0" w:space="0" w:color="auto"/>
        <w:right w:val="none" w:sz="0" w:space="0" w:color="auto"/>
      </w:divBdr>
    </w:div>
    <w:div w:id="1922643829">
      <w:bodyDiv w:val="1"/>
      <w:marLeft w:val="0"/>
      <w:marRight w:val="0"/>
      <w:marTop w:val="0"/>
      <w:marBottom w:val="0"/>
      <w:divBdr>
        <w:top w:val="none" w:sz="0" w:space="0" w:color="auto"/>
        <w:left w:val="none" w:sz="0" w:space="0" w:color="auto"/>
        <w:bottom w:val="none" w:sz="0" w:space="0" w:color="auto"/>
        <w:right w:val="none" w:sz="0" w:space="0" w:color="auto"/>
      </w:divBdr>
    </w:div>
    <w:div w:id="2057393464">
      <w:bodyDiv w:val="1"/>
      <w:marLeft w:val="0"/>
      <w:marRight w:val="0"/>
      <w:marTop w:val="0"/>
      <w:marBottom w:val="0"/>
      <w:divBdr>
        <w:top w:val="none" w:sz="0" w:space="0" w:color="auto"/>
        <w:left w:val="none" w:sz="0" w:space="0" w:color="auto"/>
        <w:bottom w:val="none" w:sz="0" w:space="0" w:color="auto"/>
        <w:right w:val="none" w:sz="0" w:space="0" w:color="auto"/>
      </w:divBdr>
      <w:divsChild>
        <w:div w:id="1268122345">
          <w:marLeft w:val="0"/>
          <w:marRight w:val="0"/>
          <w:marTop w:val="0"/>
          <w:marBottom w:val="0"/>
          <w:divBdr>
            <w:top w:val="none" w:sz="0" w:space="0" w:color="auto"/>
            <w:left w:val="none" w:sz="0" w:space="0" w:color="auto"/>
            <w:bottom w:val="none" w:sz="0" w:space="0" w:color="auto"/>
            <w:right w:val="none" w:sz="0" w:space="0" w:color="auto"/>
          </w:divBdr>
        </w:div>
        <w:div w:id="703791957">
          <w:marLeft w:val="0"/>
          <w:marRight w:val="0"/>
          <w:marTop w:val="0"/>
          <w:marBottom w:val="0"/>
          <w:divBdr>
            <w:top w:val="none" w:sz="0" w:space="0" w:color="auto"/>
            <w:left w:val="none" w:sz="0" w:space="0" w:color="auto"/>
            <w:bottom w:val="none" w:sz="0" w:space="0" w:color="auto"/>
            <w:right w:val="none" w:sz="0" w:space="0" w:color="auto"/>
          </w:divBdr>
        </w:div>
        <w:div w:id="1766996269">
          <w:marLeft w:val="0"/>
          <w:marRight w:val="0"/>
          <w:marTop w:val="0"/>
          <w:marBottom w:val="0"/>
          <w:divBdr>
            <w:top w:val="none" w:sz="0" w:space="0" w:color="auto"/>
            <w:left w:val="none" w:sz="0" w:space="0" w:color="auto"/>
            <w:bottom w:val="none" w:sz="0" w:space="0" w:color="auto"/>
            <w:right w:val="none" w:sz="0" w:space="0" w:color="auto"/>
          </w:divBdr>
        </w:div>
        <w:div w:id="329993353">
          <w:marLeft w:val="0"/>
          <w:marRight w:val="0"/>
          <w:marTop w:val="0"/>
          <w:marBottom w:val="0"/>
          <w:divBdr>
            <w:top w:val="none" w:sz="0" w:space="0" w:color="auto"/>
            <w:left w:val="none" w:sz="0" w:space="0" w:color="auto"/>
            <w:bottom w:val="none" w:sz="0" w:space="0" w:color="auto"/>
            <w:right w:val="none" w:sz="0" w:space="0" w:color="auto"/>
          </w:divBdr>
        </w:div>
        <w:div w:id="950472855">
          <w:marLeft w:val="0"/>
          <w:marRight w:val="0"/>
          <w:marTop w:val="0"/>
          <w:marBottom w:val="0"/>
          <w:divBdr>
            <w:top w:val="none" w:sz="0" w:space="0" w:color="auto"/>
            <w:left w:val="none" w:sz="0" w:space="0" w:color="auto"/>
            <w:bottom w:val="none" w:sz="0" w:space="0" w:color="auto"/>
            <w:right w:val="none" w:sz="0" w:space="0" w:color="auto"/>
          </w:divBdr>
        </w:div>
        <w:div w:id="653607480">
          <w:marLeft w:val="0"/>
          <w:marRight w:val="0"/>
          <w:marTop w:val="0"/>
          <w:marBottom w:val="0"/>
          <w:divBdr>
            <w:top w:val="none" w:sz="0" w:space="0" w:color="auto"/>
            <w:left w:val="none" w:sz="0" w:space="0" w:color="auto"/>
            <w:bottom w:val="none" w:sz="0" w:space="0" w:color="auto"/>
            <w:right w:val="none" w:sz="0" w:space="0" w:color="auto"/>
          </w:divBdr>
          <w:divsChild>
            <w:div w:id="1819803818">
              <w:marLeft w:val="0"/>
              <w:marRight w:val="0"/>
              <w:marTop w:val="0"/>
              <w:marBottom w:val="0"/>
              <w:divBdr>
                <w:top w:val="none" w:sz="0" w:space="0" w:color="auto"/>
                <w:left w:val="none" w:sz="0" w:space="0" w:color="auto"/>
                <w:bottom w:val="none" w:sz="0" w:space="0" w:color="auto"/>
                <w:right w:val="none" w:sz="0" w:space="0" w:color="auto"/>
              </w:divBdr>
            </w:div>
            <w:div w:id="90862361">
              <w:marLeft w:val="0"/>
              <w:marRight w:val="0"/>
              <w:marTop w:val="0"/>
              <w:marBottom w:val="0"/>
              <w:divBdr>
                <w:top w:val="none" w:sz="0" w:space="0" w:color="auto"/>
                <w:left w:val="none" w:sz="0" w:space="0" w:color="auto"/>
                <w:bottom w:val="none" w:sz="0" w:space="0" w:color="auto"/>
                <w:right w:val="none" w:sz="0" w:space="0" w:color="auto"/>
              </w:divBdr>
            </w:div>
          </w:divsChild>
        </w:div>
        <w:div w:id="191001194">
          <w:marLeft w:val="0"/>
          <w:marRight w:val="0"/>
          <w:marTop w:val="0"/>
          <w:marBottom w:val="0"/>
          <w:divBdr>
            <w:top w:val="none" w:sz="0" w:space="0" w:color="auto"/>
            <w:left w:val="none" w:sz="0" w:space="0" w:color="auto"/>
            <w:bottom w:val="none" w:sz="0" w:space="0" w:color="auto"/>
            <w:right w:val="none" w:sz="0" w:space="0" w:color="auto"/>
          </w:divBdr>
          <w:divsChild>
            <w:div w:id="1870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E0FF-1E8B-4638-BD09-E13F2B1D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23</Pages>
  <Words>29140</Words>
  <Characters>160276</Characters>
  <Application>Microsoft Office Word</Application>
  <DocSecurity>0</DocSecurity>
  <Lines>1335</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Carlos Flores</cp:lastModifiedBy>
  <cp:revision>921</cp:revision>
  <dcterms:created xsi:type="dcterms:W3CDTF">2021-01-16T19:48:00Z</dcterms:created>
  <dcterms:modified xsi:type="dcterms:W3CDTF">2022-05-05T21:48:00Z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390ede0a-e5cf-3641-8595-326e9b1447e6</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