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BF928" w14:textId="77777777" w:rsidR="00134178" w:rsidRDefault="008C199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C1999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ppendix</w:t>
      </w:r>
    </w:p>
    <w:p w14:paraId="79E23F95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77AE1EFA" w14:textId="77777777" w:rsidR="00134178" w:rsidRDefault="008C1999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Creation of composite demographic variable</w:t>
      </w:r>
    </w:p>
    <w:p w14:paraId="6DE753BB" w14:textId="4AE4B3A7" w:rsidR="00134178" w:rsidRDefault="008C199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u w:val="single"/>
          <w:lang w:val="en-US"/>
        </w:rPr>
        <w:t>Socio-economic Status (SES)</w:t>
      </w:r>
      <w:r>
        <w:rPr>
          <w:rFonts w:ascii="Times New Roman" w:hAnsi="Times New Roman" w:cs="Times New Roman"/>
          <w:lang w:val="en-US"/>
        </w:rPr>
        <w:t xml:space="preserve"> was derived from combined household income(Z1) and mean parental education(Z2). Then the factor analysis was used to obtain the factor loadings (β1, β2) and the eigenvalue of the primary factor(</w:t>
      </w:r>
      <w:proofErr w:type="spellStart"/>
      <w:r>
        <w:rPr>
          <w:rFonts w:ascii="Times New Roman" w:hAnsi="Times New Roman" w:cs="Times New Roman"/>
          <w:lang w:val="en-US"/>
        </w:rPr>
        <w:t>εf</w:t>
      </w:r>
      <w:proofErr w:type="spellEnd"/>
      <w:r>
        <w:rPr>
          <w:rFonts w:ascii="Times New Roman" w:hAnsi="Times New Roman" w:cs="Times New Roman"/>
          <w:lang w:val="en-US"/>
        </w:rPr>
        <w:t>). SES score was calculated by the formula below</w:t>
      </w:r>
      <w:r>
        <w:rPr>
          <w:rFonts w:ascii="Times New Roman" w:hAnsi="Times New Roman" w:cs="Times New Roman"/>
          <w:lang w:val="en-US"/>
        </w:rPr>
        <w:fldChar w:fldCharType="begin"/>
      </w:r>
      <w:r>
        <w:rPr>
          <w:rFonts w:ascii="Times New Roman" w:hAnsi="Times New Roman" w:cs="Times New Roman"/>
          <w:lang w:val="en-US"/>
        </w:rPr>
        <w:instrText xml:space="preserve"> ADDIN ZOTERO_ITEM CSL_CITATION {"citationID":"AuxV5HMe","properties":{"formattedCitation":"\\super 1\\nosupersub{}","plainCitation":"1","noteIndex":0},"citationItems":[{"id":222,"uris":["http://zotero.org/users/9475692/items/PHZ8ENDG"],"itemData":{"id":2</w:instrText>
      </w:r>
      <w:r>
        <w:rPr>
          <w:rFonts w:ascii="Times New Roman" w:hAnsi="Times New Roman" w:cs="Times New Roman" w:hint="eastAsia"/>
          <w:lang w:val="en-US"/>
        </w:rPr>
        <w:instrText>22,"type":"article-journal","container-title":"Journal of Educational Studies","journalAbbreviation":"</w:instrText>
      </w:r>
      <w:r>
        <w:rPr>
          <w:rFonts w:ascii="Times New Roman" w:hAnsi="Times New Roman" w:cs="Times New Roman" w:hint="eastAsia"/>
          <w:lang w:val="en-US"/>
        </w:rPr>
        <w:instrText>教育学报</w:instrText>
      </w:r>
      <w:r>
        <w:rPr>
          <w:rFonts w:ascii="Times New Roman" w:hAnsi="Times New Roman" w:cs="Times New Roman" w:hint="eastAsia"/>
          <w:lang w:val="en-US"/>
        </w:rPr>
        <w:instrText>","page":"77-82","title":"Techniques for measuring the socio-economic status of students' families.","volume":"5","author":[{"literal":"Ren, ChunRong</w:instrText>
      </w:r>
      <w:r>
        <w:rPr>
          <w:rFonts w:ascii="Times New Roman" w:hAnsi="Times New Roman" w:cs="Times New Roman"/>
          <w:lang w:val="en-US"/>
        </w:rPr>
        <w:instrText xml:space="preserve">"}],"issued":{"date-parts":[["2010"]]}}}],"schema":"https://github.com/citation-style-language/schema/raw/master/csl-citation.json"} </w:instrText>
      </w:r>
      <w:r>
        <w:rPr>
          <w:rFonts w:ascii="Times New Roman" w:hAnsi="Times New Roman" w:cs="Times New Roman"/>
          <w:lang w:val="en-US"/>
        </w:rPr>
        <w:fldChar w:fldCharType="separate"/>
      </w:r>
      <w:r w:rsidRPr="008C1999"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>. It was then divided into high SES group and low SES group using 0 as the cut-off.</w:t>
      </w:r>
    </w:p>
    <w:p w14:paraId="5E8410F6" w14:textId="77777777" w:rsidR="00134178" w:rsidRDefault="008C1999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SES = (β1 * Z1 </w:t>
      </w:r>
      <w:r>
        <w:rPr>
          <w:rFonts w:ascii="Times New Roman" w:hAnsi="Times New Roman" w:cs="Times New Roman"/>
          <w:lang w:val="en-US"/>
        </w:rPr>
        <w:t>＋</w:t>
      </w:r>
      <w:r>
        <w:rPr>
          <w:rFonts w:ascii="Times New Roman" w:hAnsi="Times New Roman" w:cs="Times New Roman"/>
          <w:lang w:val="en-US"/>
        </w:rPr>
        <w:t xml:space="preserve"> β2 * Z2) / </w:t>
      </w:r>
      <w:proofErr w:type="spellStart"/>
      <w:r>
        <w:rPr>
          <w:rFonts w:ascii="Times New Roman" w:hAnsi="Times New Roman" w:cs="Times New Roman"/>
          <w:lang w:val="en-US"/>
        </w:rPr>
        <w:t>εf</w:t>
      </w:r>
      <w:proofErr w:type="spellEnd"/>
    </w:p>
    <w:p w14:paraId="0B8B9A17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05A32D57" w14:textId="77777777" w:rsidR="00134178" w:rsidRDefault="008C1999">
      <w:pPr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i/>
          <w:iCs/>
          <w:u w:val="single"/>
          <w:lang w:val="en-US"/>
        </w:rPr>
        <w:t>Family history of suicide (</w:t>
      </w:r>
      <w:proofErr w:type="spellStart"/>
      <w:r>
        <w:rPr>
          <w:rFonts w:ascii="Times New Roman" w:hAnsi="Times New Roman" w:cs="Times New Roman"/>
          <w:i/>
          <w:iCs/>
          <w:u w:val="single"/>
          <w:lang w:val="en-US"/>
        </w:rPr>
        <w:t>FHoS</w:t>
      </w:r>
      <w:proofErr w:type="spellEnd"/>
      <w:r>
        <w:rPr>
          <w:rFonts w:ascii="Times New Roman" w:hAnsi="Times New Roman" w:cs="Times New Roman"/>
          <w:i/>
          <w:iCs/>
          <w:u w:val="single"/>
          <w:lang w:val="en-US"/>
        </w:rPr>
        <w:t xml:space="preserve">) </w:t>
      </w:r>
    </w:p>
    <w:p w14:paraId="600F12EF" w14:textId="2747BAB0" w:rsidR="00134178" w:rsidRPr="008C1999" w:rsidRDefault="008C199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Q. Has ANY blood relative of your child ever attempted or </w:t>
      </w:r>
      <w:r w:rsidR="00D07086">
        <w:rPr>
          <w:rFonts w:ascii="Times New Roman" w:hAnsi="Times New Roman" w:cs="Times New Roman"/>
          <w:lang w:val="en-US"/>
        </w:rPr>
        <w:t xml:space="preserve">death by 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>suicide?</w:t>
      </w:r>
    </w:p>
    <w:p w14:paraId="3D563ABC" w14:textId="77777777" w:rsidR="00134178" w:rsidRDefault="008C199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G1(Grandparents): maternal grandmother, maternal grandfather</w:t>
      </w:r>
    </w:p>
    <w:p w14:paraId="301804F5" w14:textId="77777777" w:rsidR="00134178" w:rsidRDefault="008C1999">
      <w:pPr>
        <w:ind w:firstLineChars="800" w:firstLine="19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paternal grandmother, paternal grandfather</w:t>
      </w:r>
    </w:p>
    <w:p w14:paraId="2482E97F" w14:textId="77777777" w:rsidR="00134178" w:rsidRDefault="008C199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G2(Parents): biological mother, biological father</w:t>
      </w:r>
    </w:p>
    <w:p w14:paraId="4D447358" w14:textId="77777777" w:rsidR="00134178" w:rsidRDefault="00134178">
      <w:pPr>
        <w:jc w:val="center"/>
        <w:rPr>
          <w:rFonts w:ascii="Times New Roman" w:hAnsi="Times New Roman" w:cs="Times New Roman"/>
          <w:lang w:val="en-US"/>
        </w:rPr>
      </w:pPr>
    </w:p>
    <w:p w14:paraId="5609D860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52BEB9CF" w14:textId="77777777" w:rsidR="00134178" w:rsidRDefault="008C1999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eMethods</w:t>
      </w:r>
      <w:proofErr w:type="spellEnd"/>
    </w:p>
    <w:p w14:paraId="79EB195B" w14:textId="77777777" w:rsidR="00134178" w:rsidRDefault="008C1999">
      <w:pPr>
        <w:rPr>
          <w:rFonts w:ascii="Times New Roman" w:hAnsi="Times New Roman" w:cs="Times New Roman"/>
          <w:i/>
          <w:iCs/>
          <w:u w:val="single"/>
          <w:lang w:val="en-US"/>
        </w:rPr>
      </w:pPr>
      <w:r>
        <w:rPr>
          <w:rFonts w:ascii="Times New Roman" w:hAnsi="Times New Roman" w:cs="Times New Roman"/>
          <w:i/>
          <w:iCs/>
          <w:u w:val="single"/>
          <w:lang w:val="en-US"/>
        </w:rPr>
        <w:t xml:space="preserve">Propensity Score Matched analysis (PSM) </w:t>
      </w:r>
    </w:p>
    <w:p w14:paraId="4B38AC1F" w14:textId="77777777" w:rsidR="00134178" w:rsidRDefault="008C199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To account for the sample size differences, G1+G2-, G1-G2+ and G1+G2+ groups were combined as a new group, which was 1:1 matched to G1-G2- group on age, sex at birth, race/ethnicity, household marital status, parental </w:t>
      </w:r>
      <w:r w:rsidRPr="008C1999">
        <w:rPr>
          <w:rFonts w:ascii="Times New Roman" w:hAnsi="Times New Roman" w:cs="Times New Roman"/>
          <w:lang w:val="en-US"/>
        </w:rPr>
        <w:t xml:space="preserve">highest </w:t>
      </w:r>
      <w:r>
        <w:rPr>
          <w:rFonts w:ascii="Times New Roman" w:hAnsi="Times New Roman" w:cs="Times New Roman"/>
          <w:lang w:val="en-US"/>
        </w:rPr>
        <w:t>education and household income. A one-to-one Nearest Neighborhood matching (NNM) algorithm was performed with a caliper of 0.2 and without replacement. Propensity scores were estimated using a logistic regression model.</w:t>
      </w:r>
    </w:p>
    <w:p w14:paraId="58300909" w14:textId="77777777" w:rsidR="00134178" w:rsidRDefault="00134178">
      <w:pPr>
        <w:jc w:val="center"/>
        <w:rPr>
          <w:rFonts w:ascii="Times New Roman" w:hAnsi="Times New Roman" w:cs="Times New Roman"/>
          <w:lang w:val="en-US"/>
        </w:rPr>
      </w:pPr>
    </w:p>
    <w:p w14:paraId="45D78E10" w14:textId="77777777" w:rsidR="00134178" w:rsidRDefault="008C1999">
      <w:pPr>
        <w:rPr>
          <w:rFonts w:ascii="Times New Roman" w:hAnsi="Times New Roman" w:cs="Times New Roman"/>
          <w:i/>
          <w:iCs/>
          <w:u w:val="single"/>
          <w:lang w:val="en-US"/>
        </w:rPr>
      </w:pPr>
      <w:proofErr w:type="spellStart"/>
      <w:r>
        <w:rPr>
          <w:rFonts w:ascii="Times New Roman" w:hAnsi="Times New Roman" w:cs="Times New Roman" w:hint="eastAsia"/>
          <w:i/>
          <w:iCs/>
          <w:u w:val="single"/>
          <w:lang w:val="en-US"/>
        </w:rPr>
        <w:t>G</w:t>
      </w:r>
      <w:r>
        <w:rPr>
          <w:rFonts w:ascii="Times New Roman" w:hAnsi="Times New Roman" w:cs="Times New Roman"/>
          <w:i/>
          <w:iCs/>
          <w:u w:val="single"/>
          <w:lang w:val="en-US"/>
        </w:rPr>
        <w:t>eneralised</w:t>
      </w:r>
      <w:proofErr w:type="spellEnd"/>
      <w:r>
        <w:rPr>
          <w:rFonts w:ascii="Times New Roman" w:hAnsi="Times New Roman" w:cs="Times New Roman"/>
          <w:i/>
          <w:iCs/>
          <w:u w:val="single"/>
          <w:lang w:val="en-US"/>
        </w:rPr>
        <w:t xml:space="preserve"> Estimated Equations (GEE) </w:t>
      </w:r>
    </w:p>
    <w:p w14:paraId="7971D5F3" w14:textId="77777777" w:rsidR="00134178" w:rsidRDefault="008C199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GEE represents an extension of the general linear model approach, allowing for correlations among site clusters. The 4-level family history of suicidality variable was analyzed as a categorical variable, with children without </w:t>
      </w:r>
      <w:proofErr w:type="spellStart"/>
      <w:r>
        <w:rPr>
          <w:rFonts w:ascii="Times New Roman" w:hAnsi="Times New Roman" w:cs="Times New Roman"/>
          <w:lang w:val="en-US"/>
        </w:rPr>
        <w:t>FHoS</w:t>
      </w:r>
      <w:proofErr w:type="spellEnd"/>
      <w:r>
        <w:rPr>
          <w:rFonts w:ascii="Times New Roman" w:hAnsi="Times New Roman" w:cs="Times New Roman"/>
          <w:lang w:val="en-US"/>
        </w:rPr>
        <w:t xml:space="preserve"> (G1-G2-) as the reference group. The association between child’s impulsivity and </w:t>
      </w:r>
      <w:proofErr w:type="spellStart"/>
      <w:r>
        <w:rPr>
          <w:rFonts w:ascii="Times New Roman" w:hAnsi="Times New Roman" w:cs="Times New Roman"/>
          <w:lang w:val="en-US"/>
        </w:rPr>
        <w:t>FHoS</w:t>
      </w:r>
      <w:proofErr w:type="spellEnd"/>
      <w:r>
        <w:rPr>
          <w:rFonts w:ascii="Times New Roman" w:hAnsi="Times New Roman" w:cs="Times New Roman"/>
          <w:lang w:val="en-US"/>
        </w:rPr>
        <w:t xml:space="preserve"> was assessed using GEE models with normal distribution and identity link function. The association between child’s SI and psychopathology and </w:t>
      </w:r>
      <w:proofErr w:type="spellStart"/>
      <w:r>
        <w:rPr>
          <w:rFonts w:ascii="Times New Roman" w:hAnsi="Times New Roman" w:cs="Times New Roman"/>
          <w:lang w:val="en-US"/>
        </w:rPr>
        <w:t>FHoS</w:t>
      </w:r>
      <w:proofErr w:type="spellEnd"/>
      <w:r>
        <w:rPr>
          <w:rFonts w:ascii="Times New Roman" w:hAnsi="Times New Roman" w:cs="Times New Roman"/>
          <w:lang w:val="en-US"/>
        </w:rPr>
        <w:t xml:space="preserve"> were assessed using similar GEE models with binomial distribution and logit link function.</w:t>
      </w:r>
    </w:p>
    <w:p w14:paraId="1F29B8D3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1EA43FB6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1E2CE06B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3AAA1E4C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2B5910A5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12E044EA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40C0769C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329321F4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518A5AF7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43D0A0F4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35BB87B5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76520723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43E8C87E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54607080" w14:textId="77777777" w:rsidR="00134178" w:rsidRDefault="00134178">
      <w:pPr>
        <w:rPr>
          <w:rFonts w:ascii="Times New Roman" w:hAnsi="Times New Roman" w:cs="Times New Roman"/>
          <w:lang w:val="en-US"/>
        </w:rPr>
      </w:pPr>
    </w:p>
    <w:p w14:paraId="12C8B977" w14:textId="77777777" w:rsidR="00134178" w:rsidRDefault="00134178">
      <w:pPr>
        <w:rPr>
          <w:rFonts w:ascii="Times New Roman" w:hAnsi="Times New Roman" w:cs="Times New Roman"/>
          <w:b/>
          <w:bCs/>
          <w:lang w:val="en-US"/>
        </w:rPr>
      </w:pPr>
    </w:p>
    <w:p w14:paraId="397FD157" w14:textId="77777777" w:rsidR="00134178" w:rsidRDefault="00134178">
      <w:pPr>
        <w:rPr>
          <w:rFonts w:ascii="Times New Roman" w:hAnsi="Times New Roman" w:cs="Times New Roman"/>
          <w:b/>
          <w:bCs/>
          <w:lang w:val="en-US"/>
        </w:rPr>
      </w:pPr>
    </w:p>
    <w:p w14:paraId="778EB88A" w14:textId="77777777" w:rsidR="00134178" w:rsidRDefault="008C1999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Supplement results</w:t>
      </w:r>
    </w:p>
    <w:p w14:paraId="394A8057" w14:textId="77777777" w:rsidR="00134178" w:rsidRDefault="00134178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1276"/>
        <w:gridCol w:w="1133"/>
      </w:tblGrid>
      <w:tr w:rsidR="00134178" w14:paraId="09AE3D43" w14:textId="77777777">
        <w:trPr>
          <w:trHeight w:val="280"/>
        </w:trPr>
        <w:tc>
          <w:tcPr>
            <w:tcW w:w="5807" w:type="dxa"/>
            <w:noWrap/>
          </w:tcPr>
          <w:p w14:paraId="7A2A6D55" w14:textId="77777777" w:rsidR="00134178" w:rsidRDefault="008C1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GMV</w:t>
            </w:r>
          </w:p>
        </w:tc>
        <w:tc>
          <w:tcPr>
            <w:tcW w:w="1134" w:type="dxa"/>
            <w:noWrap/>
          </w:tcPr>
          <w:p w14:paraId="48B14D04" w14:textId="77777777" w:rsidR="00134178" w:rsidRDefault="008C19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</w:t>
            </w:r>
          </w:p>
        </w:tc>
        <w:tc>
          <w:tcPr>
            <w:tcW w:w="1276" w:type="dxa"/>
            <w:noWrap/>
          </w:tcPr>
          <w:p w14:paraId="54E46519" w14:textId="77777777" w:rsidR="00134178" w:rsidRDefault="008C1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1133" w:type="dxa"/>
            <w:noWrap/>
          </w:tcPr>
          <w:p w14:paraId="59075755" w14:textId="77777777" w:rsidR="00134178" w:rsidRDefault="008C19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vertAlign w:val="subscript"/>
              </w:rPr>
              <w:t>FDR</w:t>
            </w:r>
          </w:p>
        </w:tc>
      </w:tr>
      <w:tr w:rsidR="00134178" w14:paraId="3EFDC5D5" w14:textId="77777777">
        <w:trPr>
          <w:trHeight w:val="280"/>
        </w:trPr>
        <w:tc>
          <w:tcPr>
            <w:tcW w:w="5807" w:type="dxa"/>
            <w:noWrap/>
          </w:tcPr>
          <w:p w14:paraId="7C70DD99" w14:textId="77777777" w:rsidR="00134178" w:rsidRPr="008C1999" w:rsidRDefault="008C1999">
            <w:pPr>
              <w:rPr>
                <w:rFonts w:ascii="Times New Roman" w:hAnsi="Times New Roman" w:cs="Times New Roman"/>
                <w:lang w:val="en-US"/>
              </w:rPr>
            </w:pPr>
            <w:r w:rsidRPr="008C1999">
              <w:rPr>
                <w:rFonts w:ascii="Times New Roman" w:hAnsi="Times New Roman" w:cs="Times New Roman"/>
                <w:lang w:val="en-US"/>
              </w:rPr>
              <w:t>superior segment of the circular sulcus of the insula</w:t>
            </w:r>
          </w:p>
        </w:tc>
        <w:tc>
          <w:tcPr>
            <w:tcW w:w="1134" w:type="dxa"/>
            <w:noWrap/>
          </w:tcPr>
          <w:p w14:paraId="10F22182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12.891</w:t>
            </w:r>
          </w:p>
        </w:tc>
        <w:tc>
          <w:tcPr>
            <w:tcW w:w="1276" w:type="dxa"/>
            <w:noWrap/>
          </w:tcPr>
          <w:p w14:paraId="33FC337F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133" w:type="dxa"/>
            <w:noWrap/>
          </w:tcPr>
          <w:p w14:paraId="6D505C9C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134178" w14:paraId="221B66B2" w14:textId="77777777">
        <w:trPr>
          <w:trHeight w:val="280"/>
        </w:trPr>
        <w:tc>
          <w:tcPr>
            <w:tcW w:w="5807" w:type="dxa"/>
            <w:noWrap/>
          </w:tcPr>
          <w:p w14:paraId="289B4B48" w14:textId="77777777" w:rsidR="00134178" w:rsidRPr="008C1999" w:rsidRDefault="008C1999">
            <w:pPr>
              <w:rPr>
                <w:rFonts w:ascii="Times New Roman" w:hAnsi="Times New Roman" w:cs="Times New Roman"/>
                <w:lang w:val="en-US"/>
              </w:rPr>
            </w:pPr>
            <w:r w:rsidRPr="008C1999">
              <w:rPr>
                <w:rFonts w:ascii="Times New Roman" w:hAnsi="Times New Roman" w:cs="Times New Roman"/>
                <w:lang w:val="en-US"/>
              </w:rPr>
              <w:t>transverse frontopolar gyri and sulci</w:t>
            </w:r>
          </w:p>
        </w:tc>
        <w:tc>
          <w:tcPr>
            <w:tcW w:w="1134" w:type="dxa"/>
            <w:noWrap/>
          </w:tcPr>
          <w:p w14:paraId="68A3C6E5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10.405</w:t>
            </w:r>
          </w:p>
        </w:tc>
        <w:tc>
          <w:tcPr>
            <w:tcW w:w="1276" w:type="dxa"/>
            <w:noWrap/>
          </w:tcPr>
          <w:p w14:paraId="6E1232CE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133" w:type="dxa"/>
            <w:noWrap/>
          </w:tcPr>
          <w:p w14:paraId="4B33ED17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</w:t>
            </w:r>
          </w:p>
        </w:tc>
      </w:tr>
      <w:tr w:rsidR="00134178" w14:paraId="3102966C" w14:textId="77777777">
        <w:trPr>
          <w:trHeight w:val="280"/>
        </w:trPr>
        <w:tc>
          <w:tcPr>
            <w:tcW w:w="5807" w:type="dxa"/>
            <w:noWrap/>
          </w:tcPr>
          <w:p w14:paraId="103F7E41" w14:textId="77777777" w:rsidR="00134178" w:rsidRDefault="008C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lateral occipito-temporal sulcus</w:t>
            </w:r>
          </w:p>
        </w:tc>
        <w:tc>
          <w:tcPr>
            <w:tcW w:w="1134" w:type="dxa"/>
            <w:noWrap/>
          </w:tcPr>
          <w:p w14:paraId="6EDB30F1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10.796</w:t>
            </w:r>
          </w:p>
        </w:tc>
        <w:tc>
          <w:tcPr>
            <w:tcW w:w="1276" w:type="dxa"/>
            <w:noWrap/>
          </w:tcPr>
          <w:p w14:paraId="69F189A1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133" w:type="dxa"/>
            <w:noWrap/>
          </w:tcPr>
          <w:p w14:paraId="7239DDE5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</w:t>
            </w:r>
          </w:p>
        </w:tc>
      </w:tr>
      <w:tr w:rsidR="00134178" w14:paraId="4BE2E534" w14:textId="77777777">
        <w:trPr>
          <w:trHeight w:val="280"/>
        </w:trPr>
        <w:tc>
          <w:tcPr>
            <w:tcW w:w="5807" w:type="dxa"/>
            <w:noWrap/>
          </w:tcPr>
          <w:p w14:paraId="4B518D5E" w14:textId="77777777" w:rsidR="00134178" w:rsidRPr="008C1999" w:rsidRDefault="008C1999">
            <w:pPr>
              <w:rPr>
                <w:rFonts w:ascii="Times New Roman" w:hAnsi="Times New Roman" w:cs="Times New Roman"/>
                <w:lang w:val="en-US"/>
              </w:rPr>
            </w:pPr>
            <w:r w:rsidRPr="008C1999">
              <w:rPr>
                <w:rFonts w:ascii="Times New Roman" w:hAnsi="Times New Roman" w:cs="Times New Roman"/>
                <w:lang w:val="en-US"/>
              </w:rPr>
              <w:t>posterior-dorsal part of the cingulate gyrus</w:t>
            </w:r>
          </w:p>
        </w:tc>
        <w:tc>
          <w:tcPr>
            <w:tcW w:w="1134" w:type="dxa"/>
            <w:noWrap/>
          </w:tcPr>
          <w:p w14:paraId="12A92AB7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9.727</w:t>
            </w:r>
          </w:p>
        </w:tc>
        <w:tc>
          <w:tcPr>
            <w:tcW w:w="1276" w:type="dxa"/>
            <w:noWrap/>
          </w:tcPr>
          <w:p w14:paraId="7ED8609B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133" w:type="dxa"/>
            <w:noWrap/>
          </w:tcPr>
          <w:p w14:paraId="4DFF0801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0.030</w:t>
            </w:r>
          </w:p>
        </w:tc>
      </w:tr>
      <w:tr w:rsidR="00134178" w14:paraId="7850A8E2" w14:textId="77777777">
        <w:trPr>
          <w:trHeight w:val="280"/>
        </w:trPr>
        <w:tc>
          <w:tcPr>
            <w:tcW w:w="5807" w:type="dxa"/>
            <w:noWrap/>
          </w:tcPr>
          <w:p w14:paraId="5A7FE9BC" w14:textId="77777777" w:rsidR="00134178" w:rsidRPr="008C1999" w:rsidRDefault="008C1999">
            <w:pPr>
              <w:rPr>
                <w:rFonts w:ascii="Times New Roman" w:hAnsi="Times New Roman" w:cs="Times New Roman"/>
                <w:lang w:val="en-US"/>
              </w:rPr>
            </w:pPr>
            <w:r w:rsidRPr="008C1999">
              <w:rPr>
                <w:rFonts w:ascii="Times New Roman" w:hAnsi="Times New Roman" w:cs="Times New Roman"/>
                <w:lang w:val="en-US"/>
              </w:rPr>
              <w:t xml:space="preserve">planum </w:t>
            </w:r>
            <w:proofErr w:type="spellStart"/>
            <w:r w:rsidRPr="008C1999">
              <w:rPr>
                <w:rFonts w:ascii="Times New Roman" w:hAnsi="Times New Roman" w:cs="Times New Roman"/>
                <w:lang w:val="en-US"/>
              </w:rPr>
              <w:t>polare</w:t>
            </w:r>
            <w:proofErr w:type="spellEnd"/>
            <w:r w:rsidRPr="008C1999">
              <w:rPr>
                <w:rFonts w:ascii="Times New Roman" w:hAnsi="Times New Roman" w:cs="Times New Roman"/>
                <w:lang w:val="en-US"/>
              </w:rPr>
              <w:t xml:space="preserve"> of the superior temporal gyrus</w:t>
            </w:r>
          </w:p>
        </w:tc>
        <w:tc>
          <w:tcPr>
            <w:tcW w:w="1134" w:type="dxa"/>
            <w:noWrap/>
          </w:tcPr>
          <w:p w14:paraId="7836B613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9.28</w:t>
            </w:r>
          </w:p>
        </w:tc>
        <w:tc>
          <w:tcPr>
            <w:tcW w:w="1276" w:type="dxa"/>
            <w:noWrap/>
          </w:tcPr>
          <w:p w14:paraId="65F3DC81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133" w:type="dxa"/>
            <w:noWrap/>
          </w:tcPr>
          <w:p w14:paraId="575F2664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0.030</w:t>
            </w:r>
          </w:p>
        </w:tc>
      </w:tr>
      <w:tr w:rsidR="00134178" w14:paraId="4D444C1F" w14:textId="77777777">
        <w:trPr>
          <w:trHeight w:val="280"/>
        </w:trPr>
        <w:tc>
          <w:tcPr>
            <w:tcW w:w="5807" w:type="dxa"/>
            <w:noWrap/>
          </w:tcPr>
          <w:p w14:paraId="496BEF25" w14:textId="77777777" w:rsidR="00134178" w:rsidRDefault="008C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precentral gyrus</w:t>
            </w:r>
          </w:p>
        </w:tc>
        <w:tc>
          <w:tcPr>
            <w:tcW w:w="1134" w:type="dxa"/>
            <w:noWrap/>
          </w:tcPr>
          <w:p w14:paraId="4CC240D2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8.726</w:t>
            </w:r>
          </w:p>
        </w:tc>
        <w:tc>
          <w:tcPr>
            <w:tcW w:w="1276" w:type="dxa"/>
            <w:noWrap/>
          </w:tcPr>
          <w:p w14:paraId="533DA516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1133" w:type="dxa"/>
            <w:noWrap/>
          </w:tcPr>
          <w:p w14:paraId="7EF30CF0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0.032</w:t>
            </w:r>
          </w:p>
        </w:tc>
      </w:tr>
      <w:tr w:rsidR="00134178" w14:paraId="4354ED65" w14:textId="77777777">
        <w:trPr>
          <w:trHeight w:val="280"/>
        </w:trPr>
        <w:tc>
          <w:tcPr>
            <w:tcW w:w="5807" w:type="dxa"/>
            <w:noWrap/>
          </w:tcPr>
          <w:p w14:paraId="502921B2" w14:textId="77777777" w:rsidR="00134178" w:rsidRPr="008C1999" w:rsidRDefault="008C1999">
            <w:pPr>
              <w:rPr>
                <w:rFonts w:ascii="Times New Roman" w:hAnsi="Times New Roman" w:cs="Times New Roman"/>
                <w:lang w:val="en-US"/>
              </w:rPr>
            </w:pPr>
            <w:r w:rsidRPr="008C1999">
              <w:rPr>
                <w:rFonts w:ascii="Times New Roman" w:hAnsi="Times New Roman" w:cs="Times New Roman"/>
                <w:lang w:val="en-US"/>
              </w:rPr>
              <w:t>vertical ramus of the anterior segment of the lateral sulcus</w:t>
            </w:r>
          </w:p>
        </w:tc>
        <w:tc>
          <w:tcPr>
            <w:tcW w:w="1134" w:type="dxa"/>
            <w:noWrap/>
          </w:tcPr>
          <w:p w14:paraId="54FE7ABC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8.739</w:t>
            </w:r>
          </w:p>
        </w:tc>
        <w:tc>
          <w:tcPr>
            <w:tcW w:w="1276" w:type="dxa"/>
            <w:noWrap/>
          </w:tcPr>
          <w:p w14:paraId="41B76CAB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1133" w:type="dxa"/>
            <w:noWrap/>
          </w:tcPr>
          <w:p w14:paraId="34D0A4F4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0.032</w:t>
            </w:r>
          </w:p>
        </w:tc>
      </w:tr>
      <w:tr w:rsidR="00134178" w14:paraId="557455B5" w14:textId="77777777">
        <w:trPr>
          <w:trHeight w:val="280"/>
        </w:trPr>
        <w:tc>
          <w:tcPr>
            <w:tcW w:w="5807" w:type="dxa"/>
            <w:noWrap/>
          </w:tcPr>
          <w:p w14:paraId="2C2423D8" w14:textId="77777777" w:rsidR="00134178" w:rsidRPr="008C1999" w:rsidRDefault="008C1999">
            <w:pPr>
              <w:rPr>
                <w:rFonts w:ascii="Times New Roman" w:hAnsi="Times New Roman" w:cs="Times New Roman"/>
                <w:lang w:val="en-US"/>
              </w:rPr>
            </w:pPr>
            <w:r w:rsidRPr="008C1999">
              <w:rPr>
                <w:rFonts w:ascii="Times New Roman" w:hAnsi="Times New Roman" w:cs="Times New Roman"/>
                <w:lang w:val="en-US"/>
              </w:rPr>
              <w:t>inferior occipital gyrus and sulcus</w:t>
            </w:r>
          </w:p>
        </w:tc>
        <w:tc>
          <w:tcPr>
            <w:tcW w:w="1134" w:type="dxa"/>
            <w:noWrap/>
          </w:tcPr>
          <w:p w14:paraId="017FDB62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8.476</w:t>
            </w:r>
          </w:p>
        </w:tc>
        <w:tc>
          <w:tcPr>
            <w:tcW w:w="1276" w:type="dxa"/>
            <w:noWrap/>
          </w:tcPr>
          <w:p w14:paraId="210FDDC6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</w:t>
            </w:r>
          </w:p>
        </w:tc>
        <w:tc>
          <w:tcPr>
            <w:tcW w:w="1133" w:type="dxa"/>
            <w:noWrap/>
          </w:tcPr>
          <w:p w14:paraId="78BBBDFC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0.034</w:t>
            </w:r>
          </w:p>
        </w:tc>
      </w:tr>
      <w:tr w:rsidR="00134178" w14:paraId="30FCB0B6" w14:textId="77777777">
        <w:trPr>
          <w:trHeight w:val="280"/>
        </w:trPr>
        <w:tc>
          <w:tcPr>
            <w:tcW w:w="5807" w:type="dxa"/>
            <w:noWrap/>
          </w:tcPr>
          <w:p w14:paraId="6B08EB3A" w14:textId="77777777" w:rsidR="00134178" w:rsidRDefault="008C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inferior temporal gyrus</w:t>
            </w:r>
          </w:p>
        </w:tc>
        <w:tc>
          <w:tcPr>
            <w:tcW w:w="1134" w:type="dxa"/>
            <w:noWrap/>
          </w:tcPr>
          <w:p w14:paraId="5034EE2E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7.747</w:t>
            </w:r>
          </w:p>
        </w:tc>
        <w:tc>
          <w:tcPr>
            <w:tcW w:w="1276" w:type="dxa"/>
            <w:noWrap/>
          </w:tcPr>
          <w:p w14:paraId="19A239F3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133" w:type="dxa"/>
            <w:noWrap/>
          </w:tcPr>
          <w:p w14:paraId="7F95CD94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0.034</w:t>
            </w:r>
          </w:p>
        </w:tc>
      </w:tr>
      <w:tr w:rsidR="00134178" w14:paraId="00FF79CF" w14:textId="77777777">
        <w:trPr>
          <w:trHeight w:val="280"/>
        </w:trPr>
        <w:tc>
          <w:tcPr>
            <w:tcW w:w="5807" w:type="dxa"/>
            <w:noWrap/>
          </w:tcPr>
          <w:p w14:paraId="6913F907" w14:textId="77777777" w:rsidR="00134178" w:rsidRPr="008C1999" w:rsidRDefault="008C1999">
            <w:pPr>
              <w:rPr>
                <w:rFonts w:ascii="Times New Roman" w:hAnsi="Times New Roman" w:cs="Times New Roman"/>
                <w:lang w:val="en-US"/>
              </w:rPr>
            </w:pPr>
            <w:r w:rsidRPr="008C1999">
              <w:rPr>
                <w:rFonts w:ascii="Times New Roman" w:hAnsi="Times New Roman" w:cs="Times New Roman"/>
                <w:lang w:val="en-US"/>
              </w:rPr>
              <w:t>posterior ramus of the lateral sulcus</w:t>
            </w:r>
          </w:p>
        </w:tc>
        <w:tc>
          <w:tcPr>
            <w:tcW w:w="1134" w:type="dxa"/>
            <w:noWrap/>
          </w:tcPr>
          <w:p w14:paraId="3E456340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7.922</w:t>
            </w:r>
          </w:p>
        </w:tc>
        <w:tc>
          <w:tcPr>
            <w:tcW w:w="1276" w:type="dxa"/>
            <w:noWrap/>
          </w:tcPr>
          <w:p w14:paraId="06FD62B3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133" w:type="dxa"/>
            <w:noWrap/>
          </w:tcPr>
          <w:p w14:paraId="41C01557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0.034</w:t>
            </w:r>
          </w:p>
        </w:tc>
      </w:tr>
      <w:tr w:rsidR="00134178" w14:paraId="2605771A" w14:textId="77777777">
        <w:trPr>
          <w:trHeight w:val="280"/>
        </w:trPr>
        <w:tc>
          <w:tcPr>
            <w:tcW w:w="5807" w:type="dxa"/>
            <w:noWrap/>
          </w:tcPr>
          <w:p w14:paraId="63F0AD73" w14:textId="77777777" w:rsidR="00134178" w:rsidRDefault="008C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temporal pole</w:t>
            </w:r>
          </w:p>
        </w:tc>
        <w:tc>
          <w:tcPr>
            <w:tcW w:w="1134" w:type="dxa"/>
            <w:noWrap/>
          </w:tcPr>
          <w:p w14:paraId="233AF7E9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7.762</w:t>
            </w:r>
          </w:p>
        </w:tc>
        <w:tc>
          <w:tcPr>
            <w:tcW w:w="1276" w:type="dxa"/>
            <w:noWrap/>
          </w:tcPr>
          <w:p w14:paraId="28457080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133" w:type="dxa"/>
            <w:noWrap/>
          </w:tcPr>
          <w:p w14:paraId="0AF9A396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0.034</w:t>
            </w:r>
          </w:p>
        </w:tc>
      </w:tr>
      <w:tr w:rsidR="00134178" w14:paraId="0FBBCDF6" w14:textId="77777777">
        <w:trPr>
          <w:trHeight w:val="280"/>
        </w:trPr>
        <w:tc>
          <w:tcPr>
            <w:tcW w:w="5807" w:type="dxa"/>
            <w:noWrap/>
          </w:tcPr>
          <w:p w14:paraId="3AB6F078" w14:textId="77777777" w:rsidR="00134178" w:rsidRDefault="008C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orbital gyri</w:t>
            </w:r>
          </w:p>
        </w:tc>
        <w:tc>
          <w:tcPr>
            <w:tcW w:w="1134" w:type="dxa"/>
            <w:noWrap/>
          </w:tcPr>
          <w:p w14:paraId="17340523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7.119</w:t>
            </w:r>
          </w:p>
        </w:tc>
        <w:tc>
          <w:tcPr>
            <w:tcW w:w="1276" w:type="dxa"/>
            <w:noWrap/>
          </w:tcPr>
          <w:p w14:paraId="41B5C583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0.008</w:t>
            </w:r>
          </w:p>
        </w:tc>
        <w:tc>
          <w:tcPr>
            <w:tcW w:w="1133" w:type="dxa"/>
            <w:noWrap/>
          </w:tcPr>
          <w:p w14:paraId="75671C76" w14:textId="77777777" w:rsidR="00134178" w:rsidRDefault="008C1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0.049</w:t>
            </w:r>
          </w:p>
        </w:tc>
      </w:tr>
    </w:tbl>
    <w:p w14:paraId="32D909D8" w14:textId="77777777" w:rsidR="00134178" w:rsidRDefault="00134178">
      <w:pPr>
        <w:rPr>
          <w:rFonts w:ascii="Times New Roman" w:hAnsi="Times New Roman" w:cs="Times New Roman"/>
          <w:b/>
          <w:bCs/>
          <w:lang w:val="en-US"/>
        </w:rPr>
      </w:pPr>
    </w:p>
    <w:p w14:paraId="4B5B7524" w14:textId="77777777" w:rsidR="00134178" w:rsidRDefault="00134178">
      <w:pPr>
        <w:rPr>
          <w:rFonts w:ascii="Times New Roman" w:hAnsi="Times New Roman" w:cs="Times New Roman"/>
          <w:b/>
          <w:bCs/>
          <w:lang w:val="en-US"/>
        </w:rPr>
      </w:pPr>
    </w:p>
    <w:p w14:paraId="0EA9BF79" w14:textId="77777777" w:rsidR="00134178" w:rsidRDefault="00134178">
      <w:pPr>
        <w:rPr>
          <w:rFonts w:ascii="Times New Roman" w:hAnsi="Times New Roman" w:cs="Times New Roman"/>
          <w:b/>
          <w:bCs/>
          <w:lang w:val="en-US"/>
        </w:rPr>
      </w:pPr>
    </w:p>
    <w:p w14:paraId="21232CD2" w14:textId="77777777" w:rsidR="00134178" w:rsidRPr="008C1999" w:rsidRDefault="00134178">
      <w:pPr>
        <w:rPr>
          <w:rFonts w:ascii="Times New Roman" w:hAnsi="Times New Roman" w:cs="Times New Roman"/>
          <w:b/>
          <w:bCs/>
          <w:lang w:val="en-US"/>
        </w:rPr>
      </w:pPr>
    </w:p>
    <w:p w14:paraId="707CDA62" w14:textId="1524066E" w:rsidR="008C1999" w:rsidRPr="008C1999" w:rsidRDefault="008C1999" w:rsidP="008C1999">
      <w:pPr>
        <w:pStyle w:val="a4"/>
        <w:rPr>
          <w:rFonts w:ascii="Times New Roman" w:hAnsi="Times New Roman" w:cs="Times New Roman"/>
          <w:lang w:val="en-US"/>
        </w:rPr>
      </w:pPr>
      <w:r w:rsidRPr="008C1999">
        <w:rPr>
          <w:rFonts w:ascii="Times New Roman" w:hAnsi="Times New Roman" w:cs="Times New Roman"/>
          <w:lang w:val="en-US"/>
        </w:rPr>
        <w:fldChar w:fldCharType="begin"/>
      </w:r>
      <w:r w:rsidRPr="008C1999">
        <w:rPr>
          <w:rFonts w:ascii="Times New Roman" w:hAnsi="Times New Roman" w:cs="Times New Roman"/>
          <w:lang w:val="en-US"/>
        </w:rPr>
        <w:instrText xml:space="preserve"> ADDIN ZOTERO_BIBL {"uncited":[],"omitted":[],"custom":[]} CSL_BIBLIOGRAPHY </w:instrText>
      </w:r>
      <w:r w:rsidRPr="008C1999">
        <w:rPr>
          <w:rFonts w:ascii="Times New Roman" w:hAnsi="Times New Roman" w:cs="Times New Roman"/>
          <w:lang w:val="en-US"/>
        </w:rPr>
        <w:fldChar w:fldCharType="separate"/>
      </w:r>
      <w:r w:rsidRPr="008C1999">
        <w:rPr>
          <w:rFonts w:ascii="Times New Roman" w:hAnsi="Times New Roman" w:cs="Times New Roman"/>
          <w:lang w:val="en-US"/>
        </w:rPr>
        <w:t xml:space="preserve">1 </w:t>
      </w:r>
      <w:r w:rsidRPr="008C1999">
        <w:rPr>
          <w:rFonts w:ascii="Times New Roman" w:hAnsi="Times New Roman" w:cs="Times New Roman"/>
          <w:lang w:val="en-US"/>
        </w:rPr>
        <w:tab/>
        <w:t xml:space="preserve">Ren, ChunRong. Techniques for measuring the socio-economic status of students’ families. </w:t>
      </w:r>
      <w:r w:rsidRPr="008C1999">
        <w:rPr>
          <w:rFonts w:ascii="Times New Roman" w:hAnsi="Times New Roman" w:cs="Times New Roman"/>
          <w:i/>
          <w:iCs/>
          <w:lang w:val="en-US"/>
        </w:rPr>
        <w:t>Journal of Educational Studies</w:t>
      </w:r>
      <w:r w:rsidRPr="008C1999">
        <w:rPr>
          <w:rFonts w:ascii="Times New Roman" w:hAnsi="Times New Roman" w:cs="Times New Roman"/>
          <w:lang w:val="en-US"/>
        </w:rPr>
        <w:t xml:space="preserve"> 2010; </w:t>
      </w:r>
      <w:r w:rsidRPr="008C1999">
        <w:rPr>
          <w:rFonts w:ascii="Times New Roman" w:hAnsi="Times New Roman" w:cs="Times New Roman"/>
          <w:b/>
          <w:bCs/>
          <w:lang w:val="en-US"/>
        </w:rPr>
        <w:t>5</w:t>
      </w:r>
      <w:r w:rsidRPr="008C1999">
        <w:rPr>
          <w:rFonts w:ascii="Times New Roman" w:hAnsi="Times New Roman" w:cs="Times New Roman"/>
          <w:lang w:val="en-US"/>
        </w:rPr>
        <w:t>: 77–82.</w:t>
      </w:r>
      <w:r>
        <w:rPr>
          <w:rFonts w:ascii="Times New Roman" w:hAnsi="Times New Roman" w:cs="Times New Roman"/>
          <w:lang w:val="en-US"/>
        </w:rPr>
        <w:t xml:space="preserve"> [In Chinese]</w:t>
      </w:r>
    </w:p>
    <w:p w14:paraId="5C54B1F9" w14:textId="31451A97" w:rsidR="00134178" w:rsidRDefault="008C1999">
      <w:pPr>
        <w:jc w:val="center"/>
        <w:rPr>
          <w:rFonts w:ascii="Times New Roman" w:hAnsi="Times New Roman" w:cs="Times New Roman"/>
          <w:lang w:val="en-US"/>
        </w:rPr>
      </w:pPr>
      <w:r w:rsidRPr="008C1999">
        <w:rPr>
          <w:rFonts w:ascii="Times New Roman" w:hAnsi="Times New Roman" w:cs="Times New Roman"/>
          <w:lang w:val="en-US"/>
        </w:rPr>
        <w:fldChar w:fldCharType="end"/>
      </w:r>
    </w:p>
    <w:sectPr w:rsidR="001341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A6"/>
    <w:rsid w:val="E4AFE2A8"/>
    <w:rsid w:val="0009098D"/>
    <w:rsid w:val="000D5723"/>
    <w:rsid w:val="00134178"/>
    <w:rsid w:val="0035363F"/>
    <w:rsid w:val="003A09FF"/>
    <w:rsid w:val="003E1365"/>
    <w:rsid w:val="004D760B"/>
    <w:rsid w:val="006F4365"/>
    <w:rsid w:val="00801EA6"/>
    <w:rsid w:val="008C1999"/>
    <w:rsid w:val="00B24023"/>
    <w:rsid w:val="00CA3EC8"/>
    <w:rsid w:val="00D07086"/>
    <w:rsid w:val="00F86966"/>
    <w:rsid w:val="7EFD8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7A421"/>
  <w15:docId w15:val="{CEF2502D-54E3-8B4F-9DFC-721682C8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graphy1">
    <w:name w:val="Bibliography1"/>
    <w:basedOn w:val="a"/>
    <w:next w:val="a"/>
    <w:uiPriority w:val="37"/>
    <w:unhideWhenUsed/>
    <w:qFormat/>
    <w:pPr>
      <w:tabs>
        <w:tab w:val="left" w:pos="260"/>
      </w:tabs>
      <w:spacing w:after="240"/>
      <w:ind w:left="264" w:hanging="264"/>
    </w:pPr>
  </w:style>
  <w:style w:type="paragraph" w:styleId="a4">
    <w:name w:val="Bibliography"/>
    <w:basedOn w:val="a"/>
    <w:next w:val="a"/>
    <w:uiPriority w:val="37"/>
    <w:unhideWhenUsed/>
    <w:rsid w:val="008C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Runsen Chen</cp:lastModifiedBy>
  <cp:revision>3</cp:revision>
  <dcterms:created xsi:type="dcterms:W3CDTF">2022-05-22T11:56:00Z</dcterms:created>
  <dcterms:modified xsi:type="dcterms:W3CDTF">2022-05-24T09:32:00Z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zotero-version="6.0.7"&gt;&lt;session id="ilZguahA"/&gt;&lt;style id="http://www.zotero.org/styles/nature-publishing-group-vancouver" hasBibliography="1" bibliographyStyleHasBeenSet="1"/&gt;&lt;prefs&gt;&lt;pref name="fieldType" value="Field"/&gt;&lt;/prefs&gt;&lt;/da</vt:lpwstr>
  </property>
  <property fmtid="{D5CDD505-2E9C-101B-9397-08002B2CF9AE}" pid="3" name="ZOTERO_PREF_2">
    <vt:lpwstr>ta&gt;</vt:lpwstr>
  </property>
  <property fmtid="{D5CDD505-2E9C-101B-9397-08002B2CF9AE}" pid="4" name="KSOProductBuildVer">
    <vt:lpwstr>1033-4.2.2.6882</vt:lpwstr>
  </property>
  <property fmtid="{D5CDD505-2E9C-101B-9397-08002B2CF9AE}" pid="5" name="ICV">
    <vt:lpwstr>5E658098B3455144DB908C62E2CAFE5A</vt:lpwstr>
  </property>
</Properties>
</file>