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24ACB" w14:textId="77777777" w:rsidR="00946658" w:rsidRDefault="00946658" w:rsidP="00946658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B91BF1">
        <w:rPr>
          <w:rFonts w:ascii="Times New Roman" w:hAnsi="Times New Roman" w:cs="Times New Roman"/>
          <w:b/>
          <w:lang w:val="en-US"/>
        </w:rPr>
        <w:t>SUPPLEMENTARY MATERIAL</w:t>
      </w:r>
    </w:p>
    <w:p w14:paraId="3B0C385F" w14:textId="3ADFC2CD" w:rsidR="00946658" w:rsidRPr="00E773D9" w:rsidRDefault="00946658" w:rsidP="00946658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Table 1. Characteristics, genetics and SBA titers for each meningococcal isolate.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0"/>
        <w:gridCol w:w="820"/>
        <w:gridCol w:w="795"/>
        <w:gridCol w:w="1102"/>
        <w:gridCol w:w="1074"/>
        <w:gridCol w:w="1367"/>
        <w:gridCol w:w="1024"/>
        <w:gridCol w:w="879"/>
        <w:gridCol w:w="1395"/>
        <w:gridCol w:w="561"/>
        <w:gridCol w:w="1172"/>
        <w:gridCol w:w="653"/>
        <w:gridCol w:w="1186"/>
        <w:gridCol w:w="1082"/>
        <w:gridCol w:w="8"/>
      </w:tblGrid>
      <w:tr w:rsidR="00946658" w:rsidRPr="00F1192B" w14:paraId="4C1D4DEA" w14:textId="77777777" w:rsidTr="0068182C">
        <w:trPr>
          <w:gridAfter w:val="1"/>
          <w:wAfter w:w="3" w:type="pct"/>
        </w:trPr>
        <w:tc>
          <w:tcPr>
            <w:tcW w:w="1272" w:type="pct"/>
            <w:gridSpan w:val="4"/>
          </w:tcPr>
          <w:p w14:paraId="5EDB5A3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101713694"/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Isolate</w:t>
            </w:r>
          </w:p>
        </w:tc>
        <w:tc>
          <w:tcPr>
            <w:tcW w:w="2258" w:type="pct"/>
            <w:gridSpan w:val="6"/>
          </w:tcPr>
          <w:p w14:paraId="2020072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Clinical manifestation (0=no, 1=yes)</w:t>
            </w:r>
          </w:p>
        </w:tc>
        <w:tc>
          <w:tcPr>
            <w:tcW w:w="654" w:type="pct"/>
            <w:gridSpan w:val="2"/>
          </w:tcPr>
          <w:p w14:paraId="07BF5EF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MLST</w:t>
            </w:r>
          </w:p>
        </w:tc>
        <w:tc>
          <w:tcPr>
            <w:tcW w:w="813" w:type="pct"/>
            <w:gridSpan w:val="2"/>
          </w:tcPr>
          <w:p w14:paraId="53AA6CD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SBA titer</w:t>
            </w:r>
          </w:p>
        </w:tc>
      </w:tr>
      <w:tr w:rsidR="00720AD0" w:rsidRPr="00F1192B" w14:paraId="77B3B553" w14:textId="77777777" w:rsidTr="0000514F">
        <w:tc>
          <w:tcPr>
            <w:tcW w:w="298" w:type="pct"/>
          </w:tcPr>
          <w:p w14:paraId="1B42E87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Isolate</w:t>
            </w:r>
          </w:p>
        </w:tc>
        <w:tc>
          <w:tcPr>
            <w:tcW w:w="294" w:type="pct"/>
          </w:tcPr>
          <w:p w14:paraId="70DE057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285" w:type="pct"/>
          </w:tcPr>
          <w:p w14:paraId="10854C7A" w14:textId="4857C27E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Year</w:t>
            </w:r>
            <w:r w:rsidR="00FD39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of isolation</w:t>
            </w:r>
          </w:p>
        </w:tc>
        <w:tc>
          <w:tcPr>
            <w:tcW w:w="395" w:type="pct"/>
          </w:tcPr>
          <w:p w14:paraId="64D3A37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Serogroup*</w:t>
            </w:r>
          </w:p>
        </w:tc>
        <w:tc>
          <w:tcPr>
            <w:tcW w:w="385" w:type="pct"/>
          </w:tcPr>
          <w:p w14:paraId="2633AA9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Pneumonia</w:t>
            </w:r>
          </w:p>
        </w:tc>
        <w:tc>
          <w:tcPr>
            <w:tcW w:w="490" w:type="pct"/>
          </w:tcPr>
          <w:p w14:paraId="2724DEF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Bacteremia / sepsis</w:t>
            </w:r>
          </w:p>
        </w:tc>
        <w:tc>
          <w:tcPr>
            <w:tcW w:w="367" w:type="pct"/>
          </w:tcPr>
          <w:p w14:paraId="4C8B723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Meningitis</w:t>
            </w:r>
          </w:p>
        </w:tc>
        <w:tc>
          <w:tcPr>
            <w:tcW w:w="315" w:type="pct"/>
          </w:tcPr>
          <w:p w14:paraId="1CA98DC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Arthritis</w:t>
            </w:r>
          </w:p>
        </w:tc>
        <w:tc>
          <w:tcPr>
            <w:tcW w:w="500" w:type="pct"/>
          </w:tcPr>
          <w:p w14:paraId="2FB2124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Other / Unspecified</w:t>
            </w:r>
          </w:p>
        </w:tc>
        <w:tc>
          <w:tcPr>
            <w:tcW w:w="201" w:type="pct"/>
          </w:tcPr>
          <w:p w14:paraId="5D73B34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Died</w:t>
            </w:r>
          </w:p>
        </w:tc>
        <w:tc>
          <w:tcPr>
            <w:tcW w:w="420" w:type="pct"/>
          </w:tcPr>
          <w:p w14:paraId="3AB0F52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Clonal complex</w:t>
            </w:r>
          </w:p>
        </w:tc>
        <w:tc>
          <w:tcPr>
            <w:tcW w:w="234" w:type="pct"/>
          </w:tcPr>
          <w:p w14:paraId="31B9642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</w:t>
            </w:r>
          </w:p>
        </w:tc>
        <w:tc>
          <w:tcPr>
            <w:tcW w:w="425" w:type="pct"/>
          </w:tcPr>
          <w:p w14:paraId="30452D73" w14:textId="57CD43E6" w:rsidR="00946658" w:rsidRPr="00F1192B" w:rsidRDefault="00720AD0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Serum pool </w:t>
            </w:r>
            <w:r w:rsidR="00946658"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unvacc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inated</w:t>
            </w:r>
          </w:p>
        </w:tc>
        <w:tc>
          <w:tcPr>
            <w:tcW w:w="391" w:type="pct"/>
            <w:gridSpan w:val="2"/>
          </w:tcPr>
          <w:p w14:paraId="68ED6E77" w14:textId="47BFD75B" w:rsidR="00946658" w:rsidRPr="00F1192B" w:rsidRDefault="00720AD0" w:rsidP="00FD39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Serum pool </w:t>
            </w:r>
            <w:r w:rsidR="00946658" w:rsidRPr="00F1192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vacc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inated</w:t>
            </w:r>
          </w:p>
        </w:tc>
      </w:tr>
      <w:tr w:rsidR="00720AD0" w:rsidRPr="00F1192B" w14:paraId="5D62FF00" w14:textId="77777777" w:rsidTr="0000514F">
        <w:tc>
          <w:tcPr>
            <w:tcW w:w="298" w:type="pct"/>
          </w:tcPr>
          <w:p w14:paraId="4440392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6EDD345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372E60D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0945498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4221C55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49B53A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5E5BD8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09A3FDC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34B247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4C1CD8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9F6A32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4" w:type="pct"/>
            <w:vAlign w:val="bottom"/>
          </w:tcPr>
          <w:p w14:paraId="45DE440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5" w:type="pct"/>
            <w:vAlign w:val="bottom"/>
          </w:tcPr>
          <w:p w14:paraId="7AE5464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48C58A9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7A53B8F2" w14:textId="77777777" w:rsidTr="0000514F">
        <w:tc>
          <w:tcPr>
            <w:tcW w:w="298" w:type="pct"/>
          </w:tcPr>
          <w:p w14:paraId="39DD80A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019DAF3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1956651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22719E2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7BCCAE8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650FC6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BF0AF7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7B879E2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1CCA192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Unspecified</w:t>
            </w:r>
          </w:p>
        </w:tc>
        <w:tc>
          <w:tcPr>
            <w:tcW w:w="201" w:type="pct"/>
          </w:tcPr>
          <w:p w14:paraId="1034AE6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5012DA0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vAlign w:val="bottom"/>
          </w:tcPr>
          <w:p w14:paraId="7E4395C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5436</w:t>
            </w:r>
          </w:p>
        </w:tc>
        <w:tc>
          <w:tcPr>
            <w:tcW w:w="425" w:type="pct"/>
            <w:vAlign w:val="bottom"/>
          </w:tcPr>
          <w:p w14:paraId="01D720C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351178C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163D8433" w14:textId="77777777" w:rsidTr="0000514F">
        <w:tc>
          <w:tcPr>
            <w:tcW w:w="298" w:type="pct"/>
          </w:tcPr>
          <w:p w14:paraId="78EB0B6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pct"/>
          </w:tcPr>
          <w:p w14:paraId="6C21796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5B3B88E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15FF3AE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7B8403A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28D76B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810EC6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C49162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AE4035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58607E9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08E52ED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5B439D1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425" w:type="pct"/>
            <w:vAlign w:val="bottom"/>
          </w:tcPr>
          <w:p w14:paraId="4BEF50A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36F5FED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6CE9FD8B" w14:textId="77777777" w:rsidTr="0000514F">
        <w:tc>
          <w:tcPr>
            <w:tcW w:w="298" w:type="pct"/>
          </w:tcPr>
          <w:p w14:paraId="51055E0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55F654D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622A64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5A53007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3D46827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5070A6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A26299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751582F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54DBE5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28B87B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5DE334B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706A9FF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pct"/>
            <w:vAlign w:val="bottom"/>
          </w:tcPr>
          <w:p w14:paraId="4587526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1" w:type="pct"/>
            <w:gridSpan w:val="2"/>
            <w:vAlign w:val="bottom"/>
          </w:tcPr>
          <w:p w14:paraId="7371B99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20AD0" w:rsidRPr="00F1192B" w14:paraId="0763394B" w14:textId="77777777" w:rsidTr="0000514F">
        <w:tc>
          <w:tcPr>
            <w:tcW w:w="298" w:type="pct"/>
          </w:tcPr>
          <w:p w14:paraId="67B0AB1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pct"/>
          </w:tcPr>
          <w:p w14:paraId="7FA16DD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EFFF06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6BB67FD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53539F5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4A14C20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964057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2D339E2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046D67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89DA78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331F21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4" w:type="pct"/>
            <w:vAlign w:val="bottom"/>
          </w:tcPr>
          <w:p w14:paraId="6E22223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5" w:type="pct"/>
            <w:vAlign w:val="bottom"/>
          </w:tcPr>
          <w:p w14:paraId="2E87967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1" w:type="pct"/>
            <w:gridSpan w:val="2"/>
            <w:vAlign w:val="bottom"/>
          </w:tcPr>
          <w:p w14:paraId="22A3F7B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2048</w:t>
            </w:r>
          </w:p>
        </w:tc>
      </w:tr>
      <w:tr w:rsidR="00720AD0" w:rsidRPr="00F1192B" w14:paraId="4820D568" w14:textId="77777777" w:rsidTr="0000514F">
        <w:tc>
          <w:tcPr>
            <w:tcW w:w="298" w:type="pct"/>
          </w:tcPr>
          <w:p w14:paraId="0499B7D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14:paraId="182F1C9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26859A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5844D14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631DA10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pct"/>
          </w:tcPr>
          <w:p w14:paraId="02B77CA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4352CB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70053F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2A267D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B76DB5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9C9FEA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vAlign w:val="bottom"/>
          </w:tcPr>
          <w:p w14:paraId="253A961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5436</w:t>
            </w:r>
          </w:p>
        </w:tc>
        <w:tc>
          <w:tcPr>
            <w:tcW w:w="425" w:type="pct"/>
            <w:vAlign w:val="bottom"/>
          </w:tcPr>
          <w:p w14:paraId="539DF41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1" w:type="pct"/>
            <w:gridSpan w:val="2"/>
            <w:vAlign w:val="bottom"/>
          </w:tcPr>
          <w:p w14:paraId="6DAAAFA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4596CF6D" w14:textId="77777777" w:rsidTr="0000514F">
        <w:tc>
          <w:tcPr>
            <w:tcW w:w="298" w:type="pct"/>
          </w:tcPr>
          <w:p w14:paraId="2EA7E4D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pct"/>
          </w:tcPr>
          <w:p w14:paraId="7A03528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C816B3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3BFA1D8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054B9F1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4122B6B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6BC7FB9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720AE44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6E3981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44F45D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035F5A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vAlign w:val="bottom"/>
          </w:tcPr>
          <w:p w14:paraId="611E179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5437</w:t>
            </w:r>
          </w:p>
        </w:tc>
        <w:tc>
          <w:tcPr>
            <w:tcW w:w="425" w:type="pct"/>
            <w:vAlign w:val="bottom"/>
          </w:tcPr>
          <w:p w14:paraId="5A7C6C9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725F1AD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1CDDB4BC" w14:textId="77777777" w:rsidTr="0000514F">
        <w:tc>
          <w:tcPr>
            <w:tcW w:w="298" w:type="pct"/>
          </w:tcPr>
          <w:p w14:paraId="45A0708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pct"/>
          </w:tcPr>
          <w:p w14:paraId="37099C0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6B44A4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4D918DE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63FDE58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pct"/>
          </w:tcPr>
          <w:p w14:paraId="1E5A791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FE4C23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55FBCE2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81FEED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3C1B0EB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51157E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3567153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pct"/>
            <w:vAlign w:val="bottom"/>
          </w:tcPr>
          <w:p w14:paraId="4EA4901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1A39221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720AD0" w:rsidRPr="00F1192B" w14:paraId="14B248DE" w14:textId="77777777" w:rsidTr="0000514F">
        <w:tc>
          <w:tcPr>
            <w:tcW w:w="298" w:type="pct"/>
          </w:tcPr>
          <w:p w14:paraId="006B44C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pct"/>
          </w:tcPr>
          <w:p w14:paraId="2E3932E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36351E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744A5C9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63CF795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96E6F3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0CAE94A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2089E9E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5DEA92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A0BB7B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1E931DE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0CEEF28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pct"/>
            <w:vAlign w:val="bottom"/>
          </w:tcPr>
          <w:p w14:paraId="45DABCB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7386C7F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7A72CD61" w14:textId="77777777" w:rsidTr="0000514F">
        <w:tc>
          <w:tcPr>
            <w:tcW w:w="298" w:type="pct"/>
          </w:tcPr>
          <w:p w14:paraId="16A2232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" w:type="pct"/>
          </w:tcPr>
          <w:p w14:paraId="652A38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1FB7F1A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6EBD645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72BF0F9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6C5A6F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7A3118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5E2FEB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0529A8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3C001EE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6BADDA7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07A38FB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425" w:type="pct"/>
            <w:vAlign w:val="bottom"/>
          </w:tcPr>
          <w:p w14:paraId="28CDB3E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767B7CE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27337B18" w14:textId="77777777" w:rsidTr="0000514F">
        <w:tc>
          <w:tcPr>
            <w:tcW w:w="298" w:type="pct"/>
          </w:tcPr>
          <w:p w14:paraId="213DF60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pct"/>
          </w:tcPr>
          <w:p w14:paraId="6113504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3CFB1A9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0838F80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</w:p>
        </w:tc>
        <w:tc>
          <w:tcPr>
            <w:tcW w:w="385" w:type="pct"/>
          </w:tcPr>
          <w:p w14:paraId="0C906CE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BAEA88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683BE8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5731DE9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F354FF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B49ECB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E0BA3A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2F919F0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425" w:type="pct"/>
            <w:vAlign w:val="bottom"/>
          </w:tcPr>
          <w:p w14:paraId="008E77D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7498DBC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5A103789" w14:textId="77777777" w:rsidTr="0000514F">
        <w:tc>
          <w:tcPr>
            <w:tcW w:w="298" w:type="pct"/>
          </w:tcPr>
          <w:p w14:paraId="7D06100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" w:type="pct"/>
          </w:tcPr>
          <w:p w14:paraId="6CA19AE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EBFAEB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6A9F4C0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7C3440F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BAD4C2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2502B5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189BB67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8B3075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772D328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1BF7448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780D85F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39DA915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91" w:type="pct"/>
            <w:gridSpan w:val="2"/>
            <w:vAlign w:val="bottom"/>
          </w:tcPr>
          <w:p w14:paraId="1107248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2048</w:t>
            </w:r>
          </w:p>
        </w:tc>
      </w:tr>
      <w:tr w:rsidR="00720AD0" w:rsidRPr="00F1192B" w14:paraId="2C7583D6" w14:textId="77777777" w:rsidTr="0000514F">
        <w:tc>
          <w:tcPr>
            <w:tcW w:w="298" w:type="pct"/>
          </w:tcPr>
          <w:p w14:paraId="3B2F785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" w:type="pct"/>
          </w:tcPr>
          <w:p w14:paraId="27282E7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4B8C7AE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6753D5A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1638F49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20BF4D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3FBB8CA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190ED7C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977C3BA" w14:textId="73DF7F66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Shock</w:t>
            </w:r>
          </w:p>
        </w:tc>
        <w:tc>
          <w:tcPr>
            <w:tcW w:w="201" w:type="pct"/>
          </w:tcPr>
          <w:p w14:paraId="329CB4C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0CEFF1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" w:type="pct"/>
            <w:vAlign w:val="bottom"/>
          </w:tcPr>
          <w:p w14:paraId="601D114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425" w:type="pct"/>
            <w:vAlign w:val="bottom"/>
          </w:tcPr>
          <w:p w14:paraId="562D07F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391" w:type="pct"/>
            <w:gridSpan w:val="2"/>
            <w:vAlign w:val="bottom"/>
          </w:tcPr>
          <w:p w14:paraId="1898796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36D4E525" w14:textId="77777777" w:rsidTr="0000514F">
        <w:tc>
          <w:tcPr>
            <w:tcW w:w="298" w:type="pct"/>
          </w:tcPr>
          <w:p w14:paraId="334F7D6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4" w:type="pct"/>
          </w:tcPr>
          <w:p w14:paraId="0B8B08B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FDA8A6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2DFC928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4D8DD0F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4961C4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1DC7780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0854932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F9D837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Shock</w:t>
            </w:r>
          </w:p>
        </w:tc>
        <w:tc>
          <w:tcPr>
            <w:tcW w:w="201" w:type="pct"/>
          </w:tcPr>
          <w:p w14:paraId="48C8B58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56E90BA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4571F3E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3FA752D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1120EA9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24BA1DCA" w14:textId="77777777" w:rsidTr="0000514F">
        <w:tc>
          <w:tcPr>
            <w:tcW w:w="298" w:type="pct"/>
          </w:tcPr>
          <w:p w14:paraId="2067960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4" w:type="pct"/>
          </w:tcPr>
          <w:p w14:paraId="40F47A3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7E0175B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190E7A6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5B7A717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35F0CD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07B5EB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47ED02B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A8F2DD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1DE130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F8DCF4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4E55FD2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53DCE47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5C36286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720AD0" w:rsidRPr="00F1192B" w14:paraId="0C764292" w14:textId="77777777" w:rsidTr="0000514F">
        <w:tc>
          <w:tcPr>
            <w:tcW w:w="298" w:type="pct"/>
          </w:tcPr>
          <w:p w14:paraId="1315A4B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4" w:type="pct"/>
          </w:tcPr>
          <w:p w14:paraId="405C4A7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2FA145C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58FE532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2FCA09E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4EA452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A6C7E8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0F3FD1D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1E62378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Shock</w:t>
            </w:r>
          </w:p>
        </w:tc>
        <w:tc>
          <w:tcPr>
            <w:tcW w:w="201" w:type="pct"/>
          </w:tcPr>
          <w:p w14:paraId="38F899F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3436AE5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30CACF6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2704</w:t>
            </w:r>
          </w:p>
        </w:tc>
        <w:tc>
          <w:tcPr>
            <w:tcW w:w="425" w:type="pct"/>
            <w:vAlign w:val="bottom"/>
          </w:tcPr>
          <w:p w14:paraId="6F83FBD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3562056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</w:tr>
      <w:tr w:rsidR="00720AD0" w:rsidRPr="00F1192B" w14:paraId="422F3447" w14:textId="77777777" w:rsidTr="0000514F">
        <w:tc>
          <w:tcPr>
            <w:tcW w:w="298" w:type="pct"/>
          </w:tcPr>
          <w:p w14:paraId="2FE4A21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4" w:type="pct"/>
          </w:tcPr>
          <w:p w14:paraId="712A6DD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3C5DBF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395" w:type="pct"/>
          </w:tcPr>
          <w:p w14:paraId="5894E94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63C5178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B23DF9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A44BBD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49E795E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46E947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Shock</w:t>
            </w:r>
          </w:p>
        </w:tc>
        <w:tc>
          <w:tcPr>
            <w:tcW w:w="201" w:type="pct"/>
          </w:tcPr>
          <w:p w14:paraId="3143438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C82236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2795EBD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3D851F2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391" w:type="pct"/>
            <w:gridSpan w:val="2"/>
            <w:vAlign w:val="bottom"/>
          </w:tcPr>
          <w:p w14:paraId="3707D2D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3072</w:t>
            </w:r>
          </w:p>
        </w:tc>
      </w:tr>
      <w:tr w:rsidR="00720AD0" w:rsidRPr="00F1192B" w14:paraId="1CF5D6FE" w14:textId="77777777" w:rsidTr="0000514F">
        <w:tc>
          <w:tcPr>
            <w:tcW w:w="298" w:type="pct"/>
          </w:tcPr>
          <w:p w14:paraId="27F562E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4" w:type="pct"/>
          </w:tcPr>
          <w:p w14:paraId="0BE0335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331DD73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1AD6073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1FDF7F3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C20C16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FA7F3B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193CA96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73B1DF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1F8A4B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AD46F4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42BDCC5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0655D00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91" w:type="pct"/>
            <w:gridSpan w:val="2"/>
            <w:vAlign w:val="bottom"/>
          </w:tcPr>
          <w:p w14:paraId="251B220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</w:tr>
      <w:tr w:rsidR="00720AD0" w:rsidRPr="00F1192B" w14:paraId="7E41037B" w14:textId="77777777" w:rsidTr="0000514F">
        <w:tc>
          <w:tcPr>
            <w:tcW w:w="298" w:type="pct"/>
          </w:tcPr>
          <w:p w14:paraId="1E457D55" w14:textId="77777777" w:rsidR="00946658" w:rsidRPr="003733FA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4" w:type="pct"/>
          </w:tcPr>
          <w:p w14:paraId="6AE5DC0D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F37C514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69904889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5F3B996B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C797C0F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B990B4A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2952E66F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C5EEDEA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0DA0FB0" w14:textId="77777777" w:rsidR="00946658" w:rsidRPr="003733FA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18989926" w14:textId="6B750403" w:rsidR="00946658" w:rsidRPr="003733FA" w:rsidRDefault="0013103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313801D9" w14:textId="76708F12" w:rsidR="00946658" w:rsidRPr="003733FA" w:rsidRDefault="0013103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16061</w:t>
            </w:r>
          </w:p>
        </w:tc>
        <w:tc>
          <w:tcPr>
            <w:tcW w:w="425" w:type="pct"/>
            <w:vAlign w:val="bottom"/>
          </w:tcPr>
          <w:p w14:paraId="4CABC0C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91" w:type="pct"/>
            <w:gridSpan w:val="2"/>
            <w:vAlign w:val="bottom"/>
          </w:tcPr>
          <w:p w14:paraId="740EFE5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20AD0" w:rsidRPr="00F1192B" w14:paraId="17B0935F" w14:textId="77777777" w:rsidTr="0000514F">
        <w:tc>
          <w:tcPr>
            <w:tcW w:w="298" w:type="pct"/>
          </w:tcPr>
          <w:p w14:paraId="1F2F93D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4" w:type="pct"/>
          </w:tcPr>
          <w:p w14:paraId="7F46CF2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5A8612A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6485E0A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7F07BCD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6E510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CA86B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42279B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19A58D6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7F2E42F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2CCAFCE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41/44</w:t>
            </w:r>
          </w:p>
        </w:tc>
        <w:tc>
          <w:tcPr>
            <w:tcW w:w="234" w:type="pct"/>
            <w:vAlign w:val="bottom"/>
          </w:tcPr>
          <w:p w14:paraId="0256072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14893</w:t>
            </w:r>
          </w:p>
        </w:tc>
        <w:tc>
          <w:tcPr>
            <w:tcW w:w="425" w:type="pct"/>
            <w:vAlign w:val="bottom"/>
          </w:tcPr>
          <w:p w14:paraId="395D7B6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gridSpan w:val="2"/>
            <w:vAlign w:val="bottom"/>
          </w:tcPr>
          <w:p w14:paraId="5254BBA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</w:tr>
      <w:tr w:rsidR="00720AD0" w:rsidRPr="00F1192B" w14:paraId="3B6C8AF5" w14:textId="77777777" w:rsidTr="0000514F">
        <w:tc>
          <w:tcPr>
            <w:tcW w:w="298" w:type="pct"/>
          </w:tcPr>
          <w:p w14:paraId="6C126DD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4" w:type="pct"/>
          </w:tcPr>
          <w:p w14:paraId="1A0CB22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741ACB3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42F4044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26541FD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4560FA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4A2B13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20754C0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EF228C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3B12D5F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5CA6909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7D05A50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5C98016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4E7A0DB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</w:tr>
      <w:tr w:rsidR="00720AD0" w:rsidRPr="00F1192B" w14:paraId="3C4BA447" w14:textId="77777777" w:rsidTr="0000514F">
        <w:tc>
          <w:tcPr>
            <w:tcW w:w="298" w:type="pct"/>
          </w:tcPr>
          <w:p w14:paraId="4E1BA74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4" w:type="pct"/>
          </w:tcPr>
          <w:p w14:paraId="15EE2E0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D69BD4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0C903A9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1424AA5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DA8A7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A203B5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1911B6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6D3F02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BB06CB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2A48A2C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3F9A238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425" w:type="pct"/>
            <w:vAlign w:val="bottom"/>
          </w:tcPr>
          <w:p w14:paraId="1752E85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1" w:type="pct"/>
            <w:gridSpan w:val="2"/>
            <w:vAlign w:val="bottom"/>
          </w:tcPr>
          <w:p w14:paraId="62A703D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720AD0" w:rsidRPr="00F1192B" w14:paraId="6884899D" w14:textId="77777777" w:rsidTr="0000514F">
        <w:tc>
          <w:tcPr>
            <w:tcW w:w="298" w:type="pct"/>
          </w:tcPr>
          <w:p w14:paraId="3CEA08B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4" w:type="pct"/>
          </w:tcPr>
          <w:p w14:paraId="795D34E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7C3C61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7C92DBC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290684C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A20FA0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E256ED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5D19BE8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FAE9F5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923170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2376C9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4" w:type="pct"/>
            <w:vAlign w:val="bottom"/>
          </w:tcPr>
          <w:p w14:paraId="634EB3A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5133</w:t>
            </w:r>
          </w:p>
        </w:tc>
        <w:tc>
          <w:tcPr>
            <w:tcW w:w="425" w:type="pct"/>
            <w:vAlign w:val="bottom"/>
          </w:tcPr>
          <w:p w14:paraId="5D4EE7B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91" w:type="pct"/>
            <w:gridSpan w:val="2"/>
            <w:vAlign w:val="bottom"/>
          </w:tcPr>
          <w:p w14:paraId="371CD78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</w:tr>
      <w:tr w:rsidR="00720AD0" w:rsidRPr="00F1192B" w14:paraId="16150751" w14:textId="77777777" w:rsidTr="0000514F">
        <w:tc>
          <w:tcPr>
            <w:tcW w:w="298" w:type="pct"/>
          </w:tcPr>
          <w:p w14:paraId="3FA041B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4" w:type="pct"/>
          </w:tcPr>
          <w:p w14:paraId="020723F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6FA891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3469846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4F0966D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6BB36E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734F10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550EDE6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677C96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C75302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26C6396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1D95762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09E22CB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91" w:type="pct"/>
            <w:gridSpan w:val="2"/>
            <w:vAlign w:val="bottom"/>
          </w:tcPr>
          <w:p w14:paraId="44DAB9C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1280</w:t>
            </w:r>
          </w:p>
        </w:tc>
      </w:tr>
      <w:tr w:rsidR="00720AD0" w:rsidRPr="00F1192B" w14:paraId="7E36301E" w14:textId="77777777" w:rsidTr="0000514F">
        <w:tc>
          <w:tcPr>
            <w:tcW w:w="298" w:type="pct"/>
          </w:tcPr>
          <w:p w14:paraId="3FC67EF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4" w:type="pct"/>
          </w:tcPr>
          <w:p w14:paraId="3D01FA6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FF073D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16982BC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66D4987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4E9A39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23483B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03AE948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B84884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66C32E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FEA9DF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34" w:type="pct"/>
            <w:vAlign w:val="bottom"/>
          </w:tcPr>
          <w:p w14:paraId="66BAEDD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2698</w:t>
            </w:r>
          </w:p>
        </w:tc>
        <w:tc>
          <w:tcPr>
            <w:tcW w:w="425" w:type="pct"/>
            <w:vAlign w:val="bottom"/>
          </w:tcPr>
          <w:p w14:paraId="2C43142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1" w:type="pct"/>
            <w:gridSpan w:val="2"/>
            <w:vAlign w:val="bottom"/>
          </w:tcPr>
          <w:p w14:paraId="24697EE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2048</w:t>
            </w:r>
          </w:p>
        </w:tc>
      </w:tr>
      <w:tr w:rsidR="00720AD0" w:rsidRPr="00F1192B" w14:paraId="4EB45518" w14:textId="77777777" w:rsidTr="0000514F">
        <w:tc>
          <w:tcPr>
            <w:tcW w:w="298" w:type="pct"/>
          </w:tcPr>
          <w:p w14:paraId="7FE0E4A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4" w:type="pct"/>
          </w:tcPr>
          <w:p w14:paraId="71B1FC1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5420FB8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105F8AD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3C5F526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FE8CE2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13A53E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05B1068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35350F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5E54EB5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AD6497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" w:type="pct"/>
            <w:vAlign w:val="bottom"/>
          </w:tcPr>
          <w:p w14:paraId="09CC5B2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2680</w:t>
            </w:r>
          </w:p>
        </w:tc>
        <w:tc>
          <w:tcPr>
            <w:tcW w:w="425" w:type="pct"/>
            <w:vAlign w:val="bottom"/>
          </w:tcPr>
          <w:p w14:paraId="7FD1BE9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91" w:type="pct"/>
            <w:gridSpan w:val="2"/>
            <w:vAlign w:val="bottom"/>
          </w:tcPr>
          <w:p w14:paraId="2C8A3F8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</w:tr>
      <w:tr w:rsidR="00720AD0" w:rsidRPr="00F1192B" w14:paraId="3A315796" w14:textId="77777777" w:rsidTr="0000514F">
        <w:tc>
          <w:tcPr>
            <w:tcW w:w="298" w:type="pct"/>
          </w:tcPr>
          <w:p w14:paraId="773149E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4" w:type="pct"/>
          </w:tcPr>
          <w:p w14:paraId="38EC974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7755F5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95" w:type="pct"/>
          </w:tcPr>
          <w:p w14:paraId="1CD70B1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00D1F2B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159EDA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1FF64A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7DC5547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164629B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Shock</w:t>
            </w:r>
          </w:p>
        </w:tc>
        <w:tc>
          <w:tcPr>
            <w:tcW w:w="201" w:type="pct"/>
          </w:tcPr>
          <w:p w14:paraId="1CBABB8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2B8FB6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4D91F56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737FB5A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391" w:type="pct"/>
            <w:gridSpan w:val="2"/>
            <w:vAlign w:val="bottom"/>
          </w:tcPr>
          <w:p w14:paraId="0569781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720AD0" w:rsidRPr="00F1192B" w14:paraId="70F41CFD" w14:textId="77777777" w:rsidTr="0000514F">
        <w:tc>
          <w:tcPr>
            <w:tcW w:w="298" w:type="pct"/>
          </w:tcPr>
          <w:p w14:paraId="11F9DCA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4" w:type="pct"/>
          </w:tcPr>
          <w:p w14:paraId="3993A1C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FB138D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395" w:type="pct"/>
          </w:tcPr>
          <w:p w14:paraId="7CDE4DC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385" w:type="pct"/>
          </w:tcPr>
          <w:p w14:paraId="775A6B4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2D2BEF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9F3DAE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2B22727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38F0EA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233314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0F66B9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34" w:type="pct"/>
            <w:vAlign w:val="bottom"/>
          </w:tcPr>
          <w:p w14:paraId="088AC1A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425" w:type="pct"/>
            <w:vAlign w:val="bottom"/>
          </w:tcPr>
          <w:p w14:paraId="4E32D6F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1" w:type="pct"/>
            <w:gridSpan w:val="2"/>
            <w:vAlign w:val="bottom"/>
          </w:tcPr>
          <w:p w14:paraId="0F6D58C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05BE60FB" w14:textId="77777777" w:rsidTr="0000514F">
        <w:tc>
          <w:tcPr>
            <w:tcW w:w="298" w:type="pct"/>
          </w:tcPr>
          <w:p w14:paraId="60090D6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4" w:type="pct"/>
          </w:tcPr>
          <w:p w14:paraId="5654B74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B08373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395" w:type="pct"/>
          </w:tcPr>
          <w:p w14:paraId="553A648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3C2FC0C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F03401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ABDF21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3FC55D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276B10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Unspecified</w:t>
            </w:r>
          </w:p>
        </w:tc>
        <w:tc>
          <w:tcPr>
            <w:tcW w:w="201" w:type="pct"/>
          </w:tcPr>
          <w:p w14:paraId="4E72977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1D2A5B9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" w:type="pct"/>
            <w:vAlign w:val="bottom"/>
          </w:tcPr>
          <w:p w14:paraId="7D07BC9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425" w:type="pct"/>
            <w:vAlign w:val="bottom"/>
          </w:tcPr>
          <w:p w14:paraId="2CDBC54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91" w:type="pct"/>
            <w:gridSpan w:val="2"/>
            <w:vAlign w:val="bottom"/>
          </w:tcPr>
          <w:p w14:paraId="062CF4F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7D14E7B5" w14:textId="77777777" w:rsidTr="0000514F">
        <w:tc>
          <w:tcPr>
            <w:tcW w:w="298" w:type="pct"/>
          </w:tcPr>
          <w:p w14:paraId="739B27F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4" w:type="pct"/>
          </w:tcPr>
          <w:p w14:paraId="2259241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50C98B6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395" w:type="pct"/>
          </w:tcPr>
          <w:p w14:paraId="5EF59F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0FE644A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FE46CB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92BB59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2CE17D0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185567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Unspecified</w:t>
            </w:r>
          </w:p>
        </w:tc>
        <w:tc>
          <w:tcPr>
            <w:tcW w:w="201" w:type="pct"/>
          </w:tcPr>
          <w:p w14:paraId="535321E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748220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654E96E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1300CBE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391" w:type="pct"/>
            <w:gridSpan w:val="2"/>
            <w:vAlign w:val="bottom"/>
          </w:tcPr>
          <w:p w14:paraId="209B338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1792</w:t>
            </w:r>
          </w:p>
        </w:tc>
      </w:tr>
      <w:tr w:rsidR="00720AD0" w:rsidRPr="00F1192B" w14:paraId="4DC3F287" w14:textId="77777777" w:rsidTr="0000514F">
        <w:tc>
          <w:tcPr>
            <w:tcW w:w="298" w:type="pct"/>
          </w:tcPr>
          <w:p w14:paraId="2609FBE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4" w:type="pct"/>
          </w:tcPr>
          <w:p w14:paraId="681164D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7E55A3F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395" w:type="pct"/>
          </w:tcPr>
          <w:p w14:paraId="367FB56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5C5F5B0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1340C3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4C63AD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53CBB97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997245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Unspecified</w:t>
            </w:r>
          </w:p>
        </w:tc>
        <w:tc>
          <w:tcPr>
            <w:tcW w:w="201" w:type="pct"/>
          </w:tcPr>
          <w:p w14:paraId="465AA94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1F1BCF3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08E88DE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5C9991F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0A828F6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2DB7E901" w14:textId="77777777" w:rsidTr="0000514F">
        <w:tc>
          <w:tcPr>
            <w:tcW w:w="298" w:type="pct"/>
          </w:tcPr>
          <w:p w14:paraId="713C00E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4" w:type="pct"/>
          </w:tcPr>
          <w:p w14:paraId="25FB924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3F27B17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395" w:type="pct"/>
          </w:tcPr>
          <w:p w14:paraId="70CF1B5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5459740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6C642F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F0487B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BD7BDA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E940D8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Unspecified</w:t>
            </w:r>
          </w:p>
        </w:tc>
        <w:tc>
          <w:tcPr>
            <w:tcW w:w="201" w:type="pct"/>
          </w:tcPr>
          <w:p w14:paraId="20D7EE1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16D6312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3228EA4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66B1883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43C312E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</w:tr>
      <w:tr w:rsidR="00720AD0" w:rsidRPr="00F1192B" w14:paraId="6B95473B" w14:textId="77777777" w:rsidTr="0000514F">
        <w:tc>
          <w:tcPr>
            <w:tcW w:w="298" w:type="pct"/>
          </w:tcPr>
          <w:p w14:paraId="037285B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4" w:type="pct"/>
          </w:tcPr>
          <w:p w14:paraId="5B8143E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915ECA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395" w:type="pct"/>
          </w:tcPr>
          <w:p w14:paraId="2923807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5203C32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563517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E38297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4B9B130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173666F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D19B12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DAE1CA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1B8F0E3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5A200C4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1" w:type="pct"/>
            <w:gridSpan w:val="2"/>
            <w:vAlign w:val="bottom"/>
          </w:tcPr>
          <w:p w14:paraId="1A8496A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</w:tr>
      <w:tr w:rsidR="00720AD0" w:rsidRPr="00F1192B" w14:paraId="2E96DC03" w14:textId="77777777" w:rsidTr="0000514F">
        <w:tc>
          <w:tcPr>
            <w:tcW w:w="298" w:type="pct"/>
          </w:tcPr>
          <w:p w14:paraId="58DAA13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4" w:type="pct"/>
          </w:tcPr>
          <w:p w14:paraId="56677B5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5AF3B9E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95" w:type="pct"/>
          </w:tcPr>
          <w:p w14:paraId="5330CCE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1232AEC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D6742A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3D76173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7665FC3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18A86C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7A61593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3A91D9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09E0750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02F68B9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47554DC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720AD0" w:rsidRPr="00F1192B" w14:paraId="59D02080" w14:textId="77777777" w:rsidTr="0000514F">
        <w:tc>
          <w:tcPr>
            <w:tcW w:w="298" w:type="pct"/>
          </w:tcPr>
          <w:p w14:paraId="6C83397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4" w:type="pct"/>
          </w:tcPr>
          <w:p w14:paraId="013FF33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D62DB0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95" w:type="pct"/>
          </w:tcPr>
          <w:p w14:paraId="247A598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04C9E3F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03BD20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1F58E2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45B5F7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069FDE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D3F083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162B431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14BA38D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4722E49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1" w:type="pct"/>
            <w:gridSpan w:val="2"/>
            <w:vAlign w:val="bottom"/>
          </w:tcPr>
          <w:p w14:paraId="20A7A0C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</w:tr>
      <w:tr w:rsidR="00720AD0" w:rsidRPr="00F1192B" w14:paraId="1EC62FDD" w14:textId="77777777" w:rsidTr="0000514F">
        <w:tc>
          <w:tcPr>
            <w:tcW w:w="298" w:type="pct"/>
          </w:tcPr>
          <w:p w14:paraId="207BB46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4" w:type="pct"/>
          </w:tcPr>
          <w:p w14:paraId="44C4AE7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48658C9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95" w:type="pct"/>
          </w:tcPr>
          <w:p w14:paraId="7ACEEDF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6F8B312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pct"/>
          </w:tcPr>
          <w:p w14:paraId="49E8C57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1ED01B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7C66760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1CAFA7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62F82EE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662C352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4900E75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42B81FA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2CA3B0E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20AD0" w:rsidRPr="00F1192B" w14:paraId="774F52F4" w14:textId="77777777" w:rsidTr="0000514F">
        <w:tc>
          <w:tcPr>
            <w:tcW w:w="298" w:type="pct"/>
          </w:tcPr>
          <w:p w14:paraId="3426EFA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4" w:type="pct"/>
          </w:tcPr>
          <w:p w14:paraId="54C3ABC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71A11B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95" w:type="pct"/>
          </w:tcPr>
          <w:p w14:paraId="4C9A78C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5D19837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6D5B6D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FD40F9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4566607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38F2B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675E3B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13AE61D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23ED287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5C36142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21AFFB7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20AD0" w:rsidRPr="00F1192B" w14:paraId="484E6819" w14:textId="77777777" w:rsidTr="0000514F">
        <w:tc>
          <w:tcPr>
            <w:tcW w:w="298" w:type="pct"/>
          </w:tcPr>
          <w:p w14:paraId="392E607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94" w:type="pct"/>
          </w:tcPr>
          <w:p w14:paraId="4337789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421A1E0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95" w:type="pct"/>
          </w:tcPr>
          <w:p w14:paraId="7EFE14C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74711A1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pct"/>
          </w:tcPr>
          <w:p w14:paraId="3203F7B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D4238C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508A528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58D3CD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7663F39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385193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5425045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2B250BE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47454AA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720AD0" w:rsidRPr="00F1192B" w14:paraId="680D5B49" w14:textId="77777777" w:rsidTr="0000514F">
        <w:tc>
          <w:tcPr>
            <w:tcW w:w="298" w:type="pct"/>
          </w:tcPr>
          <w:p w14:paraId="02FC691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4" w:type="pct"/>
          </w:tcPr>
          <w:p w14:paraId="2858615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199F84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6AD5BD5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24CC8EE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69278C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C311E3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1362458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C133D4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9231E8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6356979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0C02CD2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6284513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092B955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</w:tr>
      <w:tr w:rsidR="00720AD0" w:rsidRPr="00F1192B" w14:paraId="154A142C" w14:textId="77777777" w:rsidTr="0000514F">
        <w:tc>
          <w:tcPr>
            <w:tcW w:w="298" w:type="pct"/>
          </w:tcPr>
          <w:p w14:paraId="6373E53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4" w:type="pct"/>
          </w:tcPr>
          <w:p w14:paraId="702C9BA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7A5C7CD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492DDA8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7F24930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92A542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7EB54E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0A24071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331D96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A6DED2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630D05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49B61A4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6A1C2E3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91" w:type="pct"/>
            <w:gridSpan w:val="2"/>
            <w:vAlign w:val="bottom"/>
          </w:tcPr>
          <w:p w14:paraId="562645A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720AD0" w:rsidRPr="00F1192B" w14:paraId="6069DCE3" w14:textId="77777777" w:rsidTr="0000514F">
        <w:tc>
          <w:tcPr>
            <w:tcW w:w="298" w:type="pct"/>
          </w:tcPr>
          <w:p w14:paraId="55F497E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4" w:type="pct"/>
          </w:tcPr>
          <w:p w14:paraId="237544E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4E20C2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4EF99FD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5974F8B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776F5A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9BBBC3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2230B08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0F1BC8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4DA86C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1E720E5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" w:type="pct"/>
            <w:vAlign w:val="bottom"/>
          </w:tcPr>
          <w:p w14:paraId="189CC4F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3422</w:t>
            </w:r>
          </w:p>
        </w:tc>
        <w:tc>
          <w:tcPr>
            <w:tcW w:w="425" w:type="pct"/>
            <w:vAlign w:val="bottom"/>
          </w:tcPr>
          <w:p w14:paraId="513E369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5AC205E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1280</w:t>
            </w:r>
          </w:p>
        </w:tc>
      </w:tr>
      <w:tr w:rsidR="00720AD0" w:rsidRPr="00F1192B" w14:paraId="6140EBBA" w14:textId="77777777" w:rsidTr="0000514F">
        <w:tc>
          <w:tcPr>
            <w:tcW w:w="298" w:type="pct"/>
          </w:tcPr>
          <w:p w14:paraId="584BEC7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4" w:type="pct"/>
          </w:tcPr>
          <w:p w14:paraId="73BBA90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150984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0BEDFBA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43DC5A8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pct"/>
          </w:tcPr>
          <w:p w14:paraId="778929F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41AFCA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7A5CA26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ECF720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75584E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6D7708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420494C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44CC76E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72F94E6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720AD0" w:rsidRPr="00F1192B" w14:paraId="5381BC94" w14:textId="77777777" w:rsidTr="0000514F">
        <w:tc>
          <w:tcPr>
            <w:tcW w:w="298" w:type="pct"/>
          </w:tcPr>
          <w:p w14:paraId="12A02E9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4" w:type="pct"/>
          </w:tcPr>
          <w:p w14:paraId="26281F8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C4EABF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212779A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027380A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41B068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3BD5E83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83A9D4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BAFE2E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5A1011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CB410F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34" w:type="pct"/>
            <w:vAlign w:val="bottom"/>
          </w:tcPr>
          <w:p w14:paraId="32FBE1B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25" w:type="pct"/>
            <w:vAlign w:val="bottom"/>
          </w:tcPr>
          <w:p w14:paraId="040F31B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55F2826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7B8D678A" w14:textId="77777777" w:rsidTr="0000514F">
        <w:tc>
          <w:tcPr>
            <w:tcW w:w="298" w:type="pct"/>
          </w:tcPr>
          <w:p w14:paraId="332C49B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4" w:type="pct"/>
          </w:tcPr>
          <w:p w14:paraId="4514C40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48B2070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70C39AD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1B18E08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46AAFE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2BEBEDD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5111E2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CBEF3C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549B97F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022148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66798C0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5FFDC96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26252F1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128C6A3C" w14:textId="77777777" w:rsidTr="0000514F">
        <w:tc>
          <w:tcPr>
            <w:tcW w:w="298" w:type="pct"/>
          </w:tcPr>
          <w:p w14:paraId="7ACA0A9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4" w:type="pct"/>
          </w:tcPr>
          <w:p w14:paraId="3404838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2C3732C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5CA2E5F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705DE68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D6113F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7048E06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6D57CD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722877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2B4A24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26C2256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0122CA2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2EB2D25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1D3B99E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0CD41E16" w14:textId="77777777" w:rsidTr="0000514F">
        <w:tc>
          <w:tcPr>
            <w:tcW w:w="298" w:type="pct"/>
          </w:tcPr>
          <w:p w14:paraId="2FD42ED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4" w:type="pct"/>
          </w:tcPr>
          <w:p w14:paraId="7A14CDC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B27E05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13D647F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1E92B65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D697CD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2E668F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C56B6E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5B3CBE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6DA347C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2C062AE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03A80EE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6151400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1" w:type="pct"/>
            <w:gridSpan w:val="2"/>
            <w:vAlign w:val="bottom"/>
          </w:tcPr>
          <w:p w14:paraId="0511897C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</w:tr>
      <w:tr w:rsidR="00720AD0" w:rsidRPr="00F1192B" w14:paraId="58726AAC" w14:textId="77777777" w:rsidTr="0000514F">
        <w:tc>
          <w:tcPr>
            <w:tcW w:w="298" w:type="pct"/>
          </w:tcPr>
          <w:p w14:paraId="4092E2C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4" w:type="pct"/>
          </w:tcPr>
          <w:p w14:paraId="5E1282E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7356C0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277E2FA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2EF6A46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470D1C7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D09EB6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098B70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DB2042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156DF2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CBBCCD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5BADF64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3BCDAEA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1" w:type="pct"/>
            <w:gridSpan w:val="2"/>
            <w:vAlign w:val="bottom"/>
          </w:tcPr>
          <w:p w14:paraId="5CB2F51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</w:tr>
      <w:tr w:rsidR="00720AD0" w:rsidRPr="00F1192B" w14:paraId="619E4344" w14:textId="77777777" w:rsidTr="0000514F">
        <w:tc>
          <w:tcPr>
            <w:tcW w:w="298" w:type="pct"/>
          </w:tcPr>
          <w:p w14:paraId="38731C1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4" w:type="pct"/>
          </w:tcPr>
          <w:p w14:paraId="330A068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22AA721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7FE8BE6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1EDCE5D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B69FE9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C59858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21648A9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925E16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D4513B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E134C5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5565A50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37784F6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1D8A670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11B30869" w14:textId="77777777" w:rsidTr="0000514F">
        <w:tc>
          <w:tcPr>
            <w:tcW w:w="298" w:type="pct"/>
          </w:tcPr>
          <w:p w14:paraId="0F87607F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4" w:type="pct"/>
          </w:tcPr>
          <w:p w14:paraId="578DA4F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FFEF78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236B587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682E172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4B3B6DB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1EDD07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5B623E4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2FC826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C23D4B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55A3E012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0AD7F4D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19D8E84D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31547FA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</w:tr>
      <w:tr w:rsidR="00720AD0" w:rsidRPr="00F1192B" w14:paraId="48AF975D" w14:textId="77777777" w:rsidTr="0000514F">
        <w:tc>
          <w:tcPr>
            <w:tcW w:w="298" w:type="pct"/>
          </w:tcPr>
          <w:p w14:paraId="1C56619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4" w:type="pct"/>
          </w:tcPr>
          <w:p w14:paraId="38EA8F3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1985BF2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3B03D4A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1D02B49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BD699C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2D59B5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17B4453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9D06A8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B93C08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7E4E65F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" w:type="pct"/>
            <w:vAlign w:val="bottom"/>
          </w:tcPr>
          <w:p w14:paraId="20A9B96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pct"/>
            <w:vAlign w:val="bottom"/>
          </w:tcPr>
          <w:p w14:paraId="2A3A58C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1B6D3C50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20AD0" w:rsidRPr="00F1192B" w14:paraId="7ABB4AFB" w14:textId="77777777" w:rsidTr="0000514F">
        <w:tc>
          <w:tcPr>
            <w:tcW w:w="298" w:type="pct"/>
          </w:tcPr>
          <w:p w14:paraId="134E9D8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4" w:type="pct"/>
          </w:tcPr>
          <w:p w14:paraId="49FD4C1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155CA2E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1DE1AF7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7615294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4DD090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EAFCD4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4962C2B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CD4702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CDF25D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7BB804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vAlign w:val="bottom"/>
          </w:tcPr>
          <w:p w14:paraId="3F33D43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Align w:val="bottom"/>
          </w:tcPr>
          <w:p w14:paraId="426222D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gridSpan w:val="2"/>
            <w:vAlign w:val="bottom"/>
          </w:tcPr>
          <w:p w14:paraId="49DE930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</w:t>
            </w:r>
          </w:p>
        </w:tc>
      </w:tr>
      <w:tr w:rsidR="00720AD0" w:rsidRPr="00F1192B" w14:paraId="0AB87294" w14:textId="77777777" w:rsidTr="0000514F">
        <w:tc>
          <w:tcPr>
            <w:tcW w:w="298" w:type="pct"/>
          </w:tcPr>
          <w:p w14:paraId="7E387E6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4" w:type="pct"/>
          </w:tcPr>
          <w:p w14:paraId="58566C7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68C07D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395" w:type="pct"/>
          </w:tcPr>
          <w:p w14:paraId="4515B18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6C493E0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0DD30D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50A6841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F2628B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15F5D85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378665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CFB7D1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" w:type="pct"/>
            <w:vAlign w:val="bottom"/>
          </w:tcPr>
          <w:p w14:paraId="26FB830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3422</w:t>
            </w:r>
          </w:p>
        </w:tc>
        <w:tc>
          <w:tcPr>
            <w:tcW w:w="425" w:type="pct"/>
            <w:vAlign w:val="bottom"/>
          </w:tcPr>
          <w:p w14:paraId="19DE4D95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0052FCC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</w:tr>
      <w:tr w:rsidR="00720AD0" w:rsidRPr="00F1192B" w14:paraId="1D28B824" w14:textId="77777777" w:rsidTr="0000514F">
        <w:tc>
          <w:tcPr>
            <w:tcW w:w="298" w:type="pct"/>
          </w:tcPr>
          <w:p w14:paraId="61105D2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4" w:type="pct"/>
          </w:tcPr>
          <w:p w14:paraId="4BD26AAA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6252CD9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95" w:type="pct"/>
          </w:tcPr>
          <w:p w14:paraId="1DA58E1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7348F4B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0E069E4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C4B3B33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7D2AF88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48D4D8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6BE4F37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95CDC9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" w:type="pct"/>
            <w:vAlign w:val="bottom"/>
          </w:tcPr>
          <w:p w14:paraId="0A878E4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425" w:type="pct"/>
            <w:vAlign w:val="bottom"/>
          </w:tcPr>
          <w:p w14:paraId="0D69480E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1AFDFEE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720AD0" w:rsidRPr="00F1192B" w14:paraId="2C1225B7" w14:textId="77777777" w:rsidTr="0000514F">
        <w:tc>
          <w:tcPr>
            <w:tcW w:w="298" w:type="pct"/>
          </w:tcPr>
          <w:p w14:paraId="3E2CF6D9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4" w:type="pct"/>
          </w:tcPr>
          <w:p w14:paraId="5E06BE6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43C3012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95" w:type="pct"/>
          </w:tcPr>
          <w:p w14:paraId="2B112F6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4D547F9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DB0E49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463EF31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14:paraId="7800789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51F44B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5B9D320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894D37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" w:type="pct"/>
            <w:vAlign w:val="bottom"/>
          </w:tcPr>
          <w:p w14:paraId="40815A6A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12236</w:t>
            </w:r>
          </w:p>
        </w:tc>
        <w:tc>
          <w:tcPr>
            <w:tcW w:w="425" w:type="pct"/>
            <w:vAlign w:val="bottom"/>
          </w:tcPr>
          <w:p w14:paraId="3D767AB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054E68A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720AD0" w:rsidRPr="00F1192B" w14:paraId="51BB1887" w14:textId="77777777" w:rsidTr="0000514F">
        <w:trPr>
          <w:trHeight w:val="100"/>
        </w:trPr>
        <w:tc>
          <w:tcPr>
            <w:tcW w:w="298" w:type="pct"/>
          </w:tcPr>
          <w:p w14:paraId="4F3D9CCB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4" w:type="pct"/>
          </w:tcPr>
          <w:p w14:paraId="09B5043F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007098F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95" w:type="pct"/>
          </w:tcPr>
          <w:p w14:paraId="7AA8F86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3F4F260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A726AA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2726487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2987836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EC90A11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Unspecified</w:t>
            </w:r>
          </w:p>
        </w:tc>
        <w:tc>
          <w:tcPr>
            <w:tcW w:w="201" w:type="pct"/>
          </w:tcPr>
          <w:p w14:paraId="11940D7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7D629AE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34" w:type="pct"/>
            <w:vAlign w:val="bottom"/>
          </w:tcPr>
          <w:p w14:paraId="6E09FE08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12256</w:t>
            </w:r>
          </w:p>
        </w:tc>
        <w:tc>
          <w:tcPr>
            <w:tcW w:w="425" w:type="pct"/>
            <w:vAlign w:val="bottom"/>
          </w:tcPr>
          <w:p w14:paraId="106362A2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1" w:type="pct"/>
            <w:gridSpan w:val="2"/>
            <w:vAlign w:val="bottom"/>
          </w:tcPr>
          <w:p w14:paraId="4FCB9FB7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</w:tr>
      <w:tr w:rsidR="00720AD0" w:rsidRPr="00F1192B" w14:paraId="36FDA929" w14:textId="77777777" w:rsidTr="0000514F">
        <w:tc>
          <w:tcPr>
            <w:tcW w:w="298" w:type="pct"/>
          </w:tcPr>
          <w:p w14:paraId="11A8E636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4" w:type="pct"/>
          </w:tcPr>
          <w:p w14:paraId="17946010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Invasive</w:t>
            </w:r>
          </w:p>
        </w:tc>
        <w:tc>
          <w:tcPr>
            <w:tcW w:w="285" w:type="pct"/>
          </w:tcPr>
          <w:p w14:paraId="3236135D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95" w:type="pct"/>
          </w:tcPr>
          <w:p w14:paraId="5F91B08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385" w:type="pct"/>
          </w:tcPr>
          <w:p w14:paraId="732EDBEC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7B7F09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16965E86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21B509F5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94BB639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89A87B8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vAlign w:val="bottom"/>
          </w:tcPr>
          <w:p w14:paraId="4B555D9B" w14:textId="77777777" w:rsidR="00946658" w:rsidRPr="00F1192B" w:rsidRDefault="00946658" w:rsidP="00FD391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vAlign w:val="bottom"/>
          </w:tcPr>
          <w:p w14:paraId="24F4F341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9316</w:t>
            </w:r>
          </w:p>
        </w:tc>
        <w:tc>
          <w:tcPr>
            <w:tcW w:w="425" w:type="pct"/>
            <w:vAlign w:val="bottom"/>
          </w:tcPr>
          <w:p w14:paraId="6424C653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71D94374" w14:textId="77777777" w:rsidR="00946658" w:rsidRPr="00F1192B" w:rsidRDefault="00946658" w:rsidP="00FD3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720AD0" w:rsidRPr="00F1192B" w14:paraId="02B25D25" w14:textId="77777777" w:rsidTr="0000514F">
        <w:tc>
          <w:tcPr>
            <w:tcW w:w="298" w:type="pct"/>
            <w:vAlign w:val="center"/>
          </w:tcPr>
          <w:p w14:paraId="3C4F52A7" w14:textId="363973BA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4" w:type="pct"/>
          </w:tcPr>
          <w:p w14:paraId="4A22927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2B59586A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1DA1A00B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(NG)</w:t>
            </w:r>
          </w:p>
        </w:tc>
        <w:tc>
          <w:tcPr>
            <w:tcW w:w="385" w:type="pct"/>
          </w:tcPr>
          <w:p w14:paraId="5C858F0D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ACDC363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2CD626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C445D5C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15BE73C2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66B8B27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26C6416B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34" w:type="pct"/>
            <w:vAlign w:val="bottom"/>
          </w:tcPr>
          <w:p w14:paraId="1EC86F14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3327</w:t>
            </w:r>
          </w:p>
        </w:tc>
        <w:tc>
          <w:tcPr>
            <w:tcW w:w="425" w:type="pct"/>
            <w:vAlign w:val="bottom"/>
          </w:tcPr>
          <w:p w14:paraId="0A5A1781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  <w:tc>
          <w:tcPr>
            <w:tcW w:w="391" w:type="pct"/>
            <w:gridSpan w:val="2"/>
            <w:vAlign w:val="bottom"/>
          </w:tcPr>
          <w:p w14:paraId="3D445D0C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</w:tr>
      <w:tr w:rsidR="00720AD0" w:rsidRPr="00F1192B" w14:paraId="58C220C4" w14:textId="77777777" w:rsidTr="0000514F">
        <w:tc>
          <w:tcPr>
            <w:tcW w:w="298" w:type="pct"/>
            <w:vAlign w:val="center"/>
          </w:tcPr>
          <w:p w14:paraId="0FAC085F" w14:textId="4B7A6F2F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94" w:type="pct"/>
          </w:tcPr>
          <w:p w14:paraId="55C9D345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3ABAD5BC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2CA654B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 (C)</w:t>
            </w:r>
          </w:p>
        </w:tc>
        <w:tc>
          <w:tcPr>
            <w:tcW w:w="385" w:type="pct"/>
          </w:tcPr>
          <w:p w14:paraId="040C5B3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9139D40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30848568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6FEA27F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1ACD96C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6F1DE4AA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68DA4531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41/44</w:t>
            </w:r>
          </w:p>
        </w:tc>
        <w:tc>
          <w:tcPr>
            <w:tcW w:w="234" w:type="pct"/>
            <w:vAlign w:val="bottom"/>
          </w:tcPr>
          <w:p w14:paraId="189D5753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425" w:type="pct"/>
            <w:vAlign w:val="bottom"/>
          </w:tcPr>
          <w:p w14:paraId="672BBB8E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  <w:tc>
          <w:tcPr>
            <w:tcW w:w="391" w:type="pct"/>
            <w:gridSpan w:val="2"/>
            <w:vAlign w:val="bottom"/>
          </w:tcPr>
          <w:p w14:paraId="13C71D77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</w:tr>
      <w:tr w:rsidR="00720AD0" w:rsidRPr="00F1192B" w14:paraId="4611FF92" w14:textId="77777777" w:rsidTr="0000514F">
        <w:tc>
          <w:tcPr>
            <w:tcW w:w="298" w:type="pct"/>
            <w:vAlign w:val="center"/>
          </w:tcPr>
          <w:p w14:paraId="2A6FE46F" w14:textId="5BA0F156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94" w:type="pct"/>
          </w:tcPr>
          <w:p w14:paraId="219B3903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5AE6F4E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694DAFA2" w14:textId="5E1577BE" w:rsidR="00D7100C" w:rsidRPr="00F1192B" w:rsidRDefault="001C3CAE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</w:t>
            </w:r>
            <w:r w:rsidR="00D7100C"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(NG</w:t>
            </w:r>
            <w:r w:rsidR="00D7100C"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5" w:type="pct"/>
          </w:tcPr>
          <w:p w14:paraId="6457CDC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77DB1F8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C2141CC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2E60C9F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E7EFD9D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8D43F50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18D9A47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234" w:type="pct"/>
            <w:vAlign w:val="bottom"/>
          </w:tcPr>
          <w:p w14:paraId="60649B2A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425" w:type="pct"/>
            <w:vAlign w:val="bottom"/>
          </w:tcPr>
          <w:p w14:paraId="0EA18063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  <w:tc>
          <w:tcPr>
            <w:tcW w:w="391" w:type="pct"/>
            <w:gridSpan w:val="2"/>
            <w:vAlign w:val="bottom"/>
          </w:tcPr>
          <w:p w14:paraId="64C71F8B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</w:tr>
      <w:tr w:rsidR="00720AD0" w:rsidRPr="00F1192B" w14:paraId="31EBF4EE" w14:textId="77777777" w:rsidTr="0000514F">
        <w:tc>
          <w:tcPr>
            <w:tcW w:w="298" w:type="pct"/>
            <w:vAlign w:val="center"/>
          </w:tcPr>
          <w:p w14:paraId="3B866958" w14:textId="59938459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4" w:type="pct"/>
          </w:tcPr>
          <w:p w14:paraId="2E841EA0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1D97A8CF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5E33C804" w14:textId="1DDA1FF6" w:rsidR="00D7100C" w:rsidRPr="00F1192B" w:rsidRDefault="001C3CAE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</w:t>
            </w:r>
            <w:r w:rsidR="00D7100C"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</w:t>
            </w:r>
            <w:r w:rsidR="00D7100C"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5" w:type="pct"/>
          </w:tcPr>
          <w:p w14:paraId="038D31D9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ABE16FD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4984DADA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08CCA91A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E7FFDFF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7F3FF846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5424910F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34" w:type="pct"/>
            <w:vAlign w:val="bottom"/>
          </w:tcPr>
          <w:p w14:paraId="19DDE191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425" w:type="pct"/>
            <w:vAlign w:val="bottom"/>
          </w:tcPr>
          <w:p w14:paraId="7023277A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  <w:tc>
          <w:tcPr>
            <w:tcW w:w="391" w:type="pct"/>
            <w:gridSpan w:val="2"/>
            <w:vAlign w:val="bottom"/>
          </w:tcPr>
          <w:p w14:paraId="0FAE6F2E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</w:tr>
      <w:tr w:rsidR="00720AD0" w:rsidRPr="00F1192B" w14:paraId="475D1817" w14:textId="77777777" w:rsidTr="0000514F">
        <w:tc>
          <w:tcPr>
            <w:tcW w:w="298" w:type="pct"/>
            <w:vAlign w:val="center"/>
          </w:tcPr>
          <w:p w14:paraId="4420114C" w14:textId="135BD6DD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94" w:type="pct"/>
          </w:tcPr>
          <w:p w14:paraId="1D446B5A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64D70DE5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293CFEDB" w14:textId="3F026C16" w:rsidR="00D7100C" w:rsidRPr="00F1192B" w:rsidRDefault="001C3CAE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</w:t>
            </w:r>
            <w:r w:rsidR="00D7100C"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</w:t>
            </w:r>
            <w:r w:rsidR="00D7100C"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5" w:type="pct"/>
          </w:tcPr>
          <w:p w14:paraId="2409EA48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B6D940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5D41859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54B6DF5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6A280EC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3388453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A392C88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34" w:type="pct"/>
            <w:vAlign w:val="bottom"/>
          </w:tcPr>
          <w:p w14:paraId="0E6E4915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425" w:type="pct"/>
            <w:vAlign w:val="bottom"/>
          </w:tcPr>
          <w:p w14:paraId="37F65EC8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  <w:tc>
          <w:tcPr>
            <w:tcW w:w="391" w:type="pct"/>
            <w:gridSpan w:val="2"/>
            <w:vAlign w:val="bottom"/>
          </w:tcPr>
          <w:p w14:paraId="019EE252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</w:tr>
      <w:tr w:rsidR="00720AD0" w:rsidRPr="00F1192B" w14:paraId="1F342460" w14:textId="77777777" w:rsidTr="0000514F">
        <w:tc>
          <w:tcPr>
            <w:tcW w:w="298" w:type="pct"/>
            <w:vAlign w:val="center"/>
          </w:tcPr>
          <w:p w14:paraId="5971FBF4" w14:textId="708F4D49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94" w:type="pct"/>
          </w:tcPr>
          <w:p w14:paraId="04DB9D88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78370E5E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732F338B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(NG)</w:t>
            </w:r>
          </w:p>
        </w:tc>
        <w:tc>
          <w:tcPr>
            <w:tcW w:w="385" w:type="pct"/>
          </w:tcPr>
          <w:p w14:paraId="74D93E06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4D2D66FD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1D4C6A8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AD61790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252C4CE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7C54F656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627B49D6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2ECC75AD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74CB4D01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  <w:tc>
          <w:tcPr>
            <w:tcW w:w="391" w:type="pct"/>
            <w:gridSpan w:val="2"/>
            <w:vAlign w:val="bottom"/>
          </w:tcPr>
          <w:p w14:paraId="3656136E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</w:tr>
      <w:tr w:rsidR="00720AD0" w:rsidRPr="00F1192B" w14:paraId="34D8A6D0" w14:textId="77777777" w:rsidTr="0000514F">
        <w:tc>
          <w:tcPr>
            <w:tcW w:w="298" w:type="pct"/>
            <w:vAlign w:val="center"/>
          </w:tcPr>
          <w:p w14:paraId="2E64404E" w14:textId="206129C0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94" w:type="pct"/>
          </w:tcPr>
          <w:p w14:paraId="5703CA79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477B7181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65BE2AC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(NG)</w:t>
            </w:r>
          </w:p>
        </w:tc>
        <w:tc>
          <w:tcPr>
            <w:tcW w:w="385" w:type="pct"/>
          </w:tcPr>
          <w:p w14:paraId="4B7B974A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F67D5E9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D86384B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12A5743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06259CB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781B79EA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5120F68D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789F5277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132B97DE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0A6DE436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720AD0" w:rsidRPr="00F1192B" w14:paraId="3A0ABDE8" w14:textId="77777777" w:rsidTr="0000514F">
        <w:tc>
          <w:tcPr>
            <w:tcW w:w="298" w:type="pct"/>
            <w:vAlign w:val="center"/>
          </w:tcPr>
          <w:p w14:paraId="76844011" w14:textId="5FBEC7D6" w:rsidR="00D7100C" w:rsidRPr="00D7100C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0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94" w:type="pct"/>
          </w:tcPr>
          <w:p w14:paraId="4A9AC975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2F2F5BF5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46E7804C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(NG)</w:t>
            </w:r>
          </w:p>
        </w:tc>
        <w:tc>
          <w:tcPr>
            <w:tcW w:w="385" w:type="pct"/>
          </w:tcPr>
          <w:p w14:paraId="3A31C996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30F6180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01C3575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753B87B1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7D1885E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C692364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87F715F" w14:textId="77777777" w:rsidR="00D7100C" w:rsidRPr="00F1192B" w:rsidRDefault="00D7100C" w:rsidP="00D710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0C2D0C47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373CAD33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2DCD5A37" w14:textId="77777777" w:rsidR="00D7100C" w:rsidRPr="00F1192B" w:rsidRDefault="00D7100C" w:rsidP="00D710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300927" w:rsidRPr="00F1192B" w14:paraId="485ADDC6" w14:textId="77777777" w:rsidTr="0000514F">
        <w:tc>
          <w:tcPr>
            <w:tcW w:w="298" w:type="pct"/>
            <w:vAlign w:val="center"/>
          </w:tcPr>
          <w:p w14:paraId="25D3A47E" w14:textId="60BF0091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94" w:type="pct"/>
          </w:tcPr>
          <w:p w14:paraId="435A401A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785A067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30B758C7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(NG)</w:t>
            </w:r>
          </w:p>
        </w:tc>
        <w:tc>
          <w:tcPr>
            <w:tcW w:w="385" w:type="pct"/>
          </w:tcPr>
          <w:p w14:paraId="04D597D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12F133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5601AF80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19B69F03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DFF03F2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B4703D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E6A963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" w:type="pct"/>
            <w:vAlign w:val="bottom"/>
          </w:tcPr>
          <w:p w14:paraId="1A125ACF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pct"/>
            <w:vAlign w:val="bottom"/>
          </w:tcPr>
          <w:p w14:paraId="4D3276F6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1" w:type="pct"/>
            <w:gridSpan w:val="2"/>
            <w:vAlign w:val="bottom"/>
          </w:tcPr>
          <w:p w14:paraId="240AAB50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300927" w:rsidRPr="00F1192B" w14:paraId="5B1A6C0F" w14:textId="77777777" w:rsidTr="0000514F">
        <w:tc>
          <w:tcPr>
            <w:tcW w:w="298" w:type="pct"/>
            <w:vAlign w:val="center"/>
          </w:tcPr>
          <w:p w14:paraId="60FADA3B" w14:textId="13D2C448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94" w:type="pct"/>
          </w:tcPr>
          <w:p w14:paraId="1292F97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2B789FD3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4D981C78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(NG)</w:t>
            </w:r>
          </w:p>
        </w:tc>
        <w:tc>
          <w:tcPr>
            <w:tcW w:w="385" w:type="pct"/>
          </w:tcPr>
          <w:p w14:paraId="5F8917F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96A0A12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411211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003047CE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73F5D63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34EE779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B6F58F7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4" w:type="pct"/>
            <w:vAlign w:val="bottom"/>
          </w:tcPr>
          <w:p w14:paraId="39B4C589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425" w:type="pct"/>
            <w:vAlign w:val="bottom"/>
          </w:tcPr>
          <w:p w14:paraId="670AEF62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gridSpan w:val="2"/>
            <w:vAlign w:val="bottom"/>
          </w:tcPr>
          <w:p w14:paraId="298E81E8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300927" w:rsidRPr="00F1192B" w14:paraId="2AC93ABD" w14:textId="77777777" w:rsidTr="0000514F">
        <w:tc>
          <w:tcPr>
            <w:tcW w:w="298" w:type="pct"/>
            <w:vAlign w:val="center"/>
          </w:tcPr>
          <w:p w14:paraId="1FB05FEE" w14:textId="5609A9EB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94" w:type="pct"/>
          </w:tcPr>
          <w:p w14:paraId="4C5CF731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2583E27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4F9332D6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(NG)</w:t>
            </w:r>
          </w:p>
        </w:tc>
        <w:tc>
          <w:tcPr>
            <w:tcW w:w="385" w:type="pct"/>
          </w:tcPr>
          <w:p w14:paraId="5D122C82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D425F3B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64C1268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7F6AED8E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4284F41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5975556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559C2EF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5F9809FD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425" w:type="pct"/>
            <w:vAlign w:val="bottom"/>
          </w:tcPr>
          <w:p w14:paraId="66C40D78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0A459747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300927" w:rsidRPr="00F1192B" w14:paraId="45396BED" w14:textId="77777777" w:rsidTr="0000514F">
        <w:tc>
          <w:tcPr>
            <w:tcW w:w="298" w:type="pct"/>
            <w:vAlign w:val="center"/>
          </w:tcPr>
          <w:p w14:paraId="04DF2421" w14:textId="681A9CDE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94" w:type="pct"/>
          </w:tcPr>
          <w:p w14:paraId="7F79B3B1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7AEF85DB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51EF2CC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(Y)</w:t>
            </w:r>
          </w:p>
        </w:tc>
        <w:tc>
          <w:tcPr>
            <w:tcW w:w="385" w:type="pct"/>
          </w:tcPr>
          <w:p w14:paraId="5F969341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E9C1C33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35F2A67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8E9308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4F8345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20FDB4E5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0117841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4" w:type="pct"/>
            <w:vAlign w:val="bottom"/>
          </w:tcPr>
          <w:p w14:paraId="793F1EE4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5436</w:t>
            </w:r>
          </w:p>
        </w:tc>
        <w:tc>
          <w:tcPr>
            <w:tcW w:w="425" w:type="pct"/>
            <w:vAlign w:val="bottom"/>
          </w:tcPr>
          <w:p w14:paraId="05910366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1" w:type="pct"/>
            <w:gridSpan w:val="2"/>
            <w:vAlign w:val="bottom"/>
          </w:tcPr>
          <w:p w14:paraId="273C0931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</w:tr>
      <w:tr w:rsidR="00300927" w:rsidRPr="00A00005" w14:paraId="7D4F5994" w14:textId="77777777" w:rsidTr="0000514F">
        <w:tc>
          <w:tcPr>
            <w:tcW w:w="298" w:type="pct"/>
            <w:vAlign w:val="center"/>
          </w:tcPr>
          <w:p w14:paraId="46EE35BE" w14:textId="1DBA7D2A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94" w:type="pct"/>
          </w:tcPr>
          <w:p w14:paraId="3B90A146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3687DFCF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15A1D8D3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(Y)</w:t>
            </w:r>
          </w:p>
        </w:tc>
        <w:tc>
          <w:tcPr>
            <w:tcW w:w="385" w:type="pct"/>
          </w:tcPr>
          <w:p w14:paraId="7D07DB35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171882D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6B81ED01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726E2437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6703EB5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B224873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0D421B14" w14:textId="233B3212" w:rsidR="00300927" w:rsidRPr="00300927" w:rsidRDefault="00300927" w:rsidP="00300927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167</w:t>
            </w:r>
          </w:p>
        </w:tc>
        <w:tc>
          <w:tcPr>
            <w:tcW w:w="234" w:type="pct"/>
            <w:vAlign w:val="bottom"/>
          </w:tcPr>
          <w:p w14:paraId="3C1583B1" w14:textId="0172C4AF" w:rsidR="00300927" w:rsidRPr="00300927" w:rsidRDefault="00300927" w:rsidP="00300927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16465</w:t>
            </w:r>
          </w:p>
        </w:tc>
        <w:tc>
          <w:tcPr>
            <w:tcW w:w="425" w:type="pct"/>
            <w:vAlign w:val="bottom"/>
          </w:tcPr>
          <w:p w14:paraId="2069E456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391" w:type="pct"/>
            <w:gridSpan w:val="2"/>
            <w:vAlign w:val="bottom"/>
          </w:tcPr>
          <w:p w14:paraId="19697237" w14:textId="77777777" w:rsidR="00300927" w:rsidRPr="00300927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</w:tr>
      <w:tr w:rsidR="00300927" w:rsidRPr="00F1192B" w14:paraId="166BB5E0" w14:textId="77777777" w:rsidTr="0000514F">
        <w:tc>
          <w:tcPr>
            <w:tcW w:w="298" w:type="pct"/>
            <w:vAlign w:val="center"/>
          </w:tcPr>
          <w:p w14:paraId="682C8C68" w14:textId="0E7AC650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4" w:type="pct"/>
          </w:tcPr>
          <w:p w14:paraId="1013658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532B77B0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459B6DE2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(NG)</w:t>
            </w:r>
          </w:p>
        </w:tc>
        <w:tc>
          <w:tcPr>
            <w:tcW w:w="385" w:type="pct"/>
          </w:tcPr>
          <w:p w14:paraId="76D353D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4451A2E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0A0A28E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42D03016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7D193B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E1D61A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5838DD2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1889CB16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425" w:type="pct"/>
            <w:vAlign w:val="bottom"/>
          </w:tcPr>
          <w:p w14:paraId="7940C642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1" w:type="pct"/>
            <w:gridSpan w:val="2"/>
            <w:vAlign w:val="bottom"/>
          </w:tcPr>
          <w:p w14:paraId="4502C5D1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</w:t>
            </w:r>
          </w:p>
        </w:tc>
      </w:tr>
      <w:tr w:rsidR="00300927" w:rsidRPr="00F1192B" w14:paraId="2B7C2E47" w14:textId="77777777" w:rsidTr="0000514F">
        <w:tc>
          <w:tcPr>
            <w:tcW w:w="298" w:type="pct"/>
            <w:vAlign w:val="center"/>
          </w:tcPr>
          <w:p w14:paraId="3D2D08C6" w14:textId="5AF2189D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4" w:type="pct"/>
          </w:tcPr>
          <w:p w14:paraId="03B668D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07E038C7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3FEEE0C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(NG)</w:t>
            </w:r>
          </w:p>
        </w:tc>
        <w:tc>
          <w:tcPr>
            <w:tcW w:w="385" w:type="pct"/>
          </w:tcPr>
          <w:p w14:paraId="4A319B11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C16A92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3C65008F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09D3464B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93C64A5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6CEDC6A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78EB2E7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71635D3B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10098</w:t>
            </w:r>
          </w:p>
        </w:tc>
        <w:tc>
          <w:tcPr>
            <w:tcW w:w="425" w:type="pct"/>
            <w:vAlign w:val="bottom"/>
          </w:tcPr>
          <w:p w14:paraId="0BFC88F6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91" w:type="pct"/>
            <w:gridSpan w:val="2"/>
            <w:vAlign w:val="bottom"/>
          </w:tcPr>
          <w:p w14:paraId="721F07D3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300927" w:rsidRPr="00F1192B" w14:paraId="25BF0914" w14:textId="77777777" w:rsidTr="0000514F">
        <w:tc>
          <w:tcPr>
            <w:tcW w:w="298" w:type="pct"/>
            <w:vAlign w:val="center"/>
          </w:tcPr>
          <w:p w14:paraId="560820C0" w14:textId="69A018FA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94" w:type="pct"/>
          </w:tcPr>
          <w:p w14:paraId="10DD401E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12F174A0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5413DAAB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(NG)</w:t>
            </w:r>
          </w:p>
        </w:tc>
        <w:tc>
          <w:tcPr>
            <w:tcW w:w="385" w:type="pct"/>
          </w:tcPr>
          <w:p w14:paraId="18B8A2F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E50DD8E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7F508C2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501D2F26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AA6983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3429BCB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403A5AD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4" w:type="pct"/>
            <w:vAlign w:val="bottom"/>
          </w:tcPr>
          <w:p w14:paraId="19BB4B63" w14:textId="66D23590" w:rsidR="00300927" w:rsidRPr="00300927" w:rsidRDefault="00300927" w:rsidP="00300927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30092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16468</w:t>
            </w:r>
          </w:p>
        </w:tc>
        <w:tc>
          <w:tcPr>
            <w:tcW w:w="425" w:type="pct"/>
            <w:vAlign w:val="bottom"/>
          </w:tcPr>
          <w:p w14:paraId="4147DCA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91" w:type="pct"/>
            <w:gridSpan w:val="2"/>
            <w:vAlign w:val="bottom"/>
          </w:tcPr>
          <w:p w14:paraId="7CE985C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</w:tr>
      <w:tr w:rsidR="00300927" w:rsidRPr="00F1192B" w14:paraId="5FE414E6" w14:textId="77777777" w:rsidTr="0000514F">
        <w:tc>
          <w:tcPr>
            <w:tcW w:w="298" w:type="pct"/>
            <w:vAlign w:val="center"/>
          </w:tcPr>
          <w:p w14:paraId="2CCC04A1" w14:textId="7E44BB37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94" w:type="pct"/>
          </w:tcPr>
          <w:p w14:paraId="29DA6F7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3BF27C40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6095652F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(Y)</w:t>
            </w:r>
          </w:p>
        </w:tc>
        <w:tc>
          <w:tcPr>
            <w:tcW w:w="385" w:type="pct"/>
          </w:tcPr>
          <w:p w14:paraId="5E57B648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5F8CBCF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14AFB45F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3A750C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4D24825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02267E3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19C50ED3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4" w:type="pct"/>
            <w:vAlign w:val="bottom"/>
          </w:tcPr>
          <w:p w14:paraId="37D67E63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5" w:type="pct"/>
            <w:vAlign w:val="bottom"/>
          </w:tcPr>
          <w:p w14:paraId="3ABB5C41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1" w:type="pct"/>
            <w:gridSpan w:val="2"/>
            <w:vAlign w:val="bottom"/>
          </w:tcPr>
          <w:p w14:paraId="40CEFD9C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300927" w:rsidRPr="00F1192B" w14:paraId="3A1F230B" w14:textId="77777777" w:rsidTr="0000514F">
        <w:tc>
          <w:tcPr>
            <w:tcW w:w="298" w:type="pct"/>
            <w:vAlign w:val="center"/>
          </w:tcPr>
          <w:p w14:paraId="4C02A37B" w14:textId="00F6AAF6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94" w:type="pct"/>
          </w:tcPr>
          <w:p w14:paraId="1C467D0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57382D9E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213AF4B2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(NG)</w:t>
            </w:r>
          </w:p>
        </w:tc>
        <w:tc>
          <w:tcPr>
            <w:tcW w:w="385" w:type="pct"/>
          </w:tcPr>
          <w:p w14:paraId="6DCA1286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C3591EB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E2BCC4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6149570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59D6696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127572AB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EBCCC5C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6BF8AEC6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425" w:type="pct"/>
            <w:vAlign w:val="bottom"/>
          </w:tcPr>
          <w:p w14:paraId="3E55DB77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1" w:type="pct"/>
            <w:gridSpan w:val="2"/>
            <w:vAlign w:val="bottom"/>
          </w:tcPr>
          <w:p w14:paraId="7ED12FAE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</w:t>
            </w:r>
          </w:p>
        </w:tc>
      </w:tr>
      <w:tr w:rsidR="00300927" w:rsidRPr="00F1192B" w14:paraId="23FE812F" w14:textId="77777777" w:rsidTr="0000514F">
        <w:tc>
          <w:tcPr>
            <w:tcW w:w="298" w:type="pct"/>
            <w:vAlign w:val="center"/>
          </w:tcPr>
          <w:p w14:paraId="57902826" w14:textId="0B939072" w:rsidR="00300927" w:rsidRPr="00300927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94" w:type="pct"/>
          </w:tcPr>
          <w:p w14:paraId="50611AC3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Carriage</w:t>
            </w:r>
          </w:p>
        </w:tc>
        <w:tc>
          <w:tcPr>
            <w:tcW w:w="285" w:type="pct"/>
          </w:tcPr>
          <w:p w14:paraId="384C8654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</w:tcPr>
          <w:p w14:paraId="6ACA1609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 (NG)</w:t>
            </w:r>
          </w:p>
        </w:tc>
        <w:tc>
          <w:tcPr>
            <w:tcW w:w="385" w:type="pct"/>
          </w:tcPr>
          <w:p w14:paraId="65BC4915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34CA78A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pct"/>
          </w:tcPr>
          <w:p w14:paraId="2EC404BE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</w:tcPr>
          <w:p w14:paraId="30F6BBED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049447D8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</w:tcPr>
          <w:p w14:paraId="4794EDA7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vAlign w:val="bottom"/>
          </w:tcPr>
          <w:p w14:paraId="376E04BF" w14:textId="77777777" w:rsidR="00300927" w:rsidRPr="00F1192B" w:rsidRDefault="00300927" w:rsidP="0030092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vAlign w:val="bottom"/>
          </w:tcPr>
          <w:p w14:paraId="12B8EE81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pct"/>
            <w:vAlign w:val="bottom"/>
          </w:tcPr>
          <w:p w14:paraId="5BA2798B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  <w:tc>
          <w:tcPr>
            <w:tcW w:w="391" w:type="pct"/>
            <w:gridSpan w:val="2"/>
            <w:vAlign w:val="bottom"/>
          </w:tcPr>
          <w:p w14:paraId="031DA98F" w14:textId="77777777" w:rsidR="00300927" w:rsidRPr="00F1192B" w:rsidRDefault="00300927" w:rsidP="0030092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262144</w:t>
            </w:r>
          </w:p>
        </w:tc>
      </w:tr>
    </w:tbl>
    <w:bookmarkEnd w:id="0"/>
    <w:p w14:paraId="75AE9E52" w14:textId="0B92C910" w:rsidR="00946658" w:rsidRDefault="0000514F" w:rsidP="0094665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ST = sequence type; cnl = capsule null locus. *Serogroup for invasive isolates was determined with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Ouchterlony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gel diffusion, for carriage isolates with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serolatex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DE6B61">
        <w:rPr>
          <w:rFonts w:ascii="Times New Roman" w:hAnsi="Times New Roman" w:cs="Times New Roman"/>
          <w:bCs/>
          <w:sz w:val="20"/>
          <w:szCs w:val="20"/>
          <w:lang w:val="en-US"/>
        </w:rPr>
        <w:t>agglutination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assay. The letter between the brackets after each serogroup of all carriage isolates represents the genogroup as predicted by WGS. Note: if a field is blank, </w:t>
      </w:r>
      <w:r w:rsidR="00154973">
        <w:rPr>
          <w:rFonts w:ascii="Times New Roman" w:hAnsi="Times New Roman" w:cs="Times New Roman"/>
          <w:bCs/>
          <w:sz w:val="20"/>
          <w:szCs w:val="20"/>
          <w:lang w:val="en-US"/>
        </w:rPr>
        <w:t>the ST of the isolate does not belong to a cc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. All isolates were collected in the Netherlands.</w:t>
      </w:r>
      <w:r w:rsidR="00946658">
        <w:rPr>
          <w:rFonts w:ascii="Times New Roman" w:hAnsi="Times New Roman" w:cs="Times New Roman"/>
          <w:b/>
          <w:lang w:val="en-US"/>
        </w:rPr>
        <w:br w:type="page"/>
      </w:r>
    </w:p>
    <w:p w14:paraId="46FCB41D" w14:textId="3AEAF6A8" w:rsidR="00946658" w:rsidRPr="00E773D9" w:rsidRDefault="00946658" w:rsidP="00946658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Supplementary Table 2. Details on the two pools of serum with information on donors and concentration of polysaccharide-specific IgG concentration*. 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547"/>
        <w:gridCol w:w="850"/>
        <w:gridCol w:w="1985"/>
        <w:gridCol w:w="2268"/>
      </w:tblGrid>
      <w:tr w:rsidR="00946658" w:rsidRPr="00030688" w14:paraId="5E6779BE" w14:textId="77777777" w:rsidTr="00FD3915">
        <w:trPr>
          <w:trHeight w:val="300"/>
        </w:trPr>
        <w:tc>
          <w:tcPr>
            <w:tcW w:w="2547" w:type="dxa"/>
            <w:noWrap/>
            <w:hideMark/>
          </w:tcPr>
          <w:p w14:paraId="67968DFB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850" w:type="dxa"/>
            <w:noWrap/>
            <w:hideMark/>
          </w:tcPr>
          <w:p w14:paraId="15D1C109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985" w:type="dxa"/>
            <w:noWrap/>
            <w:hideMark/>
          </w:tcPr>
          <w:p w14:paraId="2AE72A7F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Serum pool 1</w:t>
            </w:r>
          </w:p>
        </w:tc>
        <w:tc>
          <w:tcPr>
            <w:tcW w:w="2268" w:type="dxa"/>
            <w:noWrap/>
            <w:hideMark/>
          </w:tcPr>
          <w:p w14:paraId="015614C5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Serum pool 2</w:t>
            </w:r>
          </w:p>
        </w:tc>
      </w:tr>
      <w:tr w:rsidR="00946658" w:rsidRPr="00154973" w14:paraId="12813B55" w14:textId="77777777" w:rsidTr="00FD3915">
        <w:trPr>
          <w:trHeight w:val="300"/>
        </w:trPr>
        <w:tc>
          <w:tcPr>
            <w:tcW w:w="2547" w:type="dxa"/>
            <w:noWrap/>
            <w:hideMark/>
          </w:tcPr>
          <w:p w14:paraId="42B6665C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vaccination</w:t>
            </w:r>
            <w:proofErr w:type="spellEnd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status of donors</w:t>
            </w:r>
          </w:p>
        </w:tc>
        <w:tc>
          <w:tcPr>
            <w:tcW w:w="850" w:type="dxa"/>
            <w:noWrap/>
            <w:hideMark/>
          </w:tcPr>
          <w:p w14:paraId="6A81B1C8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noWrap/>
            <w:hideMark/>
          </w:tcPr>
          <w:p w14:paraId="0C8E481C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2268" w:type="dxa"/>
            <w:noWrap/>
            <w:hideMark/>
          </w:tcPr>
          <w:p w14:paraId="497116B7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Vaccinated 5 years prior</w:t>
            </w:r>
            <w:r w:rsidRPr="00B7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serum collection</w:t>
            </w:r>
          </w:p>
        </w:tc>
      </w:tr>
      <w:tr w:rsidR="00946658" w:rsidRPr="00030688" w14:paraId="42738871" w14:textId="77777777" w:rsidTr="00FD3915">
        <w:trPr>
          <w:trHeight w:val="300"/>
        </w:trPr>
        <w:tc>
          <w:tcPr>
            <w:tcW w:w="2547" w:type="dxa"/>
            <w:noWrap/>
            <w:hideMark/>
          </w:tcPr>
          <w:p w14:paraId="02CDDEFC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 of donors</w:t>
            </w:r>
          </w:p>
        </w:tc>
        <w:tc>
          <w:tcPr>
            <w:tcW w:w="850" w:type="dxa"/>
            <w:noWrap/>
            <w:hideMark/>
          </w:tcPr>
          <w:p w14:paraId="2EF01861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noWrap/>
            <w:hideMark/>
          </w:tcPr>
          <w:p w14:paraId="4BE408DF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268" w:type="dxa"/>
            <w:noWrap/>
            <w:hideMark/>
          </w:tcPr>
          <w:p w14:paraId="0635365F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11</w:t>
            </w:r>
          </w:p>
        </w:tc>
      </w:tr>
      <w:tr w:rsidR="00946658" w:rsidRPr="00154973" w14:paraId="1002DD27" w14:textId="77777777" w:rsidTr="00FD3915">
        <w:trPr>
          <w:trHeight w:val="300"/>
        </w:trPr>
        <w:tc>
          <w:tcPr>
            <w:tcW w:w="2547" w:type="dxa"/>
            <w:noWrap/>
            <w:hideMark/>
          </w:tcPr>
          <w:p w14:paraId="65463E26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age</w:t>
            </w:r>
            <w:proofErr w:type="spellEnd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of donors</w:t>
            </w:r>
          </w:p>
        </w:tc>
        <w:tc>
          <w:tcPr>
            <w:tcW w:w="850" w:type="dxa"/>
            <w:noWrap/>
            <w:hideMark/>
          </w:tcPr>
          <w:p w14:paraId="52CB359C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noWrap/>
            <w:hideMark/>
          </w:tcPr>
          <w:p w14:paraId="58D47A89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50-65 years</w:t>
            </w:r>
          </w:p>
        </w:tc>
        <w:tc>
          <w:tcPr>
            <w:tcW w:w="2268" w:type="dxa"/>
            <w:noWrap/>
            <w:hideMark/>
          </w:tcPr>
          <w:p w14:paraId="6A6DC3F1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15-20 years (10-15 at time of vaccination)</w:t>
            </w:r>
          </w:p>
        </w:tc>
      </w:tr>
      <w:tr w:rsidR="00946658" w:rsidRPr="00030688" w14:paraId="222FF427" w14:textId="77777777" w:rsidTr="00FD3915">
        <w:trPr>
          <w:trHeight w:val="300"/>
        </w:trPr>
        <w:tc>
          <w:tcPr>
            <w:tcW w:w="2547" w:type="dxa"/>
            <w:noWrap/>
            <w:hideMark/>
          </w:tcPr>
          <w:p w14:paraId="58EAEA86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sex</w:t>
            </w:r>
            <w:proofErr w:type="spellEnd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of donors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% </w:t>
            </w:r>
            <w:proofErr w:type="spellStart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female</w:t>
            </w:r>
            <w:proofErr w:type="spellEnd"/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4733E9DA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5" w:type="dxa"/>
            <w:noWrap/>
            <w:hideMark/>
          </w:tcPr>
          <w:p w14:paraId="2D9F1B80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80% (8 out of 10)</w:t>
            </w:r>
          </w:p>
        </w:tc>
        <w:tc>
          <w:tcPr>
            <w:tcW w:w="2268" w:type="dxa"/>
            <w:noWrap/>
            <w:hideMark/>
          </w:tcPr>
          <w:p w14:paraId="4BEEC608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45% (5 out of 11)</w:t>
            </w:r>
          </w:p>
        </w:tc>
      </w:tr>
      <w:tr w:rsidR="00946658" w:rsidRPr="00030688" w14:paraId="499667AD" w14:textId="77777777" w:rsidTr="00FD3915">
        <w:trPr>
          <w:trHeight w:val="300"/>
        </w:trPr>
        <w:tc>
          <w:tcPr>
            <w:tcW w:w="2547" w:type="dxa"/>
            <w:vMerge w:val="restart"/>
            <w:noWrap/>
            <w:vAlign w:val="center"/>
            <w:hideMark/>
          </w:tcPr>
          <w:p w14:paraId="24B64E71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Weighted mean concentration of polysaccharide-specific IgG* (µg/mL)</w:t>
            </w:r>
          </w:p>
        </w:tc>
        <w:tc>
          <w:tcPr>
            <w:tcW w:w="850" w:type="dxa"/>
            <w:noWrap/>
            <w:hideMark/>
          </w:tcPr>
          <w:p w14:paraId="00EC0977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MenC</w:t>
            </w:r>
          </w:p>
        </w:tc>
        <w:tc>
          <w:tcPr>
            <w:tcW w:w="1985" w:type="dxa"/>
            <w:noWrap/>
            <w:hideMark/>
          </w:tcPr>
          <w:p w14:paraId="7A33C77C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0.44 </w:t>
            </w:r>
          </w:p>
        </w:tc>
        <w:tc>
          <w:tcPr>
            <w:tcW w:w="2268" w:type="dxa"/>
            <w:noWrap/>
            <w:hideMark/>
          </w:tcPr>
          <w:p w14:paraId="2F78D52A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16.29</w:t>
            </w:r>
          </w:p>
        </w:tc>
      </w:tr>
      <w:tr w:rsidR="00946658" w:rsidRPr="00030688" w14:paraId="34005A23" w14:textId="77777777" w:rsidTr="00FD3915">
        <w:trPr>
          <w:trHeight w:val="300"/>
        </w:trPr>
        <w:tc>
          <w:tcPr>
            <w:tcW w:w="2547" w:type="dxa"/>
            <w:vMerge/>
            <w:noWrap/>
            <w:hideMark/>
          </w:tcPr>
          <w:p w14:paraId="2A143343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noWrap/>
            <w:hideMark/>
          </w:tcPr>
          <w:p w14:paraId="63FF5BE4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MenW</w:t>
            </w:r>
          </w:p>
        </w:tc>
        <w:tc>
          <w:tcPr>
            <w:tcW w:w="1985" w:type="dxa"/>
            <w:noWrap/>
            <w:hideMark/>
          </w:tcPr>
          <w:p w14:paraId="56752FC4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0.33</w:t>
            </w:r>
          </w:p>
        </w:tc>
        <w:tc>
          <w:tcPr>
            <w:tcW w:w="2268" w:type="dxa"/>
            <w:noWrap/>
            <w:hideMark/>
          </w:tcPr>
          <w:p w14:paraId="68B6484B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10.17</w:t>
            </w:r>
          </w:p>
        </w:tc>
      </w:tr>
      <w:tr w:rsidR="00946658" w:rsidRPr="00030688" w14:paraId="3F12DD99" w14:textId="77777777" w:rsidTr="00FD3915">
        <w:trPr>
          <w:trHeight w:val="300"/>
        </w:trPr>
        <w:tc>
          <w:tcPr>
            <w:tcW w:w="2547" w:type="dxa"/>
            <w:vMerge/>
            <w:noWrap/>
            <w:hideMark/>
          </w:tcPr>
          <w:p w14:paraId="0C8EB1FB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noWrap/>
            <w:hideMark/>
          </w:tcPr>
          <w:p w14:paraId="594EA5AD" w14:textId="77777777" w:rsidR="00946658" w:rsidRPr="00030688" w:rsidRDefault="00946658" w:rsidP="00FD3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MenY</w:t>
            </w:r>
          </w:p>
        </w:tc>
        <w:tc>
          <w:tcPr>
            <w:tcW w:w="1985" w:type="dxa"/>
            <w:noWrap/>
            <w:hideMark/>
          </w:tcPr>
          <w:p w14:paraId="3936C03B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03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0.22</w:t>
            </w:r>
          </w:p>
        </w:tc>
        <w:tc>
          <w:tcPr>
            <w:tcW w:w="2268" w:type="dxa"/>
            <w:noWrap/>
            <w:hideMark/>
          </w:tcPr>
          <w:p w14:paraId="04795DDF" w14:textId="77777777" w:rsidR="00946658" w:rsidRPr="00030688" w:rsidRDefault="00946658" w:rsidP="00FD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22.83</w:t>
            </w:r>
          </w:p>
        </w:tc>
      </w:tr>
    </w:tbl>
    <w:p w14:paraId="51CC0927" w14:textId="6305714E" w:rsidR="00946658" w:rsidRDefault="001D2F77" w:rsidP="00946658">
      <w:pPr>
        <w:spacing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*determined with the multiplex immunoassay as described by De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Voer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et al. (1).</w:t>
      </w:r>
    </w:p>
    <w:p w14:paraId="1B87FD74" w14:textId="77777777" w:rsidR="00946658" w:rsidRPr="008442D3" w:rsidRDefault="00946658" w:rsidP="00946658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Cs/>
          <w:sz w:val="18"/>
          <w:szCs w:val="18"/>
        </w:rPr>
      </w:pPr>
      <w:r w:rsidRPr="008442D3">
        <w:rPr>
          <w:rFonts w:ascii="Times New Roman" w:hAnsi="Times New Roman" w:cs="Times New Roman"/>
          <w:bCs/>
          <w:sz w:val="18"/>
          <w:szCs w:val="18"/>
          <w:lang w:val="nl-NL"/>
        </w:rPr>
        <w:t xml:space="preserve">de Voer RM, van der Klis FR, Engels CW, Rijkers GT, Sanders EA, Berbers GA. </w:t>
      </w:r>
      <w:r w:rsidRPr="008442D3">
        <w:rPr>
          <w:rFonts w:ascii="Times New Roman" w:hAnsi="Times New Roman" w:cs="Times New Roman"/>
          <w:bCs/>
          <w:sz w:val="18"/>
          <w:szCs w:val="18"/>
        </w:rPr>
        <w:t>Development of a fluorescent-bead-based multiplex immunoassay to determine immunoglobulin G subclass responses to Neisseria meningitidis serogroup A and C polysaccharides. Clinical and vaccine immunology : CVI. 2008;15(8):1188-93.</w:t>
      </w:r>
    </w:p>
    <w:p w14:paraId="4B130E47" w14:textId="77777777" w:rsidR="00946658" w:rsidRDefault="00946658" w:rsidP="0094665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35178A0B" w14:textId="28D843AE" w:rsidR="00946658" w:rsidRDefault="00946658" w:rsidP="00946658">
      <w:pPr>
        <w:spacing w:line="48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Supplementary Table 3. Serum bactericidal antibody titers for one MenW non-cc11 isolate and four MenW cc11 isolates in a subset </w:t>
      </w:r>
      <w:r w:rsidR="0015259C">
        <w:rPr>
          <w:rFonts w:ascii="Times New Roman" w:hAnsi="Times New Roman" w:cs="Times New Roman"/>
          <w:b/>
          <w:lang w:val="en-US"/>
        </w:rPr>
        <w:t xml:space="preserve">(n=22) </w:t>
      </w:r>
      <w:r>
        <w:rPr>
          <w:rFonts w:ascii="Times New Roman" w:hAnsi="Times New Roman" w:cs="Times New Roman"/>
          <w:b/>
          <w:lang w:val="en-US"/>
        </w:rPr>
        <w:t>of individual serum samples from adolescents five years after MenACWY vaccination.</w:t>
      </w:r>
    </w:p>
    <w:tbl>
      <w:tblPr>
        <w:tblW w:w="12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3540"/>
        <w:gridCol w:w="1914"/>
        <w:gridCol w:w="1847"/>
        <w:gridCol w:w="1914"/>
        <w:gridCol w:w="1914"/>
      </w:tblGrid>
      <w:tr w:rsidR="00946658" w:rsidRPr="00207689" w14:paraId="24DE3B6E" w14:textId="77777777" w:rsidTr="00D37D40">
        <w:trPr>
          <w:trHeight w:val="30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901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Sample no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1F11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non-cc11 (</w:t>
            </w:r>
            <w:proofErr w:type="spellStart"/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strain</w:t>
            </w:r>
            <w:proofErr w:type="spellEnd"/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MP01240070)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93CF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Isolate 2160326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54B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Isolate #30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260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Isolate #35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F2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Isolate #49</w:t>
            </w:r>
          </w:p>
        </w:tc>
      </w:tr>
      <w:tr w:rsidR="00946658" w:rsidRPr="00207689" w14:paraId="28764BFD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76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354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607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072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47E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3AB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</w:tr>
      <w:tr w:rsidR="00946658" w:rsidRPr="00207689" w14:paraId="2FF823CF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EEE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93B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D89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439D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DCA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3EB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</w:tr>
      <w:tr w:rsidR="00946658" w:rsidRPr="00207689" w14:paraId="6042D02A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A50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3F2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B12D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0ED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6C4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AA5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</w:tr>
      <w:tr w:rsidR="00946658" w:rsidRPr="00207689" w14:paraId="2B2ACEC9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C3F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89C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02C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FB9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960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0B71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</w:tr>
      <w:tr w:rsidR="00946658" w:rsidRPr="00207689" w14:paraId="07C4140A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B9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E0D6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15B5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A1C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7E7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DBB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</w:tr>
      <w:tr w:rsidR="00946658" w:rsidRPr="00207689" w14:paraId="21183BA5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703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CAB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AFE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9C7D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6A9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BE9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</w:tr>
      <w:tr w:rsidR="00946658" w:rsidRPr="00207689" w14:paraId="3A5AFD27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BA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07D5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78F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FFA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E55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B00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</w:tr>
      <w:tr w:rsidR="00946658" w:rsidRPr="00207689" w14:paraId="465B49EE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85F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B1B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802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C9A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4096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42B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5D0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</w:tr>
      <w:tr w:rsidR="00946658" w:rsidRPr="00207689" w14:paraId="4CAC34A3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036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8AD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05F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D216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6B6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7A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</w:tr>
      <w:tr w:rsidR="00946658" w:rsidRPr="00207689" w14:paraId="2234F48E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36A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15B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CDE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924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7D5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9B76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</w:tr>
      <w:tr w:rsidR="00946658" w:rsidRPr="00207689" w14:paraId="30E9C9A6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BAA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CAE5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783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218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328D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246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</w:tr>
      <w:tr w:rsidR="00946658" w:rsidRPr="00207689" w14:paraId="3296E933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BD6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A31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70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AAA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E57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34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&lt;16</w:t>
            </w:r>
          </w:p>
        </w:tc>
      </w:tr>
      <w:tr w:rsidR="00946658" w:rsidRPr="00207689" w14:paraId="5FDDEF2B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D6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4B6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85B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9106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815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2770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</w:tr>
      <w:tr w:rsidR="00946658" w:rsidRPr="00207689" w14:paraId="3444C93E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BA5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4FC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624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279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B7F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DB3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</w:tr>
      <w:tr w:rsidR="00946658" w:rsidRPr="00207689" w14:paraId="036294BD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2C5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B1D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498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209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762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C5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</w:tr>
      <w:tr w:rsidR="00946658" w:rsidRPr="00207689" w14:paraId="7E243128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D3C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41B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755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D06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3AA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C6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</w:tr>
      <w:tr w:rsidR="00946658" w:rsidRPr="00207689" w14:paraId="78C8F25D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CA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3B7F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260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429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4096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AFD0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C4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</w:tr>
      <w:tr w:rsidR="00946658" w:rsidRPr="00207689" w14:paraId="01EBDF7D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C30F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F83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CAD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B16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F29D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4E18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</w:tr>
      <w:tr w:rsidR="00946658" w:rsidRPr="00207689" w14:paraId="1F4ABAE4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800C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2AB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D37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7BA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2048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9B3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BB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</w:tr>
      <w:tr w:rsidR="00946658" w:rsidRPr="00207689" w14:paraId="09D4D1BA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78C6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036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0DC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C430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30D1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16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</w:tr>
      <w:tr w:rsidR="00946658" w:rsidRPr="00207689" w14:paraId="12AB3A98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8D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2A7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3CC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085E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E91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1024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919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</w:tr>
      <w:tr w:rsidR="00946658" w:rsidRPr="00207689" w14:paraId="4986695E" w14:textId="77777777" w:rsidTr="00D37D40">
        <w:trPr>
          <w:trHeight w:val="290"/>
        </w:trPr>
        <w:tc>
          <w:tcPr>
            <w:tcW w:w="124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9C6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3F62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4CE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84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FD32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FAB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</w:t>
            </w:r>
          </w:p>
        </w:tc>
        <w:tc>
          <w:tcPr>
            <w:tcW w:w="191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C6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128</w:t>
            </w:r>
          </w:p>
        </w:tc>
      </w:tr>
      <w:tr w:rsidR="00946658" w:rsidRPr="00207689" w14:paraId="4F5F8A89" w14:textId="77777777" w:rsidTr="00D37D40">
        <w:trPr>
          <w:trHeight w:val="290"/>
        </w:trPr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081A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 xml:space="preserve">GMT* </w:t>
            </w:r>
            <w:proofErr w:type="spellStart"/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with</w:t>
            </w:r>
            <w:proofErr w:type="spellEnd"/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 xml:space="preserve"> 95% CI</w:t>
            </w:r>
          </w:p>
        </w:tc>
        <w:tc>
          <w:tcPr>
            <w:tcW w:w="35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495D4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281 (113-700)</w:t>
            </w:r>
          </w:p>
        </w:tc>
        <w:tc>
          <w:tcPr>
            <w:tcW w:w="191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4AB53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309 (119-807)</w:t>
            </w:r>
          </w:p>
        </w:tc>
        <w:tc>
          <w:tcPr>
            <w:tcW w:w="18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D69AB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563 (246-1289)</w:t>
            </w:r>
          </w:p>
        </w:tc>
        <w:tc>
          <w:tcPr>
            <w:tcW w:w="191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B88C7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256 (99-660)</w:t>
            </w:r>
          </w:p>
        </w:tc>
        <w:tc>
          <w:tcPr>
            <w:tcW w:w="19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3B51" w14:textId="77777777" w:rsidR="00946658" w:rsidRPr="00207689" w:rsidRDefault="00946658" w:rsidP="00FD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207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205 (85-498)</w:t>
            </w:r>
          </w:p>
        </w:tc>
      </w:tr>
    </w:tbl>
    <w:p w14:paraId="657FEBC4" w14:textId="77777777" w:rsidR="00D37D40" w:rsidRDefault="00D37D40" w:rsidP="00946658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72AC1">
        <w:rPr>
          <w:rFonts w:ascii="Times New Roman" w:hAnsi="Times New Roman" w:cs="Times New Roman"/>
          <w:bCs/>
          <w:sz w:val="20"/>
          <w:szCs w:val="20"/>
          <w:lang w:val="en-US"/>
        </w:rPr>
        <w:t>GMT = geometric mean titer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; CI = confidence interval. Detailed information on the isolate can be found in Supplementary Table 1. *When a value of &lt;16 was determined, a value of 4 was assigned for statistical analyses. </w:t>
      </w:r>
    </w:p>
    <w:p w14:paraId="1F528A21" w14:textId="2A499FB0" w:rsidR="00946658" w:rsidRDefault="00946658" w:rsidP="00946658">
      <w:pPr>
        <w:rPr>
          <w:rFonts w:ascii="Times New Roman" w:hAnsi="Times New Roman" w:cs="Times New Roman"/>
          <w:b/>
          <w:bCs/>
          <w:lang w:val="en-US"/>
        </w:rPr>
      </w:pPr>
      <w:r w:rsidRPr="00496970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496970">
        <w:rPr>
          <w:rFonts w:ascii="Times New Roman" w:hAnsi="Times New Roman" w:cs="Times New Roman"/>
          <w:b/>
          <w:bCs/>
          <w:lang w:val="en-US"/>
        </w:rPr>
        <w:t xml:space="preserve">nformation </w:t>
      </w:r>
    </w:p>
    <w:p w14:paraId="3C89DE18" w14:textId="77777777" w:rsidR="00946658" w:rsidRPr="007F3294" w:rsidRDefault="00946658" w:rsidP="00946658">
      <w:pPr>
        <w:rPr>
          <w:rFonts w:ascii="Times New Roman" w:hAnsi="Times New Roman" w:cs="Times New Roman"/>
          <w:b/>
          <w:bCs/>
          <w:lang w:val="en-US"/>
        </w:rPr>
      </w:pPr>
    </w:p>
    <w:p w14:paraId="6943ECFA" w14:textId="3F5A950E" w:rsidR="00D72056" w:rsidRPr="00A87793" w:rsidRDefault="00946658" w:rsidP="00946658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828E1">
        <w:rPr>
          <w:rFonts w:ascii="Times New Roman" w:hAnsi="Times New Roman" w:cs="Times New Roman"/>
          <w:b/>
          <w:bCs/>
          <w:sz w:val="20"/>
          <w:szCs w:val="20"/>
          <w:lang w:val="en-US"/>
        </w:rPr>
        <w:t>Serum bactericidal antibody (SBA) assay</w:t>
      </w:r>
      <w:r w:rsidR="00D72056">
        <w:rPr>
          <w:rFonts w:ascii="Times New Roman" w:hAnsi="Times New Roman" w:cs="Times New Roman"/>
          <w:b/>
          <w:bCs/>
          <w:sz w:val="20"/>
          <w:szCs w:val="20"/>
          <w:lang w:val="en-US"/>
        </w:rPr>
        <w:t>: method</w:t>
      </w:r>
    </w:p>
    <w:p w14:paraId="1D277F64" w14:textId="48C9A838" w:rsidR="00D72056" w:rsidRPr="007F3294" w:rsidRDefault="00946658" w:rsidP="00946658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F3294">
        <w:rPr>
          <w:rFonts w:ascii="Times New Roman" w:hAnsi="Times New Roman" w:cs="Times New Roman"/>
          <w:sz w:val="20"/>
          <w:szCs w:val="20"/>
          <w:lang w:val="en-US"/>
        </w:rPr>
        <w:t xml:space="preserve">The target isolate (stock culture stored at -80°C in Greaves freezing solution containing bovine serum albumin faction V, monosodium glutamate, glycerol and sterile water) was streaked with an inoculation loop on a gonococcal (GC)-agar plate (enriched with </w:t>
      </w:r>
      <w:proofErr w:type="spellStart"/>
      <w:r w:rsidRPr="007F3294">
        <w:rPr>
          <w:rFonts w:ascii="Times New Roman" w:hAnsi="Times New Roman" w:cs="Times New Roman"/>
          <w:sz w:val="20"/>
          <w:szCs w:val="20"/>
          <w:lang w:val="en-US"/>
        </w:rPr>
        <w:t>IsoVitaleX</w:t>
      </w:r>
      <w:proofErr w:type="spellEnd"/>
      <w:r w:rsidRPr="007F3294">
        <w:rPr>
          <w:rFonts w:ascii="Times New Roman" w:hAnsi="Times New Roman" w:cs="Times New Roman"/>
          <w:sz w:val="20"/>
          <w:szCs w:val="20"/>
          <w:lang w:val="en-US"/>
        </w:rPr>
        <w:t xml:space="preserve">, BD Biosciences©) and incubated overnight at 37°C and 5% CO2 to obtain isolated colonies. The isolate was </w:t>
      </w:r>
      <w:proofErr w:type="spellStart"/>
      <w:r w:rsidRPr="007F3294">
        <w:rPr>
          <w:rFonts w:ascii="Times New Roman" w:hAnsi="Times New Roman" w:cs="Times New Roman"/>
          <w:sz w:val="20"/>
          <w:szCs w:val="20"/>
          <w:lang w:val="en-US"/>
        </w:rPr>
        <w:t>subcultured</w:t>
      </w:r>
      <w:proofErr w:type="spellEnd"/>
      <w:r w:rsidRPr="007F3294">
        <w:rPr>
          <w:rFonts w:ascii="Times New Roman" w:hAnsi="Times New Roman" w:cs="Times New Roman"/>
          <w:sz w:val="20"/>
          <w:szCs w:val="20"/>
          <w:lang w:val="en-US"/>
        </w:rPr>
        <w:t xml:space="preserve"> by spreading 5-8 colonies with a sterile swab over the entire surface of another GC-plate followed by an incubation of 4 hours at 37°C and 5% CO2. The cells were suspended in 5mL of D-PBS (Dulbecco’s PBS, </w:t>
      </w:r>
      <w:proofErr w:type="spellStart"/>
      <w:r w:rsidRPr="007F3294">
        <w:rPr>
          <w:rFonts w:ascii="Times New Roman" w:hAnsi="Times New Roman" w:cs="Times New Roman"/>
          <w:sz w:val="20"/>
          <w:szCs w:val="20"/>
          <w:lang w:val="en-US"/>
        </w:rPr>
        <w:t>ThermoFisher</w:t>
      </w:r>
      <w:proofErr w:type="spellEnd"/>
      <w:r w:rsidRPr="007F3294">
        <w:rPr>
          <w:rFonts w:ascii="Times New Roman" w:hAnsi="Times New Roman" w:cs="Times New Roman"/>
          <w:sz w:val="20"/>
          <w:szCs w:val="20"/>
          <w:lang w:val="en-US"/>
        </w:rPr>
        <w:t xml:space="preserve">©, containing 0.50 mM MgCl2, 0.90 mM CaCl2, 0.33 mM pyruvate and 5.55 mM D-glucose) and set at absorbance of 0.300 at 600nm with a spectrophotometer. The bacterial suspension [dilution 1] was diluted in D-PBS in three steps (100 µl of dilution 1 in 1900 µL D-PBS [dilution 2], 50 µL of dilution 2 into 1950 µL D-PBS [dilution 3] and finally 300 µL of dilution 3 in 5700 µL D-PBS) to yield ~40-50 CFU per 10 µL. The baby rabbit complement (stored at -80°C) was freshly thawed and added to the bacterial suspension to reach a final concentration of complement of 20%. The mixture was added to the serially two-fold prediluted serum (heat-inactivated for 30 minutes at 56°C, starting dilution of 4) in D-PBS in a 96-wells plate. </w:t>
      </w:r>
      <w:r w:rsidR="00A87793">
        <w:rPr>
          <w:rFonts w:ascii="Times New Roman" w:hAnsi="Times New Roman" w:cs="Times New Roman"/>
          <w:sz w:val="20"/>
          <w:szCs w:val="20"/>
          <w:lang w:val="en-US"/>
        </w:rPr>
        <w:t>Each microtiter plate contained two c</w:t>
      </w:r>
      <w:r w:rsidR="00A87793" w:rsidRPr="00A87793">
        <w:rPr>
          <w:rFonts w:ascii="Times New Roman" w:hAnsi="Times New Roman" w:cs="Times New Roman"/>
          <w:sz w:val="20"/>
          <w:szCs w:val="20"/>
          <w:lang w:val="en-US"/>
        </w:rPr>
        <w:t>ontrol wells</w:t>
      </w:r>
      <w:r w:rsidR="002E3FF6">
        <w:rPr>
          <w:rFonts w:ascii="Times New Roman" w:hAnsi="Times New Roman" w:cs="Times New Roman"/>
          <w:sz w:val="20"/>
          <w:szCs w:val="20"/>
          <w:lang w:val="en-US"/>
        </w:rPr>
        <w:t>, per isolate when tested with pooled serum</w:t>
      </w:r>
      <w:r w:rsidR="003B7033">
        <w:rPr>
          <w:rFonts w:ascii="Times New Roman" w:hAnsi="Times New Roman" w:cs="Times New Roman"/>
          <w:sz w:val="20"/>
          <w:szCs w:val="20"/>
          <w:lang w:val="en-US"/>
        </w:rPr>
        <w:t xml:space="preserve"> or </w:t>
      </w:r>
      <w:r w:rsidR="002E3FF6">
        <w:rPr>
          <w:rFonts w:ascii="Times New Roman" w:hAnsi="Times New Roman" w:cs="Times New Roman"/>
          <w:sz w:val="20"/>
          <w:szCs w:val="20"/>
          <w:lang w:val="en-US"/>
        </w:rPr>
        <w:t xml:space="preserve">per </w:t>
      </w:r>
      <w:r w:rsidR="003B7033">
        <w:rPr>
          <w:rFonts w:ascii="Times New Roman" w:hAnsi="Times New Roman" w:cs="Times New Roman"/>
          <w:sz w:val="20"/>
          <w:szCs w:val="20"/>
          <w:lang w:val="en-US"/>
        </w:rPr>
        <w:t>individual serum sample</w:t>
      </w:r>
      <w:r w:rsidR="00A87793">
        <w:rPr>
          <w:rFonts w:ascii="Times New Roman" w:hAnsi="Times New Roman" w:cs="Times New Roman"/>
          <w:sz w:val="20"/>
          <w:szCs w:val="20"/>
          <w:lang w:val="en-US"/>
        </w:rPr>
        <w:t xml:space="preserve">: one well with buffer, bacteria and active complement without serum, and one well with buffer, bacteria and heat-inactivated test serum without active complement. </w:t>
      </w:r>
      <w:r w:rsidRPr="007F3294">
        <w:rPr>
          <w:rFonts w:ascii="Times New Roman" w:hAnsi="Times New Roman" w:cs="Times New Roman"/>
          <w:sz w:val="20"/>
          <w:szCs w:val="20"/>
          <w:lang w:val="en-US"/>
        </w:rPr>
        <w:t>The microtiter plate was incubated for 60 minutes at 37°C without extra CO2. The average number of CFU added to each well before incubating (T0) was determined by plating 6 lanes of 10 µl of the bacteria/complement mixture onto a Colombia blood agar plate (</w:t>
      </w:r>
      <w:proofErr w:type="spellStart"/>
      <w:r w:rsidRPr="007F3294">
        <w:rPr>
          <w:rFonts w:ascii="Times New Roman" w:hAnsi="Times New Roman" w:cs="Times New Roman"/>
          <w:sz w:val="20"/>
          <w:szCs w:val="20"/>
          <w:lang w:val="en-US"/>
        </w:rPr>
        <w:t>Oxoid</w:t>
      </w:r>
      <w:proofErr w:type="spellEnd"/>
      <w:r w:rsidRPr="007F3294">
        <w:rPr>
          <w:rFonts w:ascii="Times New Roman" w:hAnsi="Times New Roman" w:cs="Times New Roman"/>
          <w:sz w:val="20"/>
          <w:szCs w:val="20"/>
          <w:lang w:val="en-US"/>
        </w:rPr>
        <w:t>©) and allowing the mixture to flow down the plate (tilt method) with a multichannel pipette. After incubation of the microtiter plate, samples were plated a</w:t>
      </w:r>
      <w:r w:rsidR="00FA27A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F3294">
        <w:rPr>
          <w:rFonts w:ascii="Times New Roman" w:hAnsi="Times New Roman" w:cs="Times New Roman"/>
          <w:sz w:val="20"/>
          <w:szCs w:val="20"/>
          <w:lang w:val="en-US"/>
        </w:rPr>
        <w:t xml:space="preserve"> described for T0. The SBA titer of each serum sample (either pooled serum or an individual serum sample) was expressed as the serum dilution that yielded 50% killing compared to the CFU present at T0 (before incubation with serum) (1).</w:t>
      </w:r>
    </w:p>
    <w:p w14:paraId="1DACA72E" w14:textId="68D12950" w:rsidR="00FD3915" w:rsidRPr="00946658" w:rsidRDefault="00946658" w:rsidP="00946658">
      <w:pPr>
        <w:spacing w:line="48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828E1">
        <w:rPr>
          <w:rFonts w:ascii="Times New Roman" w:hAnsi="Times New Roman" w:cs="Times New Roman"/>
          <w:sz w:val="18"/>
          <w:szCs w:val="18"/>
        </w:rPr>
        <w:t>1.</w:t>
      </w:r>
      <w:r w:rsidRPr="002828E1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2828E1">
        <w:rPr>
          <w:rFonts w:ascii="Times New Roman" w:hAnsi="Times New Roman" w:cs="Times New Roman"/>
          <w:sz w:val="18"/>
          <w:szCs w:val="18"/>
        </w:rPr>
        <w:t>Maslanka</w:t>
      </w:r>
      <w:proofErr w:type="spellEnd"/>
      <w:r w:rsidRPr="002828E1">
        <w:rPr>
          <w:rFonts w:ascii="Times New Roman" w:hAnsi="Times New Roman" w:cs="Times New Roman"/>
          <w:sz w:val="18"/>
          <w:szCs w:val="18"/>
        </w:rPr>
        <w:t xml:space="preserve"> SE, </w:t>
      </w:r>
      <w:proofErr w:type="spellStart"/>
      <w:r w:rsidRPr="002828E1">
        <w:rPr>
          <w:rFonts w:ascii="Times New Roman" w:hAnsi="Times New Roman" w:cs="Times New Roman"/>
          <w:sz w:val="18"/>
          <w:szCs w:val="18"/>
        </w:rPr>
        <w:t>Gheesling</w:t>
      </w:r>
      <w:proofErr w:type="spellEnd"/>
      <w:r w:rsidRPr="002828E1">
        <w:rPr>
          <w:rFonts w:ascii="Times New Roman" w:hAnsi="Times New Roman" w:cs="Times New Roman"/>
          <w:sz w:val="18"/>
          <w:szCs w:val="18"/>
        </w:rPr>
        <w:t xml:space="preserve"> LL, </w:t>
      </w:r>
      <w:proofErr w:type="spellStart"/>
      <w:r w:rsidRPr="002828E1">
        <w:rPr>
          <w:rFonts w:ascii="Times New Roman" w:hAnsi="Times New Roman" w:cs="Times New Roman"/>
          <w:sz w:val="18"/>
          <w:szCs w:val="18"/>
        </w:rPr>
        <w:t>Libutti</w:t>
      </w:r>
      <w:proofErr w:type="spellEnd"/>
      <w:r w:rsidRPr="002828E1">
        <w:rPr>
          <w:rFonts w:ascii="Times New Roman" w:hAnsi="Times New Roman" w:cs="Times New Roman"/>
          <w:sz w:val="18"/>
          <w:szCs w:val="18"/>
        </w:rPr>
        <w:t xml:space="preserve"> DE, </w:t>
      </w:r>
      <w:proofErr w:type="spellStart"/>
      <w:r w:rsidRPr="002828E1">
        <w:rPr>
          <w:rFonts w:ascii="Times New Roman" w:hAnsi="Times New Roman" w:cs="Times New Roman"/>
          <w:sz w:val="18"/>
          <w:szCs w:val="18"/>
        </w:rPr>
        <w:t>Donaldson</w:t>
      </w:r>
      <w:proofErr w:type="spellEnd"/>
      <w:r w:rsidRPr="002828E1">
        <w:rPr>
          <w:rFonts w:ascii="Times New Roman" w:hAnsi="Times New Roman" w:cs="Times New Roman"/>
          <w:sz w:val="18"/>
          <w:szCs w:val="18"/>
        </w:rPr>
        <w:t xml:space="preserve"> KB, </w:t>
      </w:r>
      <w:proofErr w:type="spellStart"/>
      <w:r w:rsidRPr="002828E1">
        <w:rPr>
          <w:rFonts w:ascii="Times New Roman" w:hAnsi="Times New Roman" w:cs="Times New Roman"/>
          <w:sz w:val="18"/>
          <w:szCs w:val="18"/>
        </w:rPr>
        <w:t>Harakeh</w:t>
      </w:r>
      <w:proofErr w:type="spellEnd"/>
      <w:r w:rsidRPr="002828E1">
        <w:rPr>
          <w:rFonts w:ascii="Times New Roman" w:hAnsi="Times New Roman" w:cs="Times New Roman"/>
          <w:sz w:val="18"/>
          <w:szCs w:val="18"/>
        </w:rPr>
        <w:t xml:space="preserve"> HS, Dykes JK, et al. </w:t>
      </w:r>
      <w:r w:rsidRPr="002828E1">
        <w:rPr>
          <w:rFonts w:ascii="Times New Roman" w:hAnsi="Times New Roman" w:cs="Times New Roman"/>
          <w:sz w:val="18"/>
          <w:szCs w:val="18"/>
          <w:lang w:val="en-US"/>
        </w:rPr>
        <w:t xml:space="preserve">Standardization and a </w:t>
      </w:r>
      <w:proofErr w:type="spellStart"/>
      <w:r w:rsidRPr="002828E1">
        <w:rPr>
          <w:rFonts w:ascii="Times New Roman" w:hAnsi="Times New Roman" w:cs="Times New Roman"/>
          <w:sz w:val="18"/>
          <w:szCs w:val="18"/>
          <w:lang w:val="en-US"/>
        </w:rPr>
        <w:t>multilaboratory</w:t>
      </w:r>
      <w:proofErr w:type="spellEnd"/>
      <w:r w:rsidRPr="002828E1">
        <w:rPr>
          <w:rFonts w:ascii="Times New Roman" w:hAnsi="Times New Roman" w:cs="Times New Roman"/>
          <w:sz w:val="18"/>
          <w:szCs w:val="18"/>
          <w:lang w:val="en-US"/>
        </w:rPr>
        <w:t xml:space="preserve"> comparison of Neisseria meningitidis serogroup A and C serum bactericidal assays. The </w:t>
      </w:r>
      <w:proofErr w:type="spellStart"/>
      <w:r w:rsidRPr="002828E1">
        <w:rPr>
          <w:rFonts w:ascii="Times New Roman" w:hAnsi="Times New Roman" w:cs="Times New Roman"/>
          <w:sz w:val="18"/>
          <w:szCs w:val="18"/>
          <w:lang w:val="en-US"/>
        </w:rPr>
        <w:t>Multilaboratory</w:t>
      </w:r>
      <w:proofErr w:type="spellEnd"/>
      <w:r w:rsidRPr="002828E1">
        <w:rPr>
          <w:rFonts w:ascii="Times New Roman" w:hAnsi="Times New Roman" w:cs="Times New Roman"/>
          <w:sz w:val="18"/>
          <w:szCs w:val="18"/>
          <w:lang w:val="en-US"/>
        </w:rPr>
        <w:t xml:space="preserve"> Study Group. Clinical and diagnostic laboratory immunology. 1997;4(2):156-67.</w:t>
      </w:r>
    </w:p>
    <w:sectPr w:rsidR="00FD3915" w:rsidRPr="00946658" w:rsidSect="00FD3915">
      <w:pgSz w:w="16838" w:h="11906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51160"/>
    <w:multiLevelType w:val="hybridMultilevel"/>
    <w:tmpl w:val="7B12F548"/>
    <w:lvl w:ilvl="0" w:tplc="74D81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203"/>
    <w:multiLevelType w:val="hybridMultilevel"/>
    <w:tmpl w:val="8F649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A461E"/>
    <w:multiLevelType w:val="hybridMultilevel"/>
    <w:tmpl w:val="A6B289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86A97"/>
    <w:multiLevelType w:val="hybridMultilevel"/>
    <w:tmpl w:val="042A2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3126"/>
    <w:multiLevelType w:val="hybridMultilevel"/>
    <w:tmpl w:val="E0A6D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60F"/>
    <w:multiLevelType w:val="hybridMultilevel"/>
    <w:tmpl w:val="EA683C88"/>
    <w:lvl w:ilvl="0" w:tplc="A378D0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2C34"/>
    <w:multiLevelType w:val="hybridMultilevel"/>
    <w:tmpl w:val="BFD84C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1612"/>
    <w:multiLevelType w:val="hybridMultilevel"/>
    <w:tmpl w:val="E0F486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029D"/>
    <w:multiLevelType w:val="hybridMultilevel"/>
    <w:tmpl w:val="8564D9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07F"/>
    <w:multiLevelType w:val="hybridMultilevel"/>
    <w:tmpl w:val="F12E2A0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02D6"/>
    <w:multiLevelType w:val="hybridMultilevel"/>
    <w:tmpl w:val="CC2413AC"/>
    <w:lvl w:ilvl="0" w:tplc="94621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62E46"/>
    <w:multiLevelType w:val="hybridMultilevel"/>
    <w:tmpl w:val="99E8ED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532D9"/>
    <w:multiLevelType w:val="hybridMultilevel"/>
    <w:tmpl w:val="1A603D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32C3F"/>
    <w:multiLevelType w:val="hybridMultilevel"/>
    <w:tmpl w:val="C45A62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58"/>
    <w:rsid w:val="0000514F"/>
    <w:rsid w:val="000B0AD3"/>
    <w:rsid w:val="00131038"/>
    <w:rsid w:val="0015259C"/>
    <w:rsid w:val="00154973"/>
    <w:rsid w:val="001C3CAE"/>
    <w:rsid w:val="001D2F77"/>
    <w:rsid w:val="002272FB"/>
    <w:rsid w:val="002E3FF6"/>
    <w:rsid w:val="00300927"/>
    <w:rsid w:val="003733FA"/>
    <w:rsid w:val="003B7033"/>
    <w:rsid w:val="004F44FC"/>
    <w:rsid w:val="00582194"/>
    <w:rsid w:val="005D5136"/>
    <w:rsid w:val="0068182C"/>
    <w:rsid w:val="006B4DE2"/>
    <w:rsid w:val="007021DD"/>
    <w:rsid w:val="00720AD0"/>
    <w:rsid w:val="00872641"/>
    <w:rsid w:val="00875291"/>
    <w:rsid w:val="008F10D6"/>
    <w:rsid w:val="0093182A"/>
    <w:rsid w:val="00946658"/>
    <w:rsid w:val="00A00005"/>
    <w:rsid w:val="00A87793"/>
    <w:rsid w:val="00AF715B"/>
    <w:rsid w:val="00B00441"/>
    <w:rsid w:val="00C0505E"/>
    <w:rsid w:val="00C07E43"/>
    <w:rsid w:val="00C860A8"/>
    <w:rsid w:val="00D37D40"/>
    <w:rsid w:val="00D7100C"/>
    <w:rsid w:val="00D72056"/>
    <w:rsid w:val="00DE6B61"/>
    <w:rsid w:val="00FA27AD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FEF4"/>
  <w15:chartTrackingRefBased/>
  <w15:docId w15:val="{DA36A33D-62C5-4C17-B175-F86A1BCB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46658"/>
  </w:style>
  <w:style w:type="paragraph" w:styleId="BalloonText">
    <w:name w:val="Balloon Text"/>
    <w:basedOn w:val="Normal"/>
    <w:link w:val="BalloonTextChar"/>
    <w:uiPriority w:val="99"/>
    <w:semiHidden/>
    <w:unhideWhenUsed/>
    <w:rsid w:val="0094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658"/>
    <w:pPr>
      <w:spacing w:line="25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6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6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6658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4665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665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665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6658"/>
    <w:rPr>
      <w:rFonts w:ascii="Calibri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665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4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66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58"/>
  </w:style>
  <w:style w:type="paragraph" w:styleId="Footer">
    <w:name w:val="footer"/>
    <w:basedOn w:val="Normal"/>
    <w:link w:val="FooterChar"/>
    <w:uiPriority w:val="99"/>
    <w:unhideWhenUsed/>
    <w:rsid w:val="0094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58"/>
  </w:style>
  <w:style w:type="paragraph" w:styleId="Revision">
    <w:name w:val="Revision"/>
    <w:hidden/>
    <w:uiPriority w:val="99"/>
    <w:semiHidden/>
    <w:rsid w:val="00946658"/>
    <w:pPr>
      <w:spacing w:after="0" w:line="240" w:lineRule="auto"/>
    </w:pPr>
  </w:style>
  <w:style w:type="character" w:customStyle="1" w:styleId="identifier">
    <w:name w:val="identifier"/>
    <w:basedOn w:val="DefaultParagraphFont"/>
    <w:rsid w:val="00946658"/>
  </w:style>
  <w:style w:type="character" w:customStyle="1" w:styleId="doi">
    <w:name w:val="doi"/>
    <w:basedOn w:val="DefaultParagraphFont"/>
    <w:rsid w:val="00946658"/>
  </w:style>
  <w:style w:type="paragraph" w:customStyle="1" w:styleId="xl77">
    <w:name w:val="xl77"/>
    <w:basedOn w:val="Normal"/>
    <w:rsid w:val="00946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1425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Milou Ohm</dc:creator>
  <cp:keywords/>
  <dc:description/>
  <cp:lastModifiedBy>Milou</cp:lastModifiedBy>
  <cp:revision>23</cp:revision>
  <dcterms:created xsi:type="dcterms:W3CDTF">2022-05-25T09:00:00Z</dcterms:created>
  <dcterms:modified xsi:type="dcterms:W3CDTF">2022-06-01T08:03:00Z</dcterms:modified>
</cp:coreProperties>
</file>