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2A2B1A1" w:rsidR="00654E8F" w:rsidRPr="001549D3" w:rsidRDefault="005F19A3" w:rsidP="0001436A">
      <w:pPr>
        <w:pStyle w:val="SupplementaryMaterial"/>
        <w:rPr>
          <w:b w:val="0"/>
        </w:rPr>
      </w:pPr>
      <w:r>
        <w:t>Figures</w:t>
      </w:r>
    </w:p>
    <w:p w14:paraId="5083FE74" w14:textId="00979F21" w:rsidR="00FA599D" w:rsidRPr="00FA599D" w:rsidRDefault="008D19B4" w:rsidP="00FA599D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 wp14:anchorId="1703BEA2" wp14:editId="2D5AB3A7">
            <wp:simplePos x="0" y="0"/>
            <wp:positionH relativeFrom="column">
              <wp:posOffset>24130</wp:posOffset>
            </wp:positionH>
            <wp:positionV relativeFrom="paragraph">
              <wp:posOffset>850900</wp:posOffset>
            </wp:positionV>
            <wp:extent cx="5967730" cy="4076700"/>
            <wp:effectExtent l="0" t="0" r="0" b="0"/>
            <wp:wrapSquare wrapText="bothSides"/>
            <wp:docPr id="6" name="图片 1" descr="A group of skul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A group of skull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99D" w:rsidRPr="00FA599D">
        <w:rPr>
          <w:b/>
          <w:bCs/>
          <w:color w:val="000000" w:themeColor="text1"/>
          <w:szCs w:val="24"/>
        </w:rPr>
        <w:t>Fig. 1</w:t>
      </w:r>
      <w:r w:rsidR="00C46F68">
        <w:rPr>
          <w:b/>
          <w:bCs/>
          <w:color w:val="000000" w:themeColor="text1"/>
          <w:szCs w:val="24"/>
        </w:rPr>
        <w:t>.</w:t>
      </w:r>
      <w:r w:rsidR="00FA599D" w:rsidRPr="00FA599D">
        <w:rPr>
          <w:b/>
          <w:bCs/>
          <w:color w:val="000000" w:themeColor="text1"/>
          <w:szCs w:val="24"/>
        </w:rPr>
        <w:t xml:space="preserve"> </w:t>
      </w:r>
      <w:r w:rsidR="00FA599D" w:rsidRPr="00FA599D">
        <w:rPr>
          <w:color w:val="000000" w:themeColor="text1"/>
          <w:szCs w:val="24"/>
        </w:rPr>
        <w:t xml:space="preserve">Significant ALFF value differences in the left and right dorsolateral SFG </w:t>
      </w:r>
      <w:r>
        <w:rPr>
          <w:color w:val="000000" w:themeColor="text1"/>
          <w:szCs w:val="24"/>
        </w:rPr>
        <w:t xml:space="preserve">and Rectus Gyrus </w:t>
      </w:r>
      <w:r w:rsidR="00FA599D" w:rsidRPr="00FA599D">
        <w:rPr>
          <w:color w:val="000000" w:themeColor="text1"/>
          <w:szCs w:val="24"/>
        </w:rPr>
        <w:t xml:space="preserve">for both </w:t>
      </w:r>
      <w:r>
        <w:rPr>
          <w:color w:val="000000" w:themeColor="text1"/>
          <w:szCs w:val="24"/>
        </w:rPr>
        <w:t xml:space="preserve">Recent-onset </w:t>
      </w:r>
      <w:r w:rsidR="00FA599D" w:rsidRPr="00FA599D">
        <w:rPr>
          <w:color w:val="000000" w:themeColor="text1"/>
          <w:szCs w:val="24"/>
        </w:rPr>
        <w:t>Tinnitus (</w:t>
      </w:r>
      <w:r>
        <w:rPr>
          <w:color w:val="000000" w:themeColor="text1"/>
          <w:szCs w:val="24"/>
        </w:rPr>
        <w:t>ROT</w:t>
      </w:r>
      <w:r w:rsidR="00FA599D" w:rsidRPr="00FA599D">
        <w:rPr>
          <w:color w:val="000000" w:themeColor="text1"/>
          <w:szCs w:val="24"/>
        </w:rPr>
        <w:t xml:space="preserve">) and </w:t>
      </w:r>
      <w:r>
        <w:rPr>
          <w:color w:val="000000" w:themeColor="text1"/>
          <w:szCs w:val="24"/>
        </w:rPr>
        <w:t xml:space="preserve">Persistent </w:t>
      </w:r>
      <w:r w:rsidR="00FA599D" w:rsidRPr="00FA599D">
        <w:rPr>
          <w:color w:val="000000" w:themeColor="text1"/>
          <w:szCs w:val="24"/>
        </w:rPr>
        <w:t xml:space="preserve">Tinnitus </w:t>
      </w:r>
      <w:r>
        <w:rPr>
          <w:color w:val="000000" w:themeColor="text1"/>
          <w:szCs w:val="24"/>
        </w:rPr>
        <w:t>(PT)</w:t>
      </w:r>
      <w:r w:rsidR="00FA599D" w:rsidRPr="00FA599D">
        <w:rPr>
          <w:color w:val="000000" w:themeColor="text1"/>
          <w:szCs w:val="24"/>
        </w:rPr>
        <w:t xml:space="preserve"> groups</w:t>
      </w:r>
      <w:r>
        <w:rPr>
          <w:color w:val="000000" w:themeColor="text1"/>
          <w:szCs w:val="24"/>
        </w:rPr>
        <w:t>, compared to the healthy control group (CN)</w:t>
      </w:r>
      <w:r w:rsidR="00C34510">
        <w:rPr>
          <w:rFonts w:hint="eastAsia"/>
          <w:color w:val="000000" w:themeColor="text1"/>
          <w:szCs w:val="24"/>
          <w:lang w:eastAsia="zh-CN"/>
        </w:rPr>
        <w:t>.</w:t>
      </w:r>
    </w:p>
    <w:p w14:paraId="72C58294" w14:textId="6B0CFFD1" w:rsidR="00FA599D" w:rsidRPr="00A63C1F" w:rsidRDefault="00FA599D" w:rsidP="00FA599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sz w:val="18"/>
          <w:szCs w:val="18"/>
        </w:rPr>
      </w:pPr>
      <w:r w:rsidRPr="00A63C1F">
        <w:rPr>
          <w:color w:val="000000" w:themeColor="text1"/>
          <w:sz w:val="18"/>
          <w:szCs w:val="18"/>
        </w:rPr>
        <w:t xml:space="preserve"> </w:t>
      </w:r>
    </w:p>
    <w:p w14:paraId="1E2F4AD3" w14:textId="0E1903E0" w:rsidR="00FA599D" w:rsidRDefault="00FA599D" w:rsidP="00FA599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 w:themeColor="text1"/>
          <w:sz w:val="18"/>
          <w:szCs w:val="18"/>
        </w:rPr>
      </w:pPr>
    </w:p>
    <w:p w14:paraId="513C1C38" w14:textId="15A41AE6" w:rsidR="005D3210" w:rsidRDefault="005D3210" w:rsidP="00FA599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 w:themeColor="text1"/>
          <w:szCs w:val="24"/>
          <w:lang w:eastAsia="zh-CN"/>
        </w:rPr>
      </w:pPr>
    </w:p>
    <w:p w14:paraId="26B7D4EB" w14:textId="77777777" w:rsidR="005D3210" w:rsidRDefault="005D3210" w:rsidP="00FA599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 w:themeColor="text1"/>
          <w:szCs w:val="24"/>
          <w:lang w:eastAsia="zh-CN"/>
        </w:rPr>
      </w:pPr>
    </w:p>
    <w:p w14:paraId="5E4BCC4E" w14:textId="77777777" w:rsidR="005D3210" w:rsidRDefault="005D3210" w:rsidP="00FA599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 w:themeColor="text1"/>
          <w:szCs w:val="24"/>
          <w:lang w:eastAsia="zh-CN"/>
        </w:rPr>
      </w:pPr>
    </w:p>
    <w:p w14:paraId="4C61E975" w14:textId="77777777" w:rsidR="005D3210" w:rsidRDefault="005D3210" w:rsidP="00FA599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 w:themeColor="text1"/>
          <w:szCs w:val="24"/>
          <w:lang w:eastAsia="zh-CN"/>
        </w:rPr>
      </w:pPr>
    </w:p>
    <w:p w14:paraId="100D72B9" w14:textId="77777777" w:rsidR="005D3210" w:rsidRDefault="005D3210" w:rsidP="00FA599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 w:themeColor="text1"/>
          <w:szCs w:val="24"/>
          <w:lang w:eastAsia="zh-CN"/>
        </w:rPr>
      </w:pPr>
    </w:p>
    <w:p w14:paraId="04BDD2FA" w14:textId="77777777" w:rsidR="005D3210" w:rsidRDefault="005D3210" w:rsidP="00FA599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 w:themeColor="text1"/>
          <w:szCs w:val="24"/>
          <w:lang w:eastAsia="zh-CN"/>
        </w:rPr>
      </w:pPr>
    </w:p>
    <w:p w14:paraId="714ED66E" w14:textId="77777777" w:rsidR="00D55112" w:rsidRDefault="00D55112" w:rsidP="00FA599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 w:themeColor="text1"/>
          <w:szCs w:val="24"/>
          <w:lang w:eastAsia="zh-CN"/>
        </w:rPr>
      </w:pPr>
    </w:p>
    <w:p w14:paraId="1756393A" w14:textId="32CD5486" w:rsidR="00FA599D" w:rsidRPr="00FA599D" w:rsidRDefault="008D19B4" w:rsidP="00FA599D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40"/>
          <w:szCs w:val="36"/>
        </w:rPr>
      </w:pPr>
      <w:r>
        <w:rPr>
          <w:noProof/>
          <w:color w:val="000000" w:themeColor="text1"/>
        </w:rPr>
        <w:lastRenderedPageBreak/>
        <w:drawing>
          <wp:anchor distT="0" distB="0" distL="114300" distR="114300" simplePos="0" relativeHeight="251669504" behindDoc="1" locked="0" layoutInCell="1" allowOverlap="1" wp14:anchorId="26D4544B" wp14:editId="4CC03C6C">
            <wp:simplePos x="0" y="0"/>
            <wp:positionH relativeFrom="column">
              <wp:posOffset>-4445</wp:posOffset>
            </wp:positionH>
            <wp:positionV relativeFrom="paragraph">
              <wp:posOffset>681990</wp:posOffset>
            </wp:positionV>
            <wp:extent cx="6328410" cy="1238250"/>
            <wp:effectExtent l="0" t="0" r="0" b="0"/>
            <wp:wrapTight wrapText="bothSides">
              <wp:wrapPolygon edited="0">
                <wp:start x="0" y="0"/>
                <wp:lineTo x="0" y="21268"/>
                <wp:lineTo x="21522" y="21268"/>
                <wp:lineTo x="2152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99D" w:rsidRPr="00FA599D">
        <w:rPr>
          <w:b/>
          <w:bCs/>
          <w:color w:val="000000" w:themeColor="text1"/>
          <w:szCs w:val="24"/>
        </w:rPr>
        <w:t>Fig. 2</w:t>
      </w:r>
      <w:r w:rsidR="00D55112">
        <w:rPr>
          <w:rFonts w:hint="eastAsia"/>
          <w:b/>
          <w:bCs/>
          <w:color w:val="000000" w:themeColor="text1"/>
          <w:szCs w:val="24"/>
          <w:lang w:eastAsia="zh-CN"/>
        </w:rPr>
        <w:t>.</w:t>
      </w:r>
      <w:r w:rsidR="00D55112">
        <w:rPr>
          <w:b/>
          <w:bCs/>
          <w:color w:val="000000" w:themeColor="text1"/>
          <w:szCs w:val="24"/>
          <w:lang w:eastAsia="zh-CN"/>
        </w:rPr>
        <w:t xml:space="preserve"> </w:t>
      </w:r>
      <w:r w:rsidR="00FA599D" w:rsidRPr="00FA599D">
        <w:rPr>
          <w:color w:val="000000" w:themeColor="text1"/>
          <w:szCs w:val="24"/>
        </w:rPr>
        <w:t xml:space="preserve">Significant </w:t>
      </w:r>
      <w:proofErr w:type="spellStart"/>
      <w:r w:rsidR="00FA599D">
        <w:rPr>
          <w:color w:val="000000" w:themeColor="text1"/>
          <w:szCs w:val="24"/>
        </w:rPr>
        <w:t>ReHo</w:t>
      </w:r>
      <w:proofErr w:type="spellEnd"/>
      <w:r w:rsidR="00FA599D" w:rsidRPr="00FA599D">
        <w:rPr>
          <w:color w:val="000000" w:themeColor="text1"/>
          <w:szCs w:val="24"/>
        </w:rPr>
        <w:t xml:space="preserve"> value differences in the right dorsolateral SFG for </w:t>
      </w:r>
      <w:bookmarkStart w:id="0" w:name="_Hlk106111315"/>
      <w:r w:rsidRPr="008D19B4">
        <w:rPr>
          <w:color w:val="000000" w:themeColor="text1"/>
          <w:szCs w:val="24"/>
        </w:rPr>
        <w:t>Recent-onset Tinnitus (ROT) and Persistent Tinnitus (PT) groups</w:t>
      </w:r>
      <w:r w:rsidR="00FA599D" w:rsidRPr="00FA599D">
        <w:rPr>
          <w:color w:val="000000" w:themeColor="text1"/>
          <w:szCs w:val="24"/>
        </w:rPr>
        <w:t>, compared to the CN group</w:t>
      </w:r>
      <w:bookmarkEnd w:id="0"/>
      <w:r w:rsidR="00C34510">
        <w:rPr>
          <w:rFonts w:hint="eastAsia"/>
          <w:color w:val="000000" w:themeColor="text1"/>
          <w:szCs w:val="24"/>
          <w:lang w:eastAsia="zh-CN"/>
        </w:rPr>
        <w:t>.</w:t>
      </w:r>
      <w:r w:rsidR="00FA599D" w:rsidRPr="00FA599D">
        <w:rPr>
          <w:color w:val="000000" w:themeColor="text1"/>
          <w:szCs w:val="24"/>
        </w:rPr>
        <w:t xml:space="preserve"> </w:t>
      </w:r>
    </w:p>
    <w:p w14:paraId="343CAAB8" w14:textId="5E674243" w:rsidR="00C46F68" w:rsidRDefault="00C46F68" w:rsidP="00FA599D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 w:themeColor="text1"/>
          <w:szCs w:val="24"/>
        </w:rPr>
      </w:pPr>
    </w:p>
    <w:p w14:paraId="75495646" w14:textId="77777777" w:rsidR="00C34510" w:rsidRDefault="00C34510" w:rsidP="00FA599D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 w:themeColor="text1"/>
          <w:szCs w:val="24"/>
        </w:rPr>
      </w:pPr>
    </w:p>
    <w:p w14:paraId="510A3931" w14:textId="1740B13C" w:rsidR="00FA599D" w:rsidRPr="00C34510" w:rsidRDefault="008D19B4" w:rsidP="00C3451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szCs w:val="24"/>
        </w:rPr>
      </w:pPr>
      <w:r>
        <w:rPr>
          <w:b/>
          <w:bCs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670528" behindDoc="0" locked="0" layoutInCell="1" allowOverlap="1" wp14:anchorId="34A700C0" wp14:editId="4607AAEA">
            <wp:simplePos x="0" y="0"/>
            <wp:positionH relativeFrom="column">
              <wp:posOffset>-4445</wp:posOffset>
            </wp:positionH>
            <wp:positionV relativeFrom="paragraph">
              <wp:posOffset>677545</wp:posOffset>
            </wp:positionV>
            <wp:extent cx="6329045" cy="2889250"/>
            <wp:effectExtent l="0" t="0" r="0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288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99D" w:rsidRPr="00C46F68">
        <w:rPr>
          <w:b/>
          <w:bCs/>
          <w:color w:val="000000" w:themeColor="text1"/>
          <w:szCs w:val="24"/>
        </w:rPr>
        <w:t xml:space="preserve">Fig. </w:t>
      </w:r>
      <w:r w:rsidR="00C46F68" w:rsidRPr="00C46F68">
        <w:rPr>
          <w:b/>
          <w:bCs/>
          <w:color w:val="000000" w:themeColor="text1"/>
          <w:szCs w:val="24"/>
        </w:rPr>
        <w:t>3</w:t>
      </w:r>
      <w:r w:rsidR="00FA599D" w:rsidRPr="00C46F68">
        <w:rPr>
          <w:color w:val="000000" w:themeColor="text1"/>
          <w:szCs w:val="24"/>
        </w:rPr>
        <w:t xml:space="preserve"> Significant FC patterns between the ROIs (dorsolateral SFG, left) and the right SFG, left medial Superior Frontal Gyrus (SFG), and right Superior Parietal Gyrus (SPG).</w:t>
      </w:r>
    </w:p>
    <w:p w14:paraId="2C6DBED3" w14:textId="77777777" w:rsidR="00C46F68" w:rsidRDefault="00C46F68" w:rsidP="00FA599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 w:themeColor="text1"/>
          <w:sz w:val="18"/>
          <w:szCs w:val="18"/>
        </w:rPr>
      </w:pPr>
    </w:p>
    <w:p w14:paraId="3BB00EA8" w14:textId="1ADDFA9C" w:rsidR="00C46F68" w:rsidRDefault="00C46F68" w:rsidP="00FA599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 w:themeColor="text1"/>
          <w:sz w:val="18"/>
          <w:szCs w:val="18"/>
        </w:rPr>
      </w:pPr>
    </w:p>
    <w:p w14:paraId="54042606" w14:textId="77777777" w:rsidR="00C46F68" w:rsidRDefault="00C46F68" w:rsidP="00FA599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 w:themeColor="text1"/>
          <w:szCs w:val="24"/>
        </w:rPr>
      </w:pPr>
    </w:p>
    <w:p w14:paraId="5E3D608F" w14:textId="77777777" w:rsidR="00C46F68" w:rsidRDefault="00C46F68" w:rsidP="00FA599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 w:themeColor="text1"/>
          <w:szCs w:val="24"/>
        </w:rPr>
      </w:pPr>
    </w:p>
    <w:p w14:paraId="7EFC36BA" w14:textId="77777777" w:rsidR="00C46F68" w:rsidRDefault="00C46F68" w:rsidP="00FA599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 w:themeColor="text1"/>
          <w:szCs w:val="24"/>
        </w:rPr>
      </w:pPr>
    </w:p>
    <w:p w14:paraId="3C07A66B" w14:textId="056E8E8A" w:rsidR="00C46F68" w:rsidRDefault="00C46F68" w:rsidP="00FA599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 w:themeColor="text1"/>
          <w:szCs w:val="24"/>
        </w:rPr>
      </w:pPr>
    </w:p>
    <w:p w14:paraId="7D5EF775" w14:textId="77777777" w:rsidR="00C34510" w:rsidRDefault="00C34510" w:rsidP="00FA599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 w:themeColor="text1"/>
          <w:szCs w:val="24"/>
        </w:rPr>
      </w:pPr>
    </w:p>
    <w:p w14:paraId="5207960F" w14:textId="113B55EB" w:rsidR="00C46F68" w:rsidRDefault="00C46F68" w:rsidP="00FA599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 w:themeColor="text1"/>
          <w:sz w:val="18"/>
          <w:szCs w:val="18"/>
        </w:rPr>
      </w:pPr>
    </w:p>
    <w:p w14:paraId="1040F9F9" w14:textId="3F482D9A" w:rsidR="00FA599D" w:rsidRPr="00C46F68" w:rsidRDefault="00FA599D" w:rsidP="00FA599D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Cs w:val="24"/>
        </w:rPr>
      </w:pPr>
      <w:r w:rsidRPr="00C46F68">
        <w:rPr>
          <w:b/>
          <w:bCs/>
          <w:color w:val="000000" w:themeColor="text1"/>
          <w:szCs w:val="24"/>
        </w:rPr>
        <w:lastRenderedPageBreak/>
        <w:t xml:space="preserve">Fig. </w:t>
      </w:r>
      <w:r w:rsidR="00C46F68" w:rsidRPr="00C46F68">
        <w:rPr>
          <w:b/>
          <w:bCs/>
          <w:color w:val="000000" w:themeColor="text1"/>
          <w:szCs w:val="24"/>
        </w:rPr>
        <w:t>4</w:t>
      </w:r>
      <w:r w:rsidR="00D55112">
        <w:rPr>
          <w:b/>
          <w:bCs/>
          <w:color w:val="000000" w:themeColor="text1"/>
          <w:szCs w:val="24"/>
        </w:rPr>
        <w:t>.</w:t>
      </w:r>
      <w:r w:rsidRPr="00C46F68">
        <w:rPr>
          <w:color w:val="000000" w:themeColor="text1"/>
          <w:szCs w:val="24"/>
        </w:rPr>
        <w:t xml:space="preserve"> Significant FC patterns between the </w:t>
      </w:r>
      <w:r w:rsidR="00582233">
        <w:rPr>
          <w:color w:val="000000" w:themeColor="text1"/>
          <w:szCs w:val="24"/>
        </w:rPr>
        <w:t xml:space="preserve">right </w:t>
      </w:r>
      <w:r w:rsidRPr="00C46F68">
        <w:rPr>
          <w:color w:val="000000" w:themeColor="text1"/>
          <w:szCs w:val="24"/>
        </w:rPr>
        <w:t>dorsolateral SFG</w:t>
      </w:r>
      <w:r w:rsidR="00582233">
        <w:rPr>
          <w:color w:val="000000" w:themeColor="text1"/>
          <w:szCs w:val="24"/>
        </w:rPr>
        <w:t xml:space="preserve"> </w:t>
      </w:r>
      <w:r w:rsidRPr="00C46F68">
        <w:rPr>
          <w:color w:val="000000" w:themeColor="text1"/>
          <w:szCs w:val="24"/>
        </w:rPr>
        <w:t xml:space="preserve">and the right Middle Frontal Gyrus (MFG), right medial Superior Frontal Gyrus (SFG), and right Superior Parietal Gyrus (SPG) in </w:t>
      </w:r>
      <w:r w:rsidR="008D19B4" w:rsidRPr="008D19B4">
        <w:rPr>
          <w:color w:val="000000" w:themeColor="text1"/>
          <w:szCs w:val="24"/>
        </w:rPr>
        <w:t>Recent-onset Tinnitus (ROT) and Persistent Tinnitus (PT) groups, compared to the CN group</w:t>
      </w:r>
      <w:r w:rsidRPr="00C46F68">
        <w:rPr>
          <w:color w:val="000000" w:themeColor="text1"/>
          <w:szCs w:val="24"/>
        </w:rPr>
        <w:t xml:space="preserve">. </w:t>
      </w:r>
    </w:p>
    <w:p w14:paraId="25FB213F" w14:textId="222620F7" w:rsidR="00D35561" w:rsidRPr="008D19B4" w:rsidRDefault="008D19B4" w:rsidP="008D19B4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6BBB05CC" wp14:editId="3E28A97E">
            <wp:extent cx="6265028" cy="24479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056" cy="2450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5F1882" w14:textId="4F0A4E94" w:rsidR="00FA599D" w:rsidRPr="008D19B4" w:rsidRDefault="00FA599D" w:rsidP="00FA599D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 w:themeColor="text1"/>
          <w:szCs w:val="24"/>
        </w:rPr>
      </w:pPr>
      <w:r w:rsidRPr="00C46F68">
        <w:rPr>
          <w:b/>
          <w:bCs/>
          <w:color w:val="000000" w:themeColor="text1"/>
          <w:szCs w:val="24"/>
        </w:rPr>
        <w:t xml:space="preserve">Fig. </w:t>
      </w:r>
      <w:r w:rsidR="00C46F68">
        <w:rPr>
          <w:b/>
          <w:bCs/>
          <w:color w:val="000000" w:themeColor="text1"/>
          <w:szCs w:val="24"/>
        </w:rPr>
        <w:t>5.</w:t>
      </w:r>
      <w:r w:rsidRPr="00C46F68">
        <w:rPr>
          <w:color w:val="000000" w:themeColor="text1"/>
          <w:szCs w:val="24"/>
        </w:rPr>
        <w:t xml:space="preserve"> Significant FC patterns between the </w:t>
      </w:r>
      <w:r w:rsidR="00582233">
        <w:rPr>
          <w:color w:val="000000" w:themeColor="text1"/>
          <w:szCs w:val="24"/>
        </w:rPr>
        <w:t xml:space="preserve">right </w:t>
      </w:r>
      <w:r w:rsidRPr="00C46F68">
        <w:rPr>
          <w:color w:val="000000" w:themeColor="text1"/>
          <w:szCs w:val="24"/>
        </w:rPr>
        <w:t xml:space="preserve">dorsolateral SFG and </w:t>
      </w:r>
      <w:r w:rsidR="008D19B4">
        <w:rPr>
          <w:color w:val="000000" w:themeColor="text1"/>
          <w:szCs w:val="24"/>
        </w:rPr>
        <w:t>r</w:t>
      </w:r>
      <w:r w:rsidRPr="00C46F68">
        <w:rPr>
          <w:color w:val="000000" w:themeColor="text1"/>
          <w:szCs w:val="24"/>
        </w:rPr>
        <w:t xml:space="preserve">ight Middle Frontal Gyrus (MFG), </w:t>
      </w:r>
      <w:r w:rsidR="008D19B4">
        <w:rPr>
          <w:color w:val="000000" w:themeColor="text1"/>
          <w:szCs w:val="24"/>
        </w:rPr>
        <w:t>r</w:t>
      </w:r>
      <w:r w:rsidRPr="00C46F68">
        <w:rPr>
          <w:color w:val="000000" w:themeColor="text1"/>
          <w:szCs w:val="24"/>
        </w:rPr>
        <w:t>ight Superior Parietal Gyrus (SPG)</w:t>
      </w:r>
      <w:r w:rsidR="008D19B4">
        <w:rPr>
          <w:color w:val="000000" w:themeColor="text1"/>
          <w:szCs w:val="24"/>
        </w:rPr>
        <w:t>, and right dorsolateral SFG</w:t>
      </w:r>
      <w:r w:rsidR="008D19B4" w:rsidRPr="008D19B4">
        <w:t xml:space="preserve"> </w:t>
      </w:r>
      <w:r w:rsidR="008D19B4" w:rsidRPr="008D19B4">
        <w:rPr>
          <w:color w:val="000000" w:themeColor="text1"/>
          <w:szCs w:val="24"/>
        </w:rPr>
        <w:t>in Recent-onset Tinnitus (ROT) and Persistent Tinnitus (PT) groups, compared to the CN group</w:t>
      </w:r>
      <w:r w:rsidRPr="00C46F68">
        <w:rPr>
          <w:color w:val="000000" w:themeColor="text1"/>
          <w:szCs w:val="24"/>
        </w:rPr>
        <w:t xml:space="preserve">. </w:t>
      </w:r>
    </w:p>
    <w:p w14:paraId="7B65BC41" w14:textId="521E3A63" w:rsidR="00DE23E8" w:rsidRPr="008D19B4" w:rsidRDefault="008D19B4" w:rsidP="008D19B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</w:rPr>
        <w:drawing>
          <wp:inline distT="0" distB="0" distL="0" distR="0" wp14:anchorId="6667E007" wp14:editId="536F1CD3">
            <wp:extent cx="6235489" cy="24288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934" cy="2436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E23E8" w:rsidRPr="008D19B4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C3F51E" w14:textId="77777777" w:rsidR="009F6CC8" w:rsidRDefault="009F6CC8" w:rsidP="00117666">
      <w:pPr>
        <w:spacing w:after="0"/>
      </w:pPr>
      <w:r>
        <w:separator/>
      </w:r>
    </w:p>
  </w:endnote>
  <w:endnote w:type="continuationSeparator" w:id="0">
    <w:p w14:paraId="0886C844" w14:textId="77777777" w:rsidR="009F6CC8" w:rsidRDefault="009F6CC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5DE94" w14:textId="77777777" w:rsidR="009F6CC8" w:rsidRDefault="009F6CC8" w:rsidP="00117666">
      <w:pPr>
        <w:spacing w:after="0"/>
      </w:pPr>
      <w:r>
        <w:separator/>
      </w:r>
    </w:p>
  </w:footnote>
  <w:footnote w:type="continuationSeparator" w:id="0">
    <w:p w14:paraId="2F9A0F67" w14:textId="77777777" w:rsidR="009F6CC8" w:rsidRDefault="009F6CC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4F710474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C97C1C">
      <w:rPr>
        <w:rFonts w:cs="Times New Roman"/>
      </w:rPr>
      <w:t>Figures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800339882">
    <w:abstractNumId w:val="0"/>
  </w:num>
  <w:num w:numId="2" w16cid:durableId="500587276">
    <w:abstractNumId w:val="4"/>
  </w:num>
  <w:num w:numId="3" w16cid:durableId="639573907">
    <w:abstractNumId w:val="1"/>
  </w:num>
  <w:num w:numId="4" w16cid:durableId="1864132097">
    <w:abstractNumId w:val="5"/>
  </w:num>
  <w:num w:numId="5" w16cid:durableId="17276945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23101201">
    <w:abstractNumId w:val="3"/>
  </w:num>
  <w:num w:numId="7" w16cid:durableId="772481435">
    <w:abstractNumId w:val="6"/>
  </w:num>
  <w:num w:numId="8" w16cid:durableId="1487475198">
    <w:abstractNumId w:val="6"/>
  </w:num>
  <w:num w:numId="9" w16cid:durableId="1489247683">
    <w:abstractNumId w:val="6"/>
  </w:num>
  <w:num w:numId="10" w16cid:durableId="2141533752">
    <w:abstractNumId w:val="6"/>
  </w:num>
  <w:num w:numId="11" w16cid:durableId="1576815017">
    <w:abstractNumId w:val="6"/>
  </w:num>
  <w:num w:numId="12" w16cid:durableId="1094588982">
    <w:abstractNumId w:val="6"/>
  </w:num>
  <w:num w:numId="13" w16cid:durableId="114907000">
    <w:abstractNumId w:val="3"/>
  </w:num>
  <w:num w:numId="14" w16cid:durableId="954599182">
    <w:abstractNumId w:val="2"/>
  </w:num>
  <w:num w:numId="15" w16cid:durableId="1273394275">
    <w:abstractNumId w:val="2"/>
  </w:num>
  <w:num w:numId="16" w16cid:durableId="1098716066">
    <w:abstractNumId w:val="2"/>
  </w:num>
  <w:num w:numId="17" w16cid:durableId="7144018">
    <w:abstractNumId w:val="2"/>
  </w:num>
  <w:num w:numId="18" w16cid:durableId="514420535">
    <w:abstractNumId w:val="2"/>
  </w:num>
  <w:num w:numId="19" w16cid:durableId="12824992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hideSpellingErrors/>
  <w:hideGrammaticalErrors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tDA2MTE1NDExsDQ0MTNU0lEKTi0uzszPAymwqAUAM5IUJywAAAA="/>
  </w:docVars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23C23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C2E60"/>
    <w:rsid w:val="003D2F2D"/>
    <w:rsid w:val="00401590"/>
    <w:rsid w:val="00414DEE"/>
    <w:rsid w:val="00447801"/>
    <w:rsid w:val="00452E9C"/>
    <w:rsid w:val="004735C8"/>
    <w:rsid w:val="004875FD"/>
    <w:rsid w:val="004947A6"/>
    <w:rsid w:val="004961FF"/>
    <w:rsid w:val="004A44C7"/>
    <w:rsid w:val="00517A89"/>
    <w:rsid w:val="005250F2"/>
    <w:rsid w:val="00582233"/>
    <w:rsid w:val="00593EEA"/>
    <w:rsid w:val="005A5EEE"/>
    <w:rsid w:val="005D3210"/>
    <w:rsid w:val="005F19A3"/>
    <w:rsid w:val="00624AD7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B646A"/>
    <w:rsid w:val="007C206C"/>
    <w:rsid w:val="00817DD6"/>
    <w:rsid w:val="0083759F"/>
    <w:rsid w:val="00885156"/>
    <w:rsid w:val="008D19B4"/>
    <w:rsid w:val="009151AA"/>
    <w:rsid w:val="0093429D"/>
    <w:rsid w:val="00943573"/>
    <w:rsid w:val="00964134"/>
    <w:rsid w:val="00964D9D"/>
    <w:rsid w:val="00970F7D"/>
    <w:rsid w:val="00994A3D"/>
    <w:rsid w:val="009C2B12"/>
    <w:rsid w:val="009F6CC8"/>
    <w:rsid w:val="00A13B90"/>
    <w:rsid w:val="00A174D9"/>
    <w:rsid w:val="00AA4D24"/>
    <w:rsid w:val="00AB6715"/>
    <w:rsid w:val="00AB6EBD"/>
    <w:rsid w:val="00B1671E"/>
    <w:rsid w:val="00B25EB8"/>
    <w:rsid w:val="00B37F4D"/>
    <w:rsid w:val="00BA2D3E"/>
    <w:rsid w:val="00BF0B16"/>
    <w:rsid w:val="00C34510"/>
    <w:rsid w:val="00C46F68"/>
    <w:rsid w:val="00C52A7B"/>
    <w:rsid w:val="00C56BAF"/>
    <w:rsid w:val="00C679AA"/>
    <w:rsid w:val="00C75972"/>
    <w:rsid w:val="00C97C1C"/>
    <w:rsid w:val="00CD066B"/>
    <w:rsid w:val="00CE4FEE"/>
    <w:rsid w:val="00D060CF"/>
    <w:rsid w:val="00D35561"/>
    <w:rsid w:val="00D55112"/>
    <w:rsid w:val="00DB59C3"/>
    <w:rsid w:val="00DC259A"/>
    <w:rsid w:val="00DE23E8"/>
    <w:rsid w:val="00E10721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A5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styleId="GridTable3">
    <w:name w:val="Grid Table 3"/>
    <w:basedOn w:val="TableNormal"/>
    <w:uiPriority w:val="48"/>
    <w:rsid w:val="005F19A3"/>
    <w:pPr>
      <w:spacing w:after="0" w:line="240" w:lineRule="auto"/>
      <w:ind w:firstLine="720"/>
    </w:pPr>
    <w:rPr>
      <w:rFonts w:ascii="Times New Roman" w:hAnsi="Times New Roman" w:cs="Times New Roman"/>
      <w:sz w:val="24"/>
      <w:szCs w:val="24"/>
      <w:lang w:eastAsia="zh-CN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eGrid1">
    <w:name w:val="Table Grid1"/>
    <w:next w:val="TableGrid"/>
    <w:qFormat/>
    <w:rsid w:val="005F19A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86</TotalTime>
  <Pages>3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adimintrator</cp:lastModifiedBy>
  <cp:revision>18</cp:revision>
  <cp:lastPrinted>2013-10-03T12:51:00Z</cp:lastPrinted>
  <dcterms:created xsi:type="dcterms:W3CDTF">2018-11-23T08:58:00Z</dcterms:created>
  <dcterms:modified xsi:type="dcterms:W3CDTF">2022-06-21T00:54:00Z</dcterms:modified>
</cp:coreProperties>
</file>