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050"/>
        <w:gridCol w:w="5437"/>
      </w:tblGrid>
      <w:tr w:rsidR="00BC0FDA" w:rsidRPr="00567D68" w14:paraId="4805C3DB" w14:textId="77777777" w:rsidTr="002206A5">
        <w:tc>
          <w:tcPr>
            <w:tcW w:w="14390" w:type="dxa"/>
            <w:gridSpan w:val="3"/>
            <w:tcBorders>
              <w:bottom w:val="single" w:sz="4" w:space="0" w:color="auto"/>
            </w:tcBorders>
            <w:shd w:val="clear" w:color="auto" w:fill="auto"/>
          </w:tcPr>
          <w:p w14:paraId="5D1349DE" w14:textId="77777777" w:rsidR="00BC0FDA" w:rsidRPr="00567D68" w:rsidRDefault="00BC0FDA" w:rsidP="002206A5">
            <w:pPr>
              <w:rPr>
                <w:b/>
                <w:bCs/>
                <w:sz w:val="18"/>
                <w:szCs w:val="18"/>
              </w:rPr>
            </w:pPr>
            <w:r w:rsidRPr="00567D68">
              <w:rPr>
                <w:b/>
                <w:bCs/>
                <w:sz w:val="18"/>
                <w:szCs w:val="18"/>
              </w:rPr>
              <w:t>Figure S3. Pruned classification trees fit using covariates: NDWA-UIC CUED</w:t>
            </w:r>
            <w:r w:rsidRPr="00567D68">
              <w:rPr>
                <w:b/>
                <w:bCs/>
                <w:sz w:val="18"/>
                <w:szCs w:val="18"/>
                <w:shd w:val="clear" w:color="auto" w:fill="FFFFFF"/>
              </w:rPr>
              <w:t xml:space="preserve"> </w:t>
            </w:r>
            <w:r w:rsidRPr="00567D68">
              <w:rPr>
                <w:b/>
                <w:bCs/>
                <w:sz w:val="18"/>
                <w:szCs w:val="18"/>
              </w:rPr>
              <w:t>data, 14 cities, United States, 2011-2012 (N = 2,086).</w:t>
            </w:r>
          </w:p>
        </w:tc>
      </w:tr>
      <w:tr w:rsidR="00BC0FDA" w:rsidRPr="00567D68" w14:paraId="47418228" w14:textId="77777777" w:rsidTr="002206A5">
        <w:tc>
          <w:tcPr>
            <w:tcW w:w="4855" w:type="dxa"/>
            <w:tcBorders>
              <w:bottom w:val="nil"/>
              <w:right w:val="nil"/>
            </w:tcBorders>
            <w:shd w:val="clear" w:color="auto" w:fill="auto"/>
          </w:tcPr>
          <w:p w14:paraId="20378C37" w14:textId="2A47A371" w:rsidR="00BC0FDA" w:rsidRPr="00567D68" w:rsidRDefault="00BC0FDA" w:rsidP="002206A5">
            <w:pPr>
              <w:rPr>
                <w:b/>
                <w:bCs/>
                <w:sz w:val="18"/>
                <w:szCs w:val="18"/>
              </w:rPr>
            </w:pPr>
            <w:r>
              <w:rPr>
                <w:noProof/>
                <w:sz w:val="2"/>
                <w:szCs w:val="2"/>
              </w:rPr>
              <w:drawing>
                <wp:anchor distT="0" distB="0" distL="114300" distR="114300" simplePos="0" relativeHeight="251659264" behindDoc="0" locked="0" layoutInCell="1" allowOverlap="1" wp14:anchorId="352120C4" wp14:editId="25B84BFB">
                  <wp:simplePos x="0" y="0"/>
                  <wp:positionH relativeFrom="column">
                    <wp:posOffset>-62865</wp:posOffset>
                  </wp:positionH>
                  <wp:positionV relativeFrom="paragraph">
                    <wp:posOffset>131445</wp:posOffset>
                  </wp:positionV>
                  <wp:extent cx="3050540" cy="274320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l="1509" r="1791"/>
                          <a:stretch>
                            <a:fillRect/>
                          </a:stretch>
                        </pic:blipFill>
                        <pic:spPr bwMode="auto">
                          <a:xfrm>
                            <a:off x="0" y="0"/>
                            <a:ext cx="3050540" cy="2743200"/>
                          </a:xfrm>
                          <a:prstGeom prst="rect">
                            <a:avLst/>
                          </a:prstGeom>
                          <a:noFill/>
                        </pic:spPr>
                      </pic:pic>
                    </a:graphicData>
                  </a:graphic>
                  <wp14:sizeRelH relativeFrom="page">
                    <wp14:pctWidth>0</wp14:pctWidth>
                  </wp14:sizeRelH>
                  <wp14:sizeRelV relativeFrom="page">
                    <wp14:pctHeight>0</wp14:pctHeight>
                  </wp14:sizeRelV>
                </wp:anchor>
              </w:drawing>
            </w:r>
            <w:r w:rsidRPr="00567D68">
              <w:rPr>
                <w:b/>
                <w:bCs/>
                <w:sz w:val="18"/>
                <w:szCs w:val="18"/>
              </w:rPr>
              <w:t>A. Classification tree for work-related back injury</w:t>
            </w:r>
          </w:p>
        </w:tc>
        <w:tc>
          <w:tcPr>
            <w:tcW w:w="4050" w:type="dxa"/>
            <w:tcBorders>
              <w:left w:val="nil"/>
              <w:bottom w:val="nil"/>
              <w:right w:val="nil"/>
            </w:tcBorders>
            <w:shd w:val="clear" w:color="auto" w:fill="auto"/>
          </w:tcPr>
          <w:p w14:paraId="0E0AE3CA" w14:textId="377F5A4A" w:rsidR="00BC0FDA" w:rsidRPr="00567D68" w:rsidRDefault="00BC0FDA" w:rsidP="002206A5">
            <w:pPr>
              <w:jc w:val="center"/>
              <w:rPr>
                <w:b/>
                <w:bCs/>
                <w:sz w:val="18"/>
                <w:szCs w:val="18"/>
              </w:rPr>
            </w:pPr>
            <w:r>
              <w:rPr>
                <w:noProof/>
                <w:sz w:val="2"/>
                <w:szCs w:val="2"/>
              </w:rPr>
              <w:drawing>
                <wp:anchor distT="0" distB="0" distL="114300" distR="114300" simplePos="0" relativeHeight="251660288" behindDoc="0" locked="0" layoutInCell="1" allowOverlap="1" wp14:anchorId="52F2DA2A" wp14:editId="5B070608">
                  <wp:simplePos x="0" y="0"/>
                  <wp:positionH relativeFrom="column">
                    <wp:posOffset>-45085</wp:posOffset>
                  </wp:positionH>
                  <wp:positionV relativeFrom="paragraph">
                    <wp:posOffset>131445</wp:posOffset>
                  </wp:positionV>
                  <wp:extent cx="2491105" cy="2743200"/>
                  <wp:effectExtent l="0" t="0" r="4445"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4398" r="4791"/>
                          <a:stretch>
                            <a:fillRect/>
                          </a:stretch>
                        </pic:blipFill>
                        <pic:spPr bwMode="auto">
                          <a:xfrm>
                            <a:off x="0" y="0"/>
                            <a:ext cx="2491105" cy="2743200"/>
                          </a:xfrm>
                          <a:prstGeom prst="rect">
                            <a:avLst/>
                          </a:prstGeom>
                          <a:noFill/>
                        </pic:spPr>
                      </pic:pic>
                    </a:graphicData>
                  </a:graphic>
                  <wp14:sizeRelH relativeFrom="page">
                    <wp14:pctWidth>0</wp14:pctWidth>
                  </wp14:sizeRelH>
                  <wp14:sizeRelV relativeFrom="page">
                    <wp14:pctHeight>0</wp14:pctHeight>
                  </wp14:sizeRelV>
                </wp:anchor>
              </w:drawing>
            </w:r>
            <w:r w:rsidRPr="00567D68">
              <w:rPr>
                <w:b/>
                <w:bCs/>
                <w:sz w:val="18"/>
                <w:szCs w:val="18"/>
              </w:rPr>
              <w:t>B. Classification tree for work-related illness</w:t>
            </w:r>
          </w:p>
        </w:tc>
        <w:tc>
          <w:tcPr>
            <w:tcW w:w="5485" w:type="dxa"/>
            <w:tcBorders>
              <w:left w:val="nil"/>
              <w:bottom w:val="nil"/>
            </w:tcBorders>
            <w:shd w:val="clear" w:color="auto" w:fill="auto"/>
          </w:tcPr>
          <w:p w14:paraId="52D16CA3" w14:textId="64E9DEB8" w:rsidR="00BC0FDA" w:rsidRPr="00567D68" w:rsidRDefault="00BC0FDA" w:rsidP="002206A5">
            <w:pPr>
              <w:rPr>
                <w:b/>
                <w:bCs/>
                <w:sz w:val="18"/>
                <w:szCs w:val="18"/>
              </w:rPr>
            </w:pPr>
            <w:r>
              <w:rPr>
                <w:noProof/>
                <w:sz w:val="2"/>
                <w:szCs w:val="2"/>
              </w:rPr>
              <w:drawing>
                <wp:anchor distT="0" distB="0" distL="114300" distR="114300" simplePos="0" relativeHeight="251661312" behindDoc="0" locked="0" layoutInCell="1" allowOverlap="1" wp14:anchorId="49A86ABA" wp14:editId="0A366C6A">
                  <wp:simplePos x="0" y="0"/>
                  <wp:positionH relativeFrom="column">
                    <wp:posOffset>-12700</wp:posOffset>
                  </wp:positionH>
                  <wp:positionV relativeFrom="paragraph">
                    <wp:posOffset>131445</wp:posOffset>
                  </wp:positionV>
                  <wp:extent cx="3398520" cy="2743200"/>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1137" r="2327"/>
                          <a:stretch>
                            <a:fillRect/>
                          </a:stretch>
                        </pic:blipFill>
                        <pic:spPr bwMode="auto">
                          <a:xfrm>
                            <a:off x="0" y="0"/>
                            <a:ext cx="3398520" cy="2743200"/>
                          </a:xfrm>
                          <a:prstGeom prst="rect">
                            <a:avLst/>
                          </a:prstGeom>
                          <a:noFill/>
                        </pic:spPr>
                      </pic:pic>
                    </a:graphicData>
                  </a:graphic>
                  <wp14:sizeRelH relativeFrom="page">
                    <wp14:pctWidth>0</wp14:pctWidth>
                  </wp14:sizeRelH>
                  <wp14:sizeRelV relativeFrom="page">
                    <wp14:pctHeight>0</wp14:pctHeight>
                  </wp14:sizeRelV>
                </wp:anchor>
              </w:drawing>
            </w:r>
            <w:r w:rsidRPr="00567D68">
              <w:rPr>
                <w:b/>
                <w:bCs/>
                <w:sz w:val="18"/>
                <w:szCs w:val="18"/>
              </w:rPr>
              <w:t>C. Classification tree for fair-to-poor self-rated health</w:t>
            </w:r>
          </w:p>
        </w:tc>
      </w:tr>
      <w:tr w:rsidR="00BC0FDA" w:rsidRPr="00567D68" w14:paraId="082AD22F" w14:textId="77777777" w:rsidTr="002206A5">
        <w:trPr>
          <w:trHeight w:val="87"/>
        </w:trPr>
        <w:tc>
          <w:tcPr>
            <w:tcW w:w="14390" w:type="dxa"/>
            <w:gridSpan w:val="3"/>
            <w:tcBorders>
              <w:top w:val="nil"/>
              <w:bottom w:val="single" w:sz="4" w:space="0" w:color="auto"/>
            </w:tcBorders>
            <w:shd w:val="clear" w:color="auto" w:fill="auto"/>
          </w:tcPr>
          <w:p w14:paraId="372B0350" w14:textId="77777777" w:rsidR="00BC0FDA" w:rsidRPr="00567D68" w:rsidRDefault="00BC0FDA" w:rsidP="002206A5">
            <w:pPr>
              <w:rPr>
                <w:sz w:val="2"/>
                <w:szCs w:val="2"/>
              </w:rPr>
            </w:pPr>
          </w:p>
        </w:tc>
      </w:tr>
      <w:tr w:rsidR="00BC0FDA" w:rsidRPr="00567D68" w14:paraId="550412A1" w14:textId="77777777" w:rsidTr="002206A5">
        <w:trPr>
          <w:trHeight w:val="350"/>
        </w:trPr>
        <w:tc>
          <w:tcPr>
            <w:tcW w:w="14390" w:type="dxa"/>
            <w:gridSpan w:val="3"/>
            <w:shd w:val="clear" w:color="auto" w:fill="auto"/>
          </w:tcPr>
          <w:p w14:paraId="6DCDF870" w14:textId="77777777" w:rsidR="00BC0FDA" w:rsidRPr="00174E90" w:rsidRDefault="00BC0FDA" w:rsidP="002206A5">
            <w:pPr>
              <w:rPr>
                <w:sz w:val="18"/>
                <w:szCs w:val="18"/>
              </w:rPr>
            </w:pPr>
            <w:r w:rsidRPr="00567D68">
              <w:rPr>
                <w:sz w:val="18"/>
                <w:szCs w:val="18"/>
              </w:rPr>
              <w:t>Abbreviations: “</w:t>
            </w:r>
            <w:proofErr w:type="spellStart"/>
            <w:r w:rsidRPr="00567D68">
              <w:rPr>
                <w:sz w:val="18"/>
                <w:szCs w:val="18"/>
              </w:rPr>
              <w:t>caredcontagious</w:t>
            </w:r>
            <w:proofErr w:type="spellEnd"/>
            <w:r w:rsidRPr="00567D68">
              <w:rPr>
                <w:sz w:val="18"/>
                <w:szCs w:val="18"/>
              </w:rPr>
              <w:t>” = Cared for someone with a contagious illness; “climbed” = Climbed to clean; “</w:t>
            </w:r>
            <w:proofErr w:type="spellStart"/>
            <w:r w:rsidRPr="00567D68">
              <w:rPr>
                <w:sz w:val="18"/>
                <w:szCs w:val="18"/>
              </w:rPr>
              <w:t>econsecurity</w:t>
            </w:r>
            <w:proofErr w:type="spellEnd"/>
            <w:r w:rsidRPr="00567D68">
              <w:rPr>
                <w:sz w:val="18"/>
                <w:szCs w:val="18"/>
              </w:rPr>
              <w:t>” = Household economic insecurity; “</w:t>
            </w:r>
            <w:proofErr w:type="spellStart"/>
            <w:r w:rsidRPr="00567D68">
              <w:rPr>
                <w:sz w:val="18"/>
                <w:szCs w:val="18"/>
              </w:rPr>
              <w:t>heavylifting</w:t>
            </w:r>
            <w:proofErr w:type="spellEnd"/>
            <w:r w:rsidRPr="00567D68">
              <w:rPr>
                <w:sz w:val="18"/>
                <w:szCs w:val="18"/>
              </w:rPr>
              <w:t>” = Did heavy lifting; “</w:t>
            </w:r>
            <w:proofErr w:type="spellStart"/>
            <w:r w:rsidRPr="00567D68">
              <w:rPr>
                <w:sz w:val="18"/>
                <w:szCs w:val="18"/>
              </w:rPr>
              <w:t>longhrsnobreak</w:t>
            </w:r>
            <w:proofErr w:type="spellEnd"/>
            <w:r w:rsidRPr="00567D68">
              <w:rPr>
                <w:sz w:val="18"/>
                <w:szCs w:val="18"/>
              </w:rPr>
              <w:t xml:space="preserve">” = Worked </w:t>
            </w:r>
            <w:r w:rsidRPr="00174E90">
              <w:rPr>
                <w:sz w:val="18"/>
                <w:szCs w:val="18"/>
              </w:rPr>
              <w:t>long hours with no breaks; NDWA-UIC CUED = National Domestic Workers Alliance and University of Illinois Chicago Center for Urban Economic Development; “</w:t>
            </w:r>
            <w:proofErr w:type="spellStart"/>
            <w:r w:rsidRPr="00174E90">
              <w:rPr>
                <w:sz w:val="18"/>
                <w:szCs w:val="18"/>
              </w:rPr>
              <w:t>rg</w:t>
            </w:r>
            <w:proofErr w:type="spellEnd"/>
            <w:r w:rsidRPr="00174E90">
              <w:rPr>
                <w:sz w:val="18"/>
                <w:szCs w:val="18"/>
              </w:rPr>
              <w:t>” = Racialized group; SRH = Self-rated health; “</w:t>
            </w:r>
            <w:proofErr w:type="spellStart"/>
            <w:r w:rsidRPr="00174E90">
              <w:rPr>
                <w:sz w:val="18"/>
                <w:szCs w:val="18"/>
              </w:rPr>
              <w:t>verbalabuse</w:t>
            </w:r>
            <w:proofErr w:type="spellEnd"/>
            <w:r w:rsidRPr="00174E90">
              <w:rPr>
                <w:sz w:val="18"/>
                <w:szCs w:val="18"/>
              </w:rPr>
              <w:t>” = Verbally abused.</w:t>
            </w:r>
          </w:p>
          <w:p w14:paraId="11C0D6B4" w14:textId="77777777" w:rsidR="00BC0FDA" w:rsidRPr="00174E90" w:rsidRDefault="00BC0FDA" w:rsidP="002206A5">
            <w:pPr>
              <w:rPr>
                <w:sz w:val="18"/>
                <w:szCs w:val="18"/>
              </w:rPr>
            </w:pPr>
          </w:p>
          <w:p w14:paraId="2DF96E2A" w14:textId="77777777" w:rsidR="00BC0FDA" w:rsidRPr="00567D68" w:rsidRDefault="00BC0FDA" w:rsidP="002206A5">
            <w:pPr>
              <w:rPr>
                <w:sz w:val="18"/>
                <w:szCs w:val="18"/>
              </w:rPr>
            </w:pPr>
            <w:r w:rsidRPr="00174E90">
              <w:rPr>
                <w:sz w:val="18"/>
                <w:szCs w:val="18"/>
              </w:rPr>
              <w:t xml:space="preserve">Figures show the pruned classification trees fit using the 19 hazard variables and the following covariates: racialized group, formal educational attainment, </w:t>
            </w:r>
            <w:r>
              <w:rPr>
                <w:sz w:val="18"/>
                <w:szCs w:val="18"/>
              </w:rPr>
              <w:t xml:space="preserve">citizenship and </w:t>
            </w:r>
            <w:r w:rsidRPr="00174E90">
              <w:rPr>
                <w:sz w:val="18"/>
                <w:szCs w:val="18"/>
              </w:rPr>
              <w:t>immigration status, age, main domestic work occupation, live-in status, and household economic insecurity. These are the same covariates included in the final latent class model. Each plot shows, in order of the elements of the figure from top to bottom: the name of the splitting variable (black textboxes), the splitting variable categories that determine how individuals are sorted based on that splitting variable (e.g., “No” exposure to a given hazard; “Yes” exposed</w:t>
            </w:r>
            <w:r w:rsidRPr="00567D68">
              <w:rPr>
                <w:sz w:val="18"/>
                <w:szCs w:val="18"/>
              </w:rPr>
              <w:t xml:space="preserve"> to that hazard), and the final groups of individuals based on their responses to all splitting variables (shaded red textboxes). Within each final shaded red textbox is: a) the predicted health outcome (e.g., “No </w:t>
            </w:r>
            <w:r w:rsidRPr="00003510">
              <w:rPr>
                <w:sz w:val="18"/>
                <w:szCs w:val="18"/>
              </w:rPr>
              <w:t>illness,” “Illness”), b) the predicted</w:t>
            </w:r>
            <w:r w:rsidRPr="00567D68">
              <w:rPr>
                <w:sz w:val="18"/>
                <w:szCs w:val="18"/>
              </w:rPr>
              <w:t xml:space="preserve"> probability of experiencing the health outcome of interest (e.g., work-related back injury), and c) the percent of the total sample (n=2,086) assigned to that leaf of the tree.</w:t>
            </w:r>
          </w:p>
        </w:tc>
      </w:tr>
    </w:tbl>
    <w:p w14:paraId="47FB8623" w14:textId="77777777" w:rsidR="001D5528" w:rsidRDefault="001D5528"/>
    <w:sectPr w:rsidR="001D5528" w:rsidSect="00BC0F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DA"/>
    <w:rsid w:val="001D5528"/>
    <w:rsid w:val="003730AE"/>
    <w:rsid w:val="003F2814"/>
    <w:rsid w:val="00B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DD30B3"/>
  <w15:chartTrackingRefBased/>
  <w15:docId w15:val="{9122BD13-340F-4092-9BF4-4A785B7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DA"/>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1</cp:revision>
  <dcterms:created xsi:type="dcterms:W3CDTF">2022-06-24T15:33:00Z</dcterms:created>
  <dcterms:modified xsi:type="dcterms:W3CDTF">2022-06-24T15:33:00Z</dcterms:modified>
</cp:coreProperties>
</file>