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412C" w14:textId="629B515A" w:rsidR="004F1337" w:rsidRPr="009B5B98" w:rsidRDefault="1A07FE40" w:rsidP="1A07FE40">
      <w:pPr>
        <w:spacing w:line="257" w:lineRule="auto"/>
        <w:rPr>
          <w:lang w:val="en-GB"/>
        </w:rPr>
      </w:pPr>
      <w:r w:rsidRPr="1A07FE40">
        <w:rPr>
          <w:rFonts w:ascii="Calibri Light" w:eastAsia="Calibri Light" w:hAnsi="Calibri Light" w:cs="Calibri Light"/>
          <w:color w:val="1F3763"/>
          <w:sz w:val="24"/>
          <w:szCs w:val="24"/>
          <w:lang w:val="en-GB"/>
        </w:rPr>
        <w:t>Supplement</w:t>
      </w:r>
    </w:p>
    <w:p w14:paraId="7332EC6B" w14:textId="77E40813" w:rsidR="004F1337" w:rsidRPr="009B5B98" w:rsidRDefault="1A07FE40" w:rsidP="1A07FE40">
      <w:pPr>
        <w:pStyle w:val="Heading4"/>
        <w:rPr>
          <w:lang w:val="en-GB"/>
        </w:rPr>
      </w:pPr>
      <w:r w:rsidRPr="1A07FE40">
        <w:rPr>
          <w:rFonts w:ascii="Calibri Light" w:eastAsia="Calibri Light" w:hAnsi="Calibri Light" w:cs="Calibri Light"/>
          <w:lang w:val="en-GB"/>
        </w:rPr>
        <w:t>Supplementary Tables</w:t>
      </w:r>
    </w:p>
    <w:p w14:paraId="4EB54B28" w14:textId="3D39E951" w:rsidR="004F1337" w:rsidRPr="009B5B98" w:rsidRDefault="1A07FE40" w:rsidP="1A07FE40">
      <w:pPr>
        <w:spacing w:line="257" w:lineRule="auto"/>
        <w:rPr>
          <w:lang w:val="en-GB"/>
        </w:rPr>
      </w:pPr>
      <w:r w:rsidRPr="1A07FE40">
        <w:rPr>
          <w:rFonts w:ascii="Calibri" w:eastAsia="Calibri" w:hAnsi="Calibri" w:cs="Calibri"/>
          <w:lang w:val="en-GB"/>
        </w:rPr>
        <w:t xml:space="preserve"> </w:t>
      </w:r>
    </w:p>
    <w:p w14:paraId="424C2D90" w14:textId="02C35ACB" w:rsidR="004F1337" w:rsidRPr="009B5B98" w:rsidRDefault="1A07FE40" w:rsidP="1A07FE40">
      <w:pPr>
        <w:pStyle w:val="Heading5"/>
        <w:rPr>
          <w:lang w:val="en-GB"/>
        </w:rPr>
      </w:pPr>
      <w:proofErr w:type="spellStart"/>
      <w:r w:rsidRPr="1BD499D7">
        <w:rPr>
          <w:rFonts w:ascii="Calibri Light" w:eastAsia="Calibri Light" w:hAnsi="Calibri Light" w:cs="Calibri Light"/>
          <w:lang w:val="en-GB"/>
        </w:rPr>
        <w:t>eTable</w:t>
      </w:r>
      <w:proofErr w:type="spellEnd"/>
      <w:r w:rsidRPr="1BD499D7">
        <w:rPr>
          <w:rFonts w:ascii="Calibri Light" w:eastAsia="Calibri Light" w:hAnsi="Calibri Light" w:cs="Calibri Light"/>
          <w:lang w:val="en-GB"/>
        </w:rPr>
        <w:t xml:space="preserve"> 1. All regression parameter estimates from the main analysis and from the two sensitivity analyses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3165"/>
        <w:gridCol w:w="1800"/>
        <w:gridCol w:w="1890"/>
        <w:gridCol w:w="2160"/>
      </w:tblGrid>
      <w:tr w:rsidR="1A07FE40" w:rsidRPr="00FB632D" w14:paraId="08A763C9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5D1393F" w14:textId="39747E9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Covariate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AA4EB37" w14:textId="2B3DDCF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aIRR (95% CI), main analysis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96D347D" w14:textId="772C798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aIRR (95% CI), no calendar adjustment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48D374F" w14:textId="4B66F264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>aIRR (95% CI), no calendar, or comorbidity adjustment</w:t>
            </w:r>
          </w:p>
        </w:tc>
      </w:tr>
      <w:tr w:rsidR="1A07FE40" w14:paraId="67EF6704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39B0C7B" w14:textId="2191488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(Intercept)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277520D" w14:textId="7758DF1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8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02 (6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57–9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79)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0524CFF" w14:textId="53415C4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8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36 (7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03–9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93)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113C0D0" w14:textId="7A06761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14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29 (12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66–16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12)</w:t>
            </w:r>
          </w:p>
        </w:tc>
      </w:tr>
      <w:tr w:rsidR="1A07FE40" w14:paraId="1EB25CE4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BC0F27E" w14:textId="12A0DBD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Age (years)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4EBA0A6" w14:textId="42C93EC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62C7E80" w14:textId="19E4DB5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D1AB91B" w14:textId="3005B27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68002B22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AB5E69D" w14:textId="6D23287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0-11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3DD6E61" w14:textId="677422C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01–0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05)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6F80745" w14:textId="5A63111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01–0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05)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9A23934" w14:textId="0A325A2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01–0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05)</w:t>
            </w:r>
          </w:p>
        </w:tc>
      </w:tr>
      <w:tr w:rsidR="1A07FE40" w14:paraId="37840A82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0EC3406" w14:textId="0CB3321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12-19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C9451AD" w14:textId="48774A0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17–0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30)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2B655CA" w14:textId="2FA035D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22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17–0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30)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1FD63BD" w14:textId="15AC66B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18–0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32)</w:t>
            </w:r>
          </w:p>
        </w:tc>
      </w:tr>
      <w:tr w:rsidR="1A07FE40" w14:paraId="10215EA0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DD4F315" w14:textId="5549C0A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20-29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3330029" w14:textId="4E0308D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52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43–0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63)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D0EED5C" w14:textId="6BBE3F8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52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43–0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62)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BE722E4" w14:textId="6BFC82D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44–0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64)</w:t>
            </w:r>
          </w:p>
        </w:tc>
      </w:tr>
      <w:tr w:rsidR="1A07FE40" w14:paraId="221BC80C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13718FB" w14:textId="1510ACD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30-39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D2CFBAA" w14:textId="38D05F3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87D050D" w14:textId="2C78E0B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339EEF8" w14:textId="0D7469C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</w:tr>
      <w:tr w:rsidR="1A07FE40" w14:paraId="54E2E9CE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88E5CC8" w14:textId="0E6B0B1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40-49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6398831" w14:textId="2F46B67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36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57)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03A34E1" w14:textId="0865725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38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20–1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59)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3D64245" w14:textId="292E228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39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21–1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60)</w:t>
            </w:r>
          </w:p>
        </w:tc>
      </w:tr>
      <w:tr w:rsidR="1A07FE40" w14:paraId="14C2A5C5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86ADD68" w14:textId="49711B3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50-59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3604BC1" w14:textId="50FB74D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56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79)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9391709" w14:textId="25ED638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59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83)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7BF655A" w14:textId="67D9E02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67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46–1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91)</w:t>
            </w:r>
          </w:p>
        </w:tc>
      </w:tr>
      <w:tr w:rsidR="1A07FE40" w14:paraId="1981A6B4" w14:textId="77777777" w:rsidTr="1CF1A925">
        <w:trPr>
          <w:trHeight w:val="300"/>
        </w:trPr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624E9BE" w14:textId="394B1CA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60-69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59A6997" w14:textId="27BA25E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85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62–2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12)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9082675" w14:textId="4654C1A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90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66–2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17)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6B2A789" w14:textId="5F860EC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14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87–2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43)</w:t>
            </w:r>
          </w:p>
        </w:tc>
      </w:tr>
      <w:tr w:rsidR="1A07FE40" w14:paraId="7697B0F7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517C245" w14:textId="236815A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70-79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AAE7B3D" w14:textId="3B30014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13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85–2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45)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E1A2A75" w14:textId="1AB43E0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21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92–2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54)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17A6CB0" w14:textId="308110C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73 (2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40–3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11)</w:t>
            </w:r>
          </w:p>
        </w:tc>
      </w:tr>
      <w:tr w:rsidR="1A07FE40" w14:paraId="06C2DCD4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8FD1A03" w14:textId="70B9246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≥80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FBDB2B1" w14:textId="1C6968B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55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30–1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84)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E246216" w14:textId="1151ED7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63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93)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5FA588D" w14:textId="400D464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95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67–2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29)</w:t>
            </w:r>
          </w:p>
        </w:tc>
      </w:tr>
      <w:tr w:rsidR="1A07FE40" w14:paraId="4AE24475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F9B10E6" w14:textId="57469600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>Male gender (compared to female)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0F86279" w14:textId="73C6D96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12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04–1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20)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564BF1F" w14:textId="13B0509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11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04–1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19)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D5A0E33" w14:textId="745BD66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09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01–1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16)</w:t>
            </w:r>
          </w:p>
        </w:tc>
      </w:tr>
      <w:tr w:rsidR="1A07FE40" w:rsidRPr="00FB632D" w14:paraId="60A47259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B879D4E" w14:textId="0B87EBB9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>Vaccine exposure (days from exposure)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0971BFD" w14:textId="32C54460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02DEFB5" w14:textId="221B03A8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1B42697" w14:textId="611FC154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2C32340D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C4D3C44" w14:textId="07CCF4C2" w:rsidR="1A07FE40" w:rsidRDefault="1A07FE40" w:rsidP="1CF1A925">
            <w:pPr>
              <w:ind w:left="360" w:hanging="360"/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       Unvaccinated before March 2020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DDAF476" w14:textId="1FF2551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BB802E2" w14:textId="2389C66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A08620D" w14:textId="4EB4501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</w:tr>
      <w:tr w:rsidR="1A07FE40" w14:paraId="4E5F3805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BB4FBB7" w14:textId="6A851D16" w:rsidR="1A07FE40" w:rsidRDefault="1A07FE40" w:rsidP="1CF1A925">
            <w:pPr>
              <w:ind w:left="360" w:hanging="360"/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       Unvaccinated after March, 2020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7119525" w14:textId="20ED0D6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48–0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68)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B52D2CB" w14:textId="251DA32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81–0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95)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DF9B5FD" w14:textId="1009A12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80–0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94)</w:t>
            </w:r>
          </w:p>
        </w:tc>
      </w:tr>
      <w:tr w:rsidR="1A07FE40" w14:paraId="7F897E3B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C4EF3CD" w14:textId="270E949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ChAdOx1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D00FEFD" w14:textId="79436BB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6B79B74" w14:textId="0DDBD70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08A4C8C" w14:textId="63CF2EB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663AB8B0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C058A56" w14:textId="199FEF8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1st dose (-30-1)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768F765" w14:textId="556243C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54)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2EAFF0A" w14:textId="0BC76D5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68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02–2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76)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0EAF1EA" w14:textId="22F7A42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77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08–2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90)</w:t>
            </w:r>
          </w:p>
        </w:tc>
      </w:tr>
      <w:tr w:rsidR="1A07FE40" w14:paraId="0F502D2E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FB6F55" w14:textId="5A33A82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E47EA9F" w14:textId="77BA98B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24–0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82)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782279C" w14:textId="5EE79CB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69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22)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9A4354B" w14:textId="2AC8F0B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72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41–1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28)</w:t>
            </w:r>
          </w:p>
        </w:tc>
      </w:tr>
      <w:tr w:rsidR="1A07FE40" w14:paraId="3CD008AB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21464E8" w14:textId="7031317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</w:t>
            </w:r>
            <w:r w:rsidRPr="1A07FE40">
              <w:rPr>
                <w:rFonts w:ascii="Calibri" w:eastAsia="Calibri" w:hAnsi="Calibri" w:cs="Calibri"/>
                <w:u w:val="single"/>
                <w:lang w:val="en-GB"/>
              </w:rPr>
              <w:t>(</w:t>
            </w:r>
            <w:r w:rsidRPr="1A07FE40">
              <w:rPr>
                <w:rFonts w:ascii="Calibri" w:eastAsia="Calibri" w:hAnsi="Calibri" w:cs="Calibri"/>
                <w:lang w:val="en-GB"/>
              </w:rPr>
              <w:t>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0241495" w14:textId="1D99539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69–2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20)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C002793" w14:textId="5259EE7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45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85–2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45)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8280BB6" w14:textId="11434A0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90–2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59)</w:t>
            </w:r>
          </w:p>
        </w:tc>
      </w:tr>
      <w:tr w:rsidR="1A07FE40" w14:paraId="5DC521DC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85202C3" w14:textId="428ADCD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2nd dose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1FAD5EC" w14:textId="66741B1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59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25–1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38)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E578FDE" w14:textId="0443784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33)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BB4EF20" w14:textId="4EA4057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62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38)</w:t>
            </w:r>
          </w:p>
        </w:tc>
      </w:tr>
      <w:tr w:rsidR="1A07FE40" w14:paraId="4CF8D35C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A6934C4" w14:textId="571E96A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</w:t>
            </w:r>
            <w:r w:rsidRPr="1A07FE40">
              <w:rPr>
                <w:rFonts w:ascii="Calibri" w:eastAsia="Calibri" w:hAnsi="Calibri" w:cs="Calibri"/>
                <w:u w:val="single"/>
                <w:lang w:val="en-GB"/>
              </w:rPr>
              <w:t>(</w:t>
            </w:r>
            <w:r w:rsidRPr="1A07FE40">
              <w:rPr>
                <w:rFonts w:ascii="Calibri" w:eastAsia="Calibri" w:hAnsi="Calibri" w:cs="Calibri"/>
                <w:lang w:val="en-GB"/>
              </w:rPr>
              <w:t>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E9F18A7" w14:textId="3B9AE8E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55)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9B3B21A" w14:textId="629D067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95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63–1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45)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478E5FA" w14:textId="0D348C3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65–1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49)</w:t>
            </w:r>
          </w:p>
        </w:tc>
      </w:tr>
      <w:tr w:rsidR="1A07FE40" w14:paraId="61FF15E1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FF56C1F" w14:textId="6416195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3rd dose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0194886" w14:textId="76060D6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00–Inf)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62624C3" w14:textId="770C86C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00–Inf)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B0E4108" w14:textId="590EC14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00–Inf)</w:t>
            </w:r>
          </w:p>
        </w:tc>
      </w:tr>
      <w:tr w:rsidR="1A07FE40" w14:paraId="77AFBFB5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958594E" w14:textId="70671F1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</w:t>
            </w:r>
            <w:r w:rsidRPr="1A07FE40">
              <w:rPr>
                <w:rFonts w:ascii="Calibri" w:eastAsia="Calibri" w:hAnsi="Calibri" w:cs="Calibri"/>
                <w:u w:val="single"/>
                <w:lang w:val="en-GB"/>
              </w:rPr>
              <w:t>(</w:t>
            </w:r>
            <w:r w:rsidRPr="1A07FE40">
              <w:rPr>
                <w:rFonts w:ascii="Calibri" w:eastAsia="Calibri" w:hAnsi="Calibri" w:cs="Calibri"/>
                <w:lang w:val="en-GB"/>
              </w:rPr>
              <w:t>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48F460E" w14:textId="41D92C7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00–Inf)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52F2FFE" w14:textId="7A82A0C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00–Inf)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CC503EA" w14:textId="17D9F10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00–Inf)</w:t>
            </w:r>
          </w:p>
        </w:tc>
      </w:tr>
      <w:tr w:rsidR="1A07FE40" w14:paraId="4FBE6EB4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7B587C2" w14:textId="590CBE5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BNT162b2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A6BE833" w14:textId="4DA937C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B85D7C3" w14:textId="6961AD5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4EE29C5" w14:textId="0FB584F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4E71C7ED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D777CC8" w14:textId="14B7894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1st dose (-30-1)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4937687" w14:textId="7445E74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07)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6CBB004" w14:textId="31642FD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56)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610C0B8" w14:textId="46D8334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55)</w:t>
            </w:r>
          </w:p>
        </w:tc>
      </w:tr>
      <w:tr w:rsidR="1A07FE40" w14:paraId="51F73EA0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354B68A" w14:textId="1BAB509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F58F9BC" w14:textId="5232515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04)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2317F7" w14:textId="53C96B7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01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83–1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23)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3DE41AD" w14:textId="020C64A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83–1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22)</w:t>
            </w:r>
          </w:p>
        </w:tc>
      </w:tr>
      <w:tr w:rsidR="1A07FE40" w14:paraId="339D2A58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2143F32" w14:textId="38A1AFA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</w:t>
            </w:r>
            <w:r w:rsidRPr="1A07FE40">
              <w:rPr>
                <w:rFonts w:ascii="Calibri" w:eastAsia="Calibri" w:hAnsi="Calibri" w:cs="Calibri"/>
                <w:u w:val="single"/>
                <w:lang w:val="en-GB"/>
              </w:rPr>
              <w:t>(</w:t>
            </w:r>
            <w:r w:rsidRPr="1A07FE40">
              <w:rPr>
                <w:rFonts w:ascii="Calibri" w:eastAsia="Calibri" w:hAnsi="Calibri" w:cs="Calibri"/>
                <w:lang w:val="en-GB"/>
              </w:rPr>
              <w:t>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008B081" w14:textId="4413DEB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21)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9152A2B" w14:textId="40EBDAB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92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70–1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20)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73C8B98" w14:textId="4737A09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91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19)</w:t>
            </w:r>
          </w:p>
        </w:tc>
      </w:tr>
      <w:tr w:rsidR="1A07FE40" w14:paraId="75057B2E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91759D2" w14:textId="2089556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2nd dose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DB9C576" w14:textId="6A9F3A8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61–1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17)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6204230" w14:textId="78C1E8C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73–1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09)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5C84CF5" w14:textId="626DB22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89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73–1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09)</w:t>
            </w:r>
          </w:p>
        </w:tc>
      </w:tr>
      <w:tr w:rsidR="1A07FE40" w14:paraId="03E2D68B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4946B7F" w14:textId="20D207D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</w:t>
            </w:r>
            <w:r w:rsidRPr="1A07FE40">
              <w:rPr>
                <w:rFonts w:ascii="Calibri" w:eastAsia="Calibri" w:hAnsi="Calibri" w:cs="Calibri"/>
                <w:u w:val="single"/>
                <w:lang w:val="en-GB"/>
              </w:rPr>
              <w:t>(</w:t>
            </w:r>
            <w:r w:rsidRPr="1A07FE40">
              <w:rPr>
                <w:rFonts w:ascii="Calibri" w:eastAsia="Calibri" w:hAnsi="Calibri" w:cs="Calibri"/>
                <w:lang w:val="en-GB"/>
              </w:rPr>
              <w:t>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49409D5" w14:textId="35B6713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01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74–1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38)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D5B4C0D" w14:textId="1A1BB73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02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16)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C0FA821" w14:textId="19BA212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01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16)</w:t>
            </w:r>
          </w:p>
        </w:tc>
      </w:tr>
      <w:tr w:rsidR="1A07FE40" w14:paraId="37C54382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EB7C0DD" w14:textId="2055FEC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3rd dose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233F510" w14:textId="38DAF44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66–1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43)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B671F65" w14:textId="1CA28CB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95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75–1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19)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6509C13" w14:textId="34C861E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95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76–1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20)</w:t>
            </w:r>
          </w:p>
        </w:tc>
      </w:tr>
      <w:tr w:rsidR="1A07FE40" w14:paraId="2B9B1340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6934F1A" w14:textId="1B7FB04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</w:t>
            </w:r>
            <w:r w:rsidRPr="1A07FE40">
              <w:rPr>
                <w:rFonts w:ascii="Calibri" w:eastAsia="Calibri" w:hAnsi="Calibri" w:cs="Calibri"/>
                <w:u w:val="single"/>
                <w:lang w:val="en-GB"/>
              </w:rPr>
              <w:t>(</w:t>
            </w:r>
            <w:r w:rsidRPr="1A07FE40">
              <w:rPr>
                <w:rFonts w:ascii="Calibri" w:eastAsia="Calibri" w:hAnsi="Calibri" w:cs="Calibri"/>
                <w:lang w:val="en-GB"/>
              </w:rPr>
              <w:t>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DC29982" w14:textId="6EE5980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84)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1F13CC6" w14:textId="34C0BC6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32)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509B4C3" w14:textId="2E98392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09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33)</w:t>
            </w:r>
          </w:p>
        </w:tc>
      </w:tr>
      <w:tr w:rsidR="1A07FE40" w14:paraId="432153BF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F4EA7B4" w14:textId="1FDB86E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mRNA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1273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83FC8D4" w14:textId="22C7F14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25F1E17" w14:textId="6778946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78427F5" w14:textId="4F14434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3C371CA9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16335DC" w14:textId="587A4BD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1st dose (-30-1)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39BAF8F" w14:textId="777DB72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71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36–1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42)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FCA1E39" w14:textId="32E48C0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06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55–2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04)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0693B94" w14:textId="795B7B6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55–2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05)</w:t>
            </w:r>
          </w:p>
        </w:tc>
      </w:tr>
      <w:tr w:rsidR="1A07FE40" w14:paraId="27F592B2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2E6D889" w14:textId="07B72F7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E0AD533" w14:textId="0E76BB3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45–1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36)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F4ACCAA" w14:textId="27F4EF8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62)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BBFDC57" w14:textId="25DE56F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64)</w:t>
            </w:r>
          </w:p>
        </w:tc>
      </w:tr>
      <w:tr w:rsidR="1A07FE40" w14:paraId="676387F9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E1EA91B" w14:textId="18B7F71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lastRenderedPageBreak/>
              <w:t xml:space="preserve">                                   </w:t>
            </w:r>
            <w:r w:rsidRPr="1A07FE40">
              <w:rPr>
                <w:rFonts w:ascii="Calibri" w:eastAsia="Calibri" w:hAnsi="Calibri" w:cs="Calibri"/>
                <w:u w:val="single"/>
                <w:lang w:val="en-GB"/>
              </w:rPr>
              <w:t>(</w:t>
            </w:r>
            <w:r w:rsidRPr="1A07FE40">
              <w:rPr>
                <w:rFonts w:ascii="Calibri" w:eastAsia="Calibri" w:hAnsi="Calibri" w:cs="Calibri"/>
                <w:lang w:val="en-GB"/>
              </w:rPr>
              <w:t>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EBB943F" w14:textId="72625AA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66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53)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DB7E70A" w14:textId="79E3AFB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57)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6868D15" w14:textId="56608DF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71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59)</w:t>
            </w:r>
          </w:p>
        </w:tc>
      </w:tr>
      <w:tr w:rsidR="1A07FE40" w14:paraId="6F4F455F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3E4FD2B" w14:textId="471DBCA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2nd dose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368A8F5" w14:textId="3BC1A42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16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93)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C9FB756" w14:textId="6FDA7BA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20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87)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9A7248B" w14:textId="3995FAE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21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89)</w:t>
            </w:r>
          </w:p>
        </w:tc>
      </w:tr>
      <w:tr w:rsidR="1A07FE40" w14:paraId="4611309C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D6D560B" w14:textId="15FBB52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</w:t>
            </w:r>
            <w:r w:rsidRPr="1A07FE40">
              <w:rPr>
                <w:rFonts w:ascii="Calibri" w:eastAsia="Calibri" w:hAnsi="Calibri" w:cs="Calibri"/>
                <w:u w:val="single"/>
                <w:lang w:val="en-GB"/>
              </w:rPr>
              <w:t>(</w:t>
            </w:r>
            <w:r w:rsidRPr="1A07FE40">
              <w:rPr>
                <w:rFonts w:ascii="Calibri" w:eastAsia="Calibri" w:hAnsi="Calibri" w:cs="Calibri"/>
                <w:lang w:val="en-GB"/>
              </w:rPr>
              <w:t>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ED94E0D" w14:textId="481FF0F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55–1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36)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F66EB55" w14:textId="2266D67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86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61–1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23)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467FC6F" w14:textId="5A59106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24)</w:t>
            </w:r>
          </w:p>
        </w:tc>
      </w:tr>
      <w:tr w:rsidR="1A07FE40" w14:paraId="08FF9E44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1F2B62B" w14:textId="7BF6A10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3rd dose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12C2932" w14:textId="7562E11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15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83)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B907AE5" w14:textId="5DB3F45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81–1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59)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0350AC0" w14:textId="370668B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81–1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58)</w:t>
            </w:r>
          </w:p>
        </w:tc>
      </w:tr>
      <w:tr w:rsidR="1A07FE40" w14:paraId="331DF9FC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2E5C154" w14:textId="7F9FB5C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                  </w:t>
            </w:r>
            <w:r w:rsidRPr="1A07FE40">
              <w:rPr>
                <w:rFonts w:ascii="Calibri" w:eastAsia="Calibri" w:hAnsi="Calibri" w:cs="Calibri"/>
                <w:u w:val="single"/>
                <w:lang w:val="en-GB"/>
              </w:rPr>
              <w:t>(</w:t>
            </w:r>
            <w:r w:rsidRPr="1A07FE40">
              <w:rPr>
                <w:rFonts w:ascii="Calibri" w:eastAsia="Calibri" w:hAnsi="Calibri" w:cs="Calibri"/>
                <w:lang w:val="en-GB"/>
              </w:rPr>
              <w:t>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B87F09B" w14:textId="1C41526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22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73–2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03)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0566205" w14:textId="44DAAED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49)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AB7E97B" w14:textId="029D4CA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50)</w:t>
            </w:r>
          </w:p>
        </w:tc>
      </w:tr>
      <w:tr w:rsidR="1A07FE40" w:rsidRPr="00FB632D" w14:paraId="1AD61B43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5AAE6DE" w14:textId="39A0FAF5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>Calendar time adjustment with splines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BB584ED" w14:textId="553C6C0C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E8917C7" w14:textId="03DAFFEE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DF780DB" w14:textId="4A511E63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43D532D4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5833E71" w14:textId="715361E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parameter 1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E223240" w14:textId="679C47D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81 (2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07–3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82)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0FEC671" w14:textId="3C24645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AA6C29A" w14:textId="58C7D44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5764471D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D1A9023" w14:textId="368BBEA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parameter 2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2515463" w14:textId="3505F23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22)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C66D1BF" w14:textId="225F93E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D2651D8" w14:textId="0E40542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5F843096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9AFCF7" w14:textId="4AA00DF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parameter 3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A5F55E6" w14:textId="0673746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41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91–2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16)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62F6056" w14:textId="20FDEB1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EEB4B98" w14:textId="71A09E0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5CAD03A8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9B4B396" w14:textId="263CF8A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parameter 4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127AFE7" w14:textId="0C3146D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86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55–1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36)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2713DC4" w14:textId="10EB75A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B69B79C" w14:textId="7DB4195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644102CF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AAB8D57" w14:textId="025CB8E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parameter 5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15B41C0" w14:textId="461EF2A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22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90)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BC6CD3C" w14:textId="3F82EC3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79DB120" w14:textId="0B3ED1C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2119BF34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1604578" w14:textId="3EC551B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parameter 6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E31E840" w14:textId="046AB37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70)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ECBE1CC" w14:textId="00E0F29B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89A7279" w14:textId="705D95D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18352CBB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32A111C" w14:textId="0A51B5C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parameter 7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4606383" w14:textId="48F8DD4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48–1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14)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A915443" w14:textId="26B0AE9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6D981E4" w14:textId="05260C5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3DCB9D0A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02E605B" w14:textId="7DF56192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SARS-CoV-2 infection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E3297B6" w14:textId="189F131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930BE3D" w14:textId="3274277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B923082" w14:textId="4A40C93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4B9741DD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AA53177" w14:textId="7FB6F08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Uninfected time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252084" w14:textId="54A05B6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291B08B" w14:textId="1B1F7DD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4642904" w14:textId="0C96B34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6984053F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BB29DE5" w14:textId="47945CE8" w:rsidR="1A07FE40" w:rsidRDefault="1A07FE40">
            <w:r w:rsidRPr="1A07FE40">
              <w:rPr>
                <w:rFonts w:ascii="Calibri" w:eastAsia="Calibri" w:hAnsi="Calibri" w:cs="Calibri"/>
              </w:rPr>
              <w:t xml:space="preserve"> </w:t>
            </w:r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(0-54)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5E23EFD" w14:textId="73B7CD0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74–1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86)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14CA752" w14:textId="47BEDFB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09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72)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7AF35E3" w14:textId="3DFE1FA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386C6935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CF6C737" w14:textId="09EF4BD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 (≥55)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E6C35E2" w14:textId="56E55BC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07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70–1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63)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E139ACE" w14:textId="7537168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93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41)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A661C0D" w14:textId="3F8CAB8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:rsidRPr="00FB632D" w14:paraId="1DF1CB98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2979E71" w14:textId="33A7C825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>Risk factors (Yes vs No)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C801DEB" w14:textId="73DF5E02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0A6F7E1" w14:textId="4D626A9E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FB8416C" w14:textId="2D29002E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5507C3E1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ABB2B8E" w14:textId="6399583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Diabetes (any type)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C8E973E" w14:textId="7FA836F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99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10)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B0BB04A" w14:textId="3A517F8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99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10)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A7B17DC" w14:textId="0857661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61C12D52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937698C" w14:textId="4645478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Cardiovascular disease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D43A809" w14:textId="4BCEB19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22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34)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BC03DB5" w14:textId="6AD118D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22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34)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82AF277" w14:textId="3D18559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6F60D1B7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D21DE8A" w14:textId="1C65A98E" w:rsidR="1A07FE40" w:rsidRDefault="1A07FE40" w:rsidP="1A07FE40">
            <w:pPr>
              <w:spacing w:line="257" w:lineRule="auto"/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Assisted living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8815A28" w14:textId="0C1FC04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06–0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32)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3F7E164" w14:textId="211E1DA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14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06–0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32)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926EFB7" w14:textId="78829AA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1F32CE23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5B5A6C0" w14:textId="2E398FD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Elderly home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CBE178A" w14:textId="15D897B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13)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CE21B51" w14:textId="74228E1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13)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2709285" w14:textId="185F27D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608DA021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D1CA1B" w14:textId="15DE401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Institutional living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62DCE0E7" w14:textId="42515D3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10–1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53)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92831B2" w14:textId="3532A1B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38 (0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52)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43AE73D" w14:textId="3AB7D54E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:rsidRPr="00FB632D" w14:paraId="3665C694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952FF8A" w14:textId="1AAC7EE1" w:rsidR="1A07FE40" w:rsidRPr="009B5B98" w:rsidRDefault="1A07FE40" w:rsidP="1A07FE40">
            <w:pPr>
              <w:spacing w:line="257" w:lineRule="auto"/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>Number of other risk factors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689217D" w14:textId="7E46A751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1F795FC" w14:textId="317AF133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9A49F23" w14:textId="127C54D3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4A69B739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DDC85A4" w14:textId="1148F309" w:rsidR="1A07FE40" w:rsidRDefault="1A07FE40" w:rsidP="1A07FE40">
            <w:pPr>
              <w:spacing w:line="257" w:lineRule="auto"/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0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B28D2BE" w14:textId="309D37D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2B12C56" w14:textId="2590285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4AD541A" w14:textId="6658A9C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7DAE4110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FBEC4E8" w14:textId="06E7771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1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B229F10" w14:textId="792ADCE7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17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06–1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29)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7166CCF" w14:textId="3B18B47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17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07–1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29)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250189E" w14:textId="37D2986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40E1BCAB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717699" w14:textId="565F635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2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13AAFA3" w14:textId="540C453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28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61)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B075F79" w14:textId="4ACC53E6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28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02–1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62)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7B0B3AE" w14:textId="60ABB30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484B35EA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CAC0EF9" w14:textId="050A760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≥3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1FD432D" w14:textId="5703179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09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18–3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69)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74FF96F" w14:textId="6FE15C2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09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19–3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70)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BC6B13B" w14:textId="1C9E039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:rsidRPr="00FB632D" w14:paraId="29963F43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2FD01FF" w14:textId="7B2E2C31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>Number of primary health care contacts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C0EF396" w14:textId="4687B066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3B28001" w14:textId="1420FB85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A15FC0A" w14:textId="795D822A" w:rsidR="1A07FE40" w:rsidRPr="009B5B98" w:rsidRDefault="1A07FE40">
            <w:pPr>
              <w:rPr>
                <w:lang w:val="en-GB"/>
              </w:rPr>
            </w:pPr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73FACA24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52DA0CA" w14:textId="10CA269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0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65EBC9D" w14:textId="226CF82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0B24EB75" w14:textId="57DB91B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Ref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072A875" w14:textId="5B2726C0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1A07FE40" w14:paraId="5CAA100D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12854550" w14:textId="455DA761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1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0553DF1" w14:textId="2AC3F20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49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20–1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85)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AE9FC9" w14:textId="16C71E79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50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21–1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86)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075F64D" w14:textId="64E115C8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21FFF21E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541B373" w14:textId="5F456E5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2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5B74B6DB" w14:textId="433FB4FC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61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29–1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99)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4BEDA101" w14:textId="6909117A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62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30–2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01)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4222179" w14:textId="4BC951B4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  <w:tr w:rsidR="1A07FE40" w14:paraId="2894B9AC" w14:textId="77777777" w:rsidTr="1CF1A925">
        <w:tc>
          <w:tcPr>
            <w:tcW w:w="3165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B8CAE4D" w14:textId="7DFA4515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 xml:space="preserve">                ≥3</w:t>
            </w:r>
          </w:p>
        </w:tc>
        <w:tc>
          <w:tcPr>
            <w:tcW w:w="180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31FF6247" w14:textId="51E7144D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85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61–2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12)</w:t>
            </w:r>
          </w:p>
        </w:tc>
        <w:tc>
          <w:tcPr>
            <w:tcW w:w="189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29E93563" w14:textId="2BE659A3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86 (1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62–2</w:t>
            </w:r>
            <w:r w:rsidR="00FB632D">
              <w:rPr>
                <w:rFonts w:ascii="Calibri" w:eastAsia="Calibri" w:hAnsi="Calibri" w:cs="Calibri"/>
                <w:lang w:val="en-GB"/>
              </w:rPr>
              <w:t>.</w:t>
            </w:r>
            <w:r w:rsidRPr="1A07FE40">
              <w:rPr>
                <w:rFonts w:ascii="Calibri" w:eastAsia="Calibri" w:hAnsi="Calibri" w:cs="Calibri"/>
                <w:lang w:val="en-GB"/>
              </w:rPr>
              <w:t>14)</w:t>
            </w:r>
          </w:p>
        </w:tc>
        <w:tc>
          <w:tcPr>
            <w:tcW w:w="216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</w:tcPr>
          <w:p w14:paraId="7E74140B" w14:textId="619EC39F" w:rsidR="1A07FE40" w:rsidRDefault="1A07FE40">
            <w:r w:rsidRPr="1A07FE40">
              <w:rPr>
                <w:rFonts w:ascii="Calibri" w:eastAsia="Calibri" w:hAnsi="Calibri" w:cs="Calibri"/>
                <w:lang w:val="en-GB"/>
              </w:rPr>
              <w:t>-</w:t>
            </w:r>
          </w:p>
        </w:tc>
      </w:tr>
    </w:tbl>
    <w:p w14:paraId="6A8064D3" w14:textId="6E0AFE63" w:rsidR="004F1337" w:rsidRPr="009B5B98" w:rsidRDefault="1A07FE40" w:rsidP="1A07FE40">
      <w:pPr>
        <w:spacing w:line="257" w:lineRule="auto"/>
        <w:rPr>
          <w:lang w:val="en-GB"/>
        </w:rPr>
      </w:pPr>
      <w:proofErr w:type="spellStart"/>
      <w:r w:rsidRPr="1A07FE40">
        <w:rPr>
          <w:rFonts w:ascii="Calibri" w:eastAsia="Calibri" w:hAnsi="Calibri" w:cs="Calibri"/>
        </w:rPr>
        <w:t>Abbreviations</w:t>
      </w:r>
      <w:proofErr w:type="spellEnd"/>
      <w:r w:rsidRPr="1CF1A925">
        <w:rPr>
          <w:rFonts w:ascii="Calibri" w:eastAsia="Calibri" w:hAnsi="Calibri" w:cs="Calibri"/>
        </w:rPr>
        <w:t xml:space="preserve">: aIRR </w:t>
      </w:r>
      <w:proofErr w:type="spellStart"/>
      <w:r w:rsidRPr="1CF1A925">
        <w:rPr>
          <w:rFonts w:ascii="Calibri" w:eastAsia="Calibri" w:hAnsi="Calibri" w:cs="Calibri"/>
        </w:rPr>
        <w:t>adjusted</w:t>
      </w:r>
      <w:proofErr w:type="spellEnd"/>
      <w:r w:rsidRPr="1CF1A925">
        <w:rPr>
          <w:rFonts w:ascii="Calibri" w:eastAsia="Calibri" w:hAnsi="Calibri" w:cs="Calibri"/>
        </w:rPr>
        <w:t xml:space="preserve"> </w:t>
      </w:r>
      <w:proofErr w:type="spellStart"/>
      <w:r w:rsidRPr="1CF1A925">
        <w:rPr>
          <w:rFonts w:ascii="Calibri" w:eastAsia="Calibri" w:hAnsi="Calibri" w:cs="Calibri"/>
        </w:rPr>
        <w:t>incidence</w:t>
      </w:r>
      <w:proofErr w:type="spellEnd"/>
      <w:r w:rsidRPr="1CF1A925">
        <w:rPr>
          <w:rFonts w:ascii="Calibri" w:eastAsia="Calibri" w:hAnsi="Calibri" w:cs="Calibri"/>
        </w:rPr>
        <w:t xml:space="preserve"> </w:t>
      </w:r>
      <w:proofErr w:type="spellStart"/>
      <w:r w:rsidRPr="1CF1A925">
        <w:rPr>
          <w:rFonts w:ascii="Calibri" w:eastAsia="Calibri" w:hAnsi="Calibri" w:cs="Calibri"/>
        </w:rPr>
        <w:t>rate</w:t>
      </w:r>
      <w:proofErr w:type="spellEnd"/>
      <w:r w:rsidRPr="1CF1A925">
        <w:rPr>
          <w:rFonts w:ascii="Calibri" w:eastAsia="Calibri" w:hAnsi="Calibri" w:cs="Calibri"/>
        </w:rPr>
        <w:t xml:space="preserve"> </w:t>
      </w:r>
      <w:proofErr w:type="spellStart"/>
      <w:r w:rsidRPr="1CF1A925">
        <w:rPr>
          <w:rFonts w:ascii="Calibri" w:eastAsia="Calibri" w:hAnsi="Calibri" w:cs="Calibri"/>
        </w:rPr>
        <w:t>ratio</w:t>
      </w:r>
      <w:proofErr w:type="spellEnd"/>
      <w:r w:rsidRPr="1CF1A925">
        <w:rPr>
          <w:rFonts w:ascii="Calibri" w:eastAsia="Calibri" w:hAnsi="Calibri" w:cs="Calibri"/>
        </w:rPr>
        <w:t xml:space="preserve">; </w:t>
      </w:r>
      <w:proofErr w:type="gramStart"/>
      <w:r w:rsidRPr="1CF1A925">
        <w:rPr>
          <w:rFonts w:ascii="Calibri" w:eastAsia="Calibri" w:hAnsi="Calibri" w:cs="Calibri"/>
        </w:rPr>
        <w:t>95%</w:t>
      </w:r>
      <w:proofErr w:type="gramEnd"/>
      <w:r w:rsidRPr="1CF1A925">
        <w:rPr>
          <w:rFonts w:ascii="Calibri" w:eastAsia="Calibri" w:hAnsi="Calibri" w:cs="Calibri"/>
        </w:rPr>
        <w:t xml:space="preserve"> CI, 95 </w:t>
      </w:r>
      <w:proofErr w:type="spellStart"/>
      <w:r w:rsidRPr="1CF1A925">
        <w:rPr>
          <w:rFonts w:ascii="Calibri" w:eastAsia="Calibri" w:hAnsi="Calibri" w:cs="Calibri"/>
        </w:rPr>
        <w:t>percent</w:t>
      </w:r>
      <w:proofErr w:type="spellEnd"/>
      <w:r w:rsidRPr="1CF1A925">
        <w:rPr>
          <w:rFonts w:ascii="Calibri" w:eastAsia="Calibri" w:hAnsi="Calibri" w:cs="Calibri"/>
        </w:rPr>
        <w:t xml:space="preserve"> </w:t>
      </w:r>
      <w:proofErr w:type="spellStart"/>
      <w:r w:rsidRPr="1CF1A925">
        <w:rPr>
          <w:rFonts w:ascii="Calibri" w:eastAsia="Calibri" w:hAnsi="Calibri" w:cs="Calibri"/>
        </w:rPr>
        <w:t>confidence</w:t>
      </w:r>
      <w:proofErr w:type="spellEnd"/>
      <w:r w:rsidRPr="1CF1A925">
        <w:rPr>
          <w:rFonts w:ascii="Calibri" w:eastAsia="Calibri" w:hAnsi="Calibri" w:cs="Calibri"/>
        </w:rPr>
        <w:t xml:space="preserve"> </w:t>
      </w:r>
      <w:proofErr w:type="spellStart"/>
      <w:r w:rsidRPr="1CF1A925">
        <w:rPr>
          <w:rFonts w:ascii="Calibri" w:eastAsia="Calibri" w:hAnsi="Calibri" w:cs="Calibri"/>
        </w:rPr>
        <w:t>interval</w:t>
      </w:r>
      <w:proofErr w:type="spellEnd"/>
      <w:r w:rsidRPr="1CF1A925">
        <w:rPr>
          <w:rFonts w:ascii="Calibri" w:eastAsia="Calibri" w:hAnsi="Calibri" w:cs="Calibri"/>
        </w:rPr>
        <w:t xml:space="preserve">; </w:t>
      </w:r>
      <w:proofErr w:type="spellStart"/>
      <w:r w:rsidRPr="1CF1A925">
        <w:rPr>
          <w:rFonts w:ascii="Calibri" w:eastAsia="Calibri" w:hAnsi="Calibri" w:cs="Calibri"/>
        </w:rPr>
        <w:t>Ref</w:t>
      </w:r>
      <w:proofErr w:type="spellEnd"/>
      <w:r w:rsidRPr="1CF1A925">
        <w:rPr>
          <w:rFonts w:ascii="Calibri" w:eastAsia="Calibri" w:hAnsi="Calibri" w:cs="Calibri"/>
        </w:rPr>
        <w:t xml:space="preserve">, </w:t>
      </w:r>
      <w:proofErr w:type="spellStart"/>
      <w:r w:rsidRPr="1CF1A925">
        <w:rPr>
          <w:rFonts w:ascii="Calibri" w:eastAsia="Calibri" w:hAnsi="Calibri" w:cs="Calibri"/>
        </w:rPr>
        <w:t>referent</w:t>
      </w:r>
      <w:proofErr w:type="spellEnd"/>
      <w:r w:rsidRPr="1CF1A925">
        <w:rPr>
          <w:rFonts w:ascii="Calibri" w:eastAsia="Calibri" w:hAnsi="Calibri" w:cs="Calibri"/>
        </w:rPr>
        <w:t xml:space="preserve"> </w:t>
      </w:r>
      <w:proofErr w:type="spellStart"/>
      <w:r w:rsidRPr="1CF1A925">
        <w:rPr>
          <w:rFonts w:ascii="Calibri" w:eastAsia="Calibri" w:hAnsi="Calibri" w:cs="Calibri"/>
        </w:rPr>
        <w:t>group</w:t>
      </w:r>
      <w:proofErr w:type="spellEnd"/>
      <w:r w:rsidRPr="1CF1A925">
        <w:rPr>
          <w:rFonts w:ascii="Calibri" w:eastAsia="Calibri" w:hAnsi="Calibri" w:cs="Calibri"/>
        </w:rPr>
        <w:t>;</w:t>
      </w:r>
      <w:r w:rsidRPr="1A07FE40">
        <w:rPr>
          <w:rFonts w:ascii="Calibri" w:eastAsia="Calibri" w:hAnsi="Calibri" w:cs="Calibri"/>
        </w:rPr>
        <w:t xml:space="preserve"> </w:t>
      </w:r>
      <w:r w:rsidRPr="1A07FE40">
        <w:rPr>
          <w:rFonts w:ascii="Calibri" w:eastAsia="Calibri" w:hAnsi="Calibri" w:cs="Calibri"/>
          <w:color w:val="000000" w:themeColor="text1"/>
        </w:rPr>
        <w:t>ChAdOx1: ChAdOx-1 S [</w:t>
      </w:r>
      <w:proofErr w:type="spellStart"/>
      <w:r w:rsidRPr="1A07FE40">
        <w:rPr>
          <w:rFonts w:ascii="Calibri" w:eastAsia="Calibri" w:hAnsi="Calibri" w:cs="Calibri"/>
          <w:color w:val="000000" w:themeColor="text1"/>
        </w:rPr>
        <w:t>recombinant</w:t>
      </w:r>
      <w:proofErr w:type="spellEnd"/>
      <w:r w:rsidRPr="1A07FE40">
        <w:rPr>
          <w:rFonts w:ascii="Calibri" w:eastAsia="Calibri" w:hAnsi="Calibri" w:cs="Calibri"/>
          <w:color w:val="000000" w:themeColor="text1"/>
        </w:rPr>
        <w:t xml:space="preserve">], </w:t>
      </w:r>
      <w:proofErr w:type="spellStart"/>
      <w:r w:rsidRPr="1A07FE40">
        <w:rPr>
          <w:rFonts w:ascii="Calibri" w:eastAsia="Calibri" w:hAnsi="Calibri" w:cs="Calibri"/>
          <w:color w:val="000000" w:themeColor="text1"/>
        </w:rPr>
        <w:t>Vaxzevria</w:t>
      </w:r>
      <w:proofErr w:type="spellEnd"/>
      <w:r w:rsidRPr="1A07FE40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1A07FE40">
        <w:rPr>
          <w:rFonts w:ascii="Calibri" w:eastAsia="Calibri" w:hAnsi="Calibri" w:cs="Calibri"/>
          <w:color w:val="000000" w:themeColor="text1"/>
        </w:rPr>
        <w:t>adenoviral</w:t>
      </w:r>
      <w:proofErr w:type="spellEnd"/>
      <w:r w:rsidRPr="1A07FE40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1A07FE40">
        <w:rPr>
          <w:rFonts w:ascii="Calibri" w:eastAsia="Calibri" w:hAnsi="Calibri" w:cs="Calibri"/>
          <w:color w:val="000000" w:themeColor="text1"/>
        </w:rPr>
        <w:t>vector</w:t>
      </w:r>
      <w:proofErr w:type="spellEnd"/>
      <w:r w:rsidRPr="1A07FE40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1A07FE40">
        <w:rPr>
          <w:rFonts w:ascii="Calibri" w:eastAsia="Calibri" w:hAnsi="Calibri" w:cs="Calibri"/>
          <w:color w:val="000000" w:themeColor="text1"/>
        </w:rPr>
        <w:t>vaccine</w:t>
      </w:r>
      <w:proofErr w:type="spellEnd"/>
      <w:r w:rsidRPr="1A07FE40">
        <w:rPr>
          <w:rFonts w:ascii="Calibri" w:eastAsia="Calibri" w:hAnsi="Calibri" w:cs="Calibri"/>
          <w:color w:val="000000" w:themeColor="text1"/>
        </w:rPr>
        <w:t>, Astra-</w:t>
      </w:r>
      <w:proofErr w:type="spellStart"/>
      <w:r w:rsidRPr="1A07FE40">
        <w:rPr>
          <w:rFonts w:ascii="Calibri" w:eastAsia="Calibri" w:hAnsi="Calibri" w:cs="Calibri"/>
          <w:color w:val="000000" w:themeColor="text1"/>
        </w:rPr>
        <w:t>Zeneca</w:t>
      </w:r>
      <w:proofErr w:type="spellEnd"/>
      <w:r w:rsidRPr="1A07FE40">
        <w:rPr>
          <w:rFonts w:ascii="Calibri" w:eastAsia="Calibri" w:hAnsi="Calibri" w:cs="Calibri"/>
          <w:color w:val="000000" w:themeColor="text1"/>
        </w:rPr>
        <w:t xml:space="preserve">; BNT162b2: Comirnaty, mRNA </w:t>
      </w:r>
      <w:proofErr w:type="spellStart"/>
      <w:r w:rsidRPr="1A07FE40">
        <w:rPr>
          <w:rFonts w:ascii="Calibri" w:eastAsia="Calibri" w:hAnsi="Calibri" w:cs="Calibri"/>
          <w:color w:val="000000" w:themeColor="text1"/>
        </w:rPr>
        <w:t>vaccine</w:t>
      </w:r>
      <w:proofErr w:type="spellEnd"/>
      <w:r w:rsidRPr="1A07FE40">
        <w:rPr>
          <w:rFonts w:ascii="Calibri" w:eastAsia="Calibri" w:hAnsi="Calibri" w:cs="Calibri"/>
          <w:color w:val="000000" w:themeColor="text1"/>
        </w:rPr>
        <w:t>, BioNTech/Pfizer; mRNA</w:t>
      </w:r>
      <w:r w:rsidR="00FB632D">
        <w:rPr>
          <w:rFonts w:ascii="Calibri" w:eastAsia="Calibri" w:hAnsi="Calibri" w:cs="Calibri"/>
          <w:color w:val="000000" w:themeColor="text1"/>
        </w:rPr>
        <w:t>.</w:t>
      </w:r>
      <w:r w:rsidRPr="1A07FE40">
        <w:rPr>
          <w:rFonts w:ascii="Calibri" w:eastAsia="Calibri" w:hAnsi="Calibri" w:cs="Calibri"/>
          <w:color w:val="000000" w:themeColor="text1"/>
        </w:rPr>
        <w:t xml:space="preserve">1273: </w:t>
      </w:r>
      <w:proofErr w:type="spellStart"/>
      <w:r w:rsidRPr="1A07FE40">
        <w:rPr>
          <w:rFonts w:ascii="Calibri" w:eastAsia="Calibri" w:hAnsi="Calibri" w:cs="Calibri"/>
          <w:color w:val="000000" w:themeColor="text1"/>
        </w:rPr>
        <w:t>Spikevax</w:t>
      </w:r>
      <w:proofErr w:type="spellEnd"/>
      <w:r w:rsidRPr="1A07FE40">
        <w:rPr>
          <w:rFonts w:ascii="Calibri" w:eastAsia="Calibri" w:hAnsi="Calibri" w:cs="Calibri"/>
          <w:color w:val="000000" w:themeColor="text1"/>
        </w:rPr>
        <w:t xml:space="preserve">, mRNA </w:t>
      </w:r>
      <w:proofErr w:type="spellStart"/>
      <w:r w:rsidRPr="1A07FE40">
        <w:rPr>
          <w:rFonts w:ascii="Calibri" w:eastAsia="Calibri" w:hAnsi="Calibri" w:cs="Calibri"/>
          <w:color w:val="000000" w:themeColor="text1"/>
        </w:rPr>
        <w:t>vaccine</w:t>
      </w:r>
      <w:proofErr w:type="spellEnd"/>
      <w:r w:rsidRPr="1A07FE40">
        <w:rPr>
          <w:rFonts w:ascii="Calibri" w:eastAsia="Calibri" w:hAnsi="Calibri" w:cs="Calibri"/>
          <w:color w:val="000000" w:themeColor="text1"/>
        </w:rPr>
        <w:t xml:space="preserve"> Moderna. </w:t>
      </w:r>
      <w:r w:rsidRPr="1A07FE40">
        <w:rPr>
          <w:rFonts w:ascii="Calibri" w:eastAsia="Calibri" w:hAnsi="Calibri" w:cs="Calibri"/>
          <w:lang w:val="en-GB"/>
        </w:rPr>
        <w:t xml:space="preserve">Primary care contacts were retrieved from the Register for primary health care visits. The following conditions were required for the contact to be included: individual visits, physical visits or remote visits, outpatient care, dental care, vaccinations, occupational health. The other risk factors included the following conditions: Chronic kidney disease, Lung disease, Chronic liver disease, Neurological Disorders, Addison’s disease, Schizophrenia, Down syndrome, Immunosuppressive disease/medication. </w:t>
      </w:r>
    </w:p>
    <w:p w14:paraId="7DDB9A10" w14:textId="19725AC9" w:rsidR="004F1337" w:rsidRPr="009B5B98" w:rsidRDefault="1A07FE40" w:rsidP="1A07FE40">
      <w:pPr>
        <w:spacing w:line="257" w:lineRule="auto"/>
        <w:rPr>
          <w:lang w:val="en-GB"/>
        </w:rPr>
      </w:pPr>
      <w:r w:rsidRPr="1A07FE40">
        <w:rPr>
          <w:rFonts w:ascii="Calibri" w:eastAsia="Calibri" w:hAnsi="Calibri" w:cs="Calibri"/>
          <w:lang w:val="en-GB"/>
        </w:rPr>
        <w:t xml:space="preserve"> </w:t>
      </w:r>
    </w:p>
    <w:p w14:paraId="48A95FD5" w14:textId="41FBC195" w:rsidR="004F1337" w:rsidRPr="009B5B98" w:rsidRDefault="009D3324" w:rsidP="1A07FE40">
      <w:pPr>
        <w:spacing w:line="257" w:lineRule="auto"/>
        <w:rPr>
          <w:lang w:val="en-GB"/>
        </w:rPr>
      </w:pPr>
      <w:r w:rsidRPr="009B5B98">
        <w:rPr>
          <w:lang w:val="en-GB"/>
        </w:rPr>
        <w:br/>
      </w:r>
    </w:p>
    <w:p w14:paraId="5ECE86A1" w14:textId="00B3A9B1" w:rsidR="004F1337" w:rsidRPr="009B5B98" w:rsidRDefault="1A07FE40" w:rsidP="1A07FE40">
      <w:pPr>
        <w:spacing w:line="257" w:lineRule="auto"/>
        <w:rPr>
          <w:lang w:val="en-GB"/>
        </w:rPr>
      </w:pPr>
      <w:r w:rsidRPr="1A07FE40">
        <w:rPr>
          <w:rFonts w:ascii="Calibri" w:eastAsia="Calibri" w:hAnsi="Calibri" w:cs="Calibri"/>
          <w:lang w:val="en-GB"/>
        </w:rPr>
        <w:lastRenderedPageBreak/>
        <w:t xml:space="preserve"> </w:t>
      </w:r>
    </w:p>
    <w:p w14:paraId="277771F7" w14:textId="7CBCBAD7" w:rsidR="000F16EC" w:rsidRDefault="1A07FE40" w:rsidP="009D3324">
      <w:pPr>
        <w:spacing w:line="257" w:lineRule="auto"/>
        <w:rPr>
          <w:lang w:val="en-GB"/>
        </w:rPr>
      </w:pPr>
      <w:r w:rsidRPr="1A07FE40">
        <w:rPr>
          <w:rFonts w:ascii="Calibri" w:eastAsia="Calibri" w:hAnsi="Calibri" w:cs="Calibri"/>
          <w:lang w:val="en-GB"/>
        </w:rPr>
        <w:t>Supplementary figures</w:t>
      </w:r>
    </w:p>
    <w:p w14:paraId="51164B38" w14:textId="5F50898B" w:rsidR="00D83EF3" w:rsidRDefault="000F16EC" w:rsidP="1A07FE40">
      <w:pPr>
        <w:rPr>
          <w:lang w:val="en-GB"/>
        </w:rPr>
      </w:pPr>
      <w:r>
        <w:rPr>
          <w:noProof/>
        </w:rPr>
        <w:drawing>
          <wp:inline distT="0" distB="0" distL="0" distR="0" wp14:anchorId="2FB99069" wp14:editId="7CE5C9BB">
            <wp:extent cx="4321628" cy="3025140"/>
            <wp:effectExtent l="0" t="0" r="0" b="0"/>
            <wp:docPr id="1944847945" name="Picture 1944847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8479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628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BA5AD" w14:textId="712FD0A3" w:rsidR="00AB2076" w:rsidRDefault="00AB2076" w:rsidP="1A07FE40">
      <w:pPr>
        <w:rPr>
          <w:lang w:val="en-GB"/>
        </w:rPr>
      </w:pPr>
      <w:r>
        <w:rPr>
          <w:noProof/>
        </w:rPr>
        <w:drawing>
          <wp:inline distT="0" distB="0" distL="0" distR="0" wp14:anchorId="5263E18B" wp14:editId="5CD073BA">
            <wp:extent cx="4411436" cy="3088005"/>
            <wp:effectExtent l="0" t="0" r="0" b="0"/>
            <wp:docPr id="554926870" name="Picture 554926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9268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436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ACEB1" w14:textId="3D1624D7" w:rsidR="005E4DC9" w:rsidRDefault="005E4DC9" w:rsidP="005E4DC9">
      <w:pPr>
        <w:rPr>
          <w:lang w:val="en-GB"/>
        </w:rPr>
      </w:pPr>
      <w:proofErr w:type="spellStart"/>
      <w:r w:rsidRPr="1BD499D7">
        <w:rPr>
          <w:lang w:val="en-GB"/>
        </w:rPr>
        <w:t>eFigure</w:t>
      </w:r>
      <w:proofErr w:type="spellEnd"/>
      <w:r w:rsidRPr="1BD499D7">
        <w:rPr>
          <w:lang w:val="en-GB"/>
        </w:rPr>
        <w:t xml:space="preserve"> 1: Incidence of sudden sensorineural hearing loss during the study period. </w:t>
      </w:r>
    </w:p>
    <w:p w14:paraId="5F684C51" w14:textId="175EBDDF" w:rsidR="005E4DC9" w:rsidRDefault="005E4DC9" w:rsidP="005E4DC9">
      <w:pPr>
        <w:rPr>
          <w:lang w:val="en-GB"/>
        </w:rPr>
      </w:pPr>
      <w:r w:rsidRPr="7A61BB65">
        <w:rPr>
          <w:lang w:val="en-GB"/>
        </w:rPr>
        <w:t>Incidence per 100,000 person years of sudden sensorineural hearing loss in specialized care by calendar month</w:t>
      </w:r>
      <w:r w:rsidRPr="1CF1A925">
        <w:rPr>
          <w:lang w:val="en-GB"/>
        </w:rPr>
        <w:t>.</w:t>
      </w:r>
      <w:r w:rsidRPr="7A61BB65">
        <w:rPr>
          <w:lang w:val="en-GB"/>
        </w:rPr>
        <w:t xml:space="preserve"> The follow- up for the current study started January 1, 2019, and the COVID-19 epidemic in Finland started </w:t>
      </w:r>
      <w:proofErr w:type="gramStart"/>
      <w:r w:rsidRPr="7A61BB65">
        <w:rPr>
          <w:lang w:val="en-GB"/>
        </w:rPr>
        <w:t>March,</w:t>
      </w:r>
      <w:proofErr w:type="gramEnd"/>
      <w:r w:rsidRPr="7A61BB65">
        <w:rPr>
          <w:lang w:val="en-GB"/>
        </w:rPr>
        <w:t xml:space="preserve"> 2020. Black dots and black line represent the observed incidence. The red line and area represent predictions from our main model, and the shaded areas correspond to pointwise 95% confidence intervals. The model </w:t>
      </w:r>
      <w:proofErr w:type="gramStart"/>
      <w:r w:rsidRPr="7A61BB65">
        <w:rPr>
          <w:lang w:val="en-GB"/>
        </w:rPr>
        <w:t>takes into account</w:t>
      </w:r>
      <w:proofErr w:type="gramEnd"/>
      <w:r w:rsidRPr="7A61BB65">
        <w:rPr>
          <w:lang w:val="en-GB"/>
        </w:rPr>
        <w:t xml:space="preserve"> calendar time, background variables such as gender, age and previous diseases, as well as the time-dependent vaccination status, where the unvaccinated time is split into pre-epidemic and epidemic. </w:t>
      </w:r>
      <w:r w:rsidRPr="1CF1A925">
        <w:rPr>
          <w:lang w:val="en-GB"/>
        </w:rPr>
        <w:t>Upper</w:t>
      </w:r>
      <w:r w:rsidRPr="7A61BB65">
        <w:rPr>
          <w:lang w:val="en-GB"/>
        </w:rPr>
        <w:t xml:space="preserve"> panel:  Incidence for the whole population. There was a sudden drop in the incidence when the epidemic started, which is captured by our model via the change of the cohort from pre-epidemic unvaccinated </w:t>
      </w:r>
      <w:r w:rsidRPr="50AB4B99">
        <w:rPr>
          <w:lang w:val="en-GB"/>
        </w:rPr>
        <w:t xml:space="preserve">time </w:t>
      </w:r>
      <w:r w:rsidRPr="7A61BB65">
        <w:rPr>
          <w:lang w:val="en-GB"/>
        </w:rPr>
        <w:lastRenderedPageBreak/>
        <w:t xml:space="preserve">into the epidemic unvaccinated </w:t>
      </w:r>
      <w:r w:rsidRPr="50AB4B99">
        <w:rPr>
          <w:lang w:val="en-GB"/>
        </w:rPr>
        <w:t>time.</w:t>
      </w:r>
      <w:r w:rsidRPr="7A61BB65">
        <w:rPr>
          <w:lang w:val="en-GB"/>
        </w:rPr>
        <w:t xml:space="preserve"> </w:t>
      </w:r>
      <w:r w:rsidRPr="6D400DB2">
        <w:rPr>
          <w:lang w:val="en-GB"/>
        </w:rPr>
        <w:t xml:space="preserve">Of note is that the </w:t>
      </w:r>
      <w:r w:rsidRPr="1CF1A925">
        <w:rPr>
          <w:lang w:val="en-GB"/>
        </w:rPr>
        <w:t>adjusted incidence rare ratio</w:t>
      </w:r>
      <w:r w:rsidRPr="6D400DB2">
        <w:rPr>
          <w:lang w:val="en-GB"/>
        </w:rPr>
        <w:t xml:space="preserve"> </w:t>
      </w:r>
      <w:r w:rsidRPr="636703E6">
        <w:rPr>
          <w:lang w:val="en-GB"/>
        </w:rPr>
        <w:t xml:space="preserve">estimate </w:t>
      </w:r>
      <w:r w:rsidRPr="6D400DB2">
        <w:rPr>
          <w:lang w:val="en-GB"/>
        </w:rPr>
        <w:t xml:space="preserve">between epidemic </w:t>
      </w:r>
      <w:r w:rsidRPr="4FB6F229">
        <w:rPr>
          <w:lang w:val="en-GB"/>
        </w:rPr>
        <w:t xml:space="preserve">unvaccinated time and pre-epidemic unvaccinated time </w:t>
      </w:r>
      <w:r w:rsidRPr="636703E6">
        <w:rPr>
          <w:lang w:val="en-GB"/>
        </w:rPr>
        <w:t xml:space="preserve">in our main model </w:t>
      </w:r>
      <w:r w:rsidRPr="4FB6F229">
        <w:rPr>
          <w:lang w:val="en-GB"/>
        </w:rPr>
        <w:t>mostly describes this sudden change in</w:t>
      </w:r>
      <w:r w:rsidRPr="6D400DB2">
        <w:rPr>
          <w:lang w:val="en-GB"/>
        </w:rPr>
        <w:t xml:space="preserve"> </w:t>
      </w:r>
      <w:r w:rsidRPr="636703E6">
        <w:rPr>
          <w:lang w:val="en-GB"/>
        </w:rPr>
        <w:t xml:space="preserve">incidence. </w:t>
      </w:r>
      <w:r w:rsidRPr="1CF1A925">
        <w:rPr>
          <w:lang w:val="en-GB"/>
        </w:rPr>
        <w:t>Lower</w:t>
      </w:r>
      <w:r w:rsidRPr="7A61BB65">
        <w:rPr>
          <w:lang w:val="en-GB"/>
        </w:rPr>
        <w:t xml:space="preserve"> panel: Incidence during unvaccinated time. The incidence during unvaccinated time decreased after the COVID-19 vaccination program started during the beginning of 2021. This can be explained by age</w:t>
      </w:r>
      <w:r>
        <w:rPr>
          <w:lang w:val="en-GB"/>
        </w:rPr>
        <w:t>-</w:t>
      </w:r>
      <w:r w:rsidRPr="7A61BB65">
        <w:rPr>
          <w:lang w:val="en-GB"/>
        </w:rPr>
        <w:t xml:space="preserve"> and </w:t>
      </w:r>
      <w:r w:rsidRPr="0733C533">
        <w:rPr>
          <w:lang w:val="en-GB"/>
        </w:rPr>
        <w:t xml:space="preserve">health </w:t>
      </w:r>
      <w:r w:rsidRPr="7A61BB65">
        <w:rPr>
          <w:lang w:val="en-GB"/>
        </w:rPr>
        <w:t xml:space="preserve">related selection into the COVID-19 vaccination program, leaving younger and healthier individuals into the unvaccinated group. </w:t>
      </w:r>
    </w:p>
    <w:p w14:paraId="77CBCED6" w14:textId="77777777" w:rsidR="005E4DC9" w:rsidRPr="009B5B98" w:rsidRDefault="005E4DC9" w:rsidP="1A07FE40">
      <w:pPr>
        <w:rPr>
          <w:lang w:val="en-GB"/>
        </w:rPr>
      </w:pPr>
    </w:p>
    <w:sectPr w:rsidR="005E4DC9" w:rsidRPr="009B5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644342"/>
    <w:rsid w:val="000F16EC"/>
    <w:rsid w:val="00151BDB"/>
    <w:rsid w:val="00174181"/>
    <w:rsid w:val="004F1337"/>
    <w:rsid w:val="005E4DC9"/>
    <w:rsid w:val="00701968"/>
    <w:rsid w:val="009B5B98"/>
    <w:rsid w:val="009D3324"/>
    <w:rsid w:val="00AB2076"/>
    <w:rsid w:val="00B47B7C"/>
    <w:rsid w:val="00D83EF3"/>
    <w:rsid w:val="00DD26A4"/>
    <w:rsid w:val="00FB632D"/>
    <w:rsid w:val="17BA573A"/>
    <w:rsid w:val="1956279B"/>
    <w:rsid w:val="19BA0863"/>
    <w:rsid w:val="1A07FE40"/>
    <w:rsid w:val="1AF1F7FC"/>
    <w:rsid w:val="1BD499D7"/>
    <w:rsid w:val="1CF1447E"/>
    <w:rsid w:val="1CF1A925"/>
    <w:rsid w:val="27644342"/>
    <w:rsid w:val="5084B569"/>
    <w:rsid w:val="695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4342"/>
  <w15:chartTrackingRefBased/>
  <w15:docId w15:val="{136ADB00-3F13-4BBC-8157-2F7E8AA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D0499532F1D441943D7C854501CDB9" ma:contentTypeVersion="10" ma:contentTypeDescription="Luo uusi asiakirja." ma:contentTypeScope="" ma:versionID="427b828941c628dc8b7113f8ce629481">
  <xsd:schema xmlns:xsd="http://www.w3.org/2001/XMLSchema" xmlns:xs="http://www.w3.org/2001/XMLSchema" xmlns:p="http://schemas.microsoft.com/office/2006/metadata/properties" xmlns:ns2="6f757011-5d1b-441a-952e-db71941c1cdf" xmlns:ns3="19467bd2-7b21-45e8-8d06-eee73dbf9f4b" targetNamespace="http://schemas.microsoft.com/office/2006/metadata/properties" ma:root="true" ma:fieldsID="5192b0a52d08bf2692a2dc4275bc1eff" ns2:_="" ns3:_="">
    <xsd:import namespace="6f757011-5d1b-441a-952e-db71941c1cdf"/>
    <xsd:import namespace="19467bd2-7b21-45e8-8d06-eee73dbf9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7011-5d1b-441a-952e-db71941c1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7bd2-7b21-45e8-8d06-eee73dbf9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24CCA-5031-4037-BAEF-71748FB7B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7011-5d1b-441a-952e-db71941c1cdf"/>
    <ds:schemaRef ds:uri="19467bd2-7b21-45e8-8d06-eee73dbf9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29554-B708-4680-853E-B9B6C7972EEF}">
  <ds:schemaRefs>
    <ds:schemaRef ds:uri="http://purl.org/dc/elements/1.1/"/>
    <ds:schemaRef ds:uri="http://schemas.microsoft.com/office/infopath/2007/PartnerControls"/>
    <ds:schemaRef ds:uri="6f757011-5d1b-441a-952e-db71941c1cdf"/>
    <ds:schemaRef ds:uri="19467bd2-7b21-45e8-8d06-eee73dbf9f4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DE00F0-726A-4DF9-836B-E03D36E20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6117</Characters>
  <Application>Microsoft Office Word</Application>
  <DocSecurity>0</DocSecurity>
  <Lines>50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Petteri Hovi</dc:creator>
  <cp:keywords/>
  <dc:description/>
  <cp:lastModifiedBy>Petteri Hovi</cp:lastModifiedBy>
  <cp:revision>13</cp:revision>
  <dcterms:created xsi:type="dcterms:W3CDTF">2022-05-19T05:06:00Z</dcterms:created>
  <dcterms:modified xsi:type="dcterms:W3CDTF">2022-06-17T14:25:00Z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0x010100E7D0499532F1D441943D7C854501CDB9</vt:lpwstr>
  </property>
</Properties>
</file>