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1DBF" w14:textId="77777777" w:rsidR="00384D1E" w:rsidRPr="00384D1E" w:rsidRDefault="00384D1E" w:rsidP="00DA24DB">
      <w:pPr>
        <w:spacing w:after="80" w:line="480" w:lineRule="auto"/>
        <w:rPr>
          <w:rStyle w:val="cf01"/>
          <w:rFonts w:ascii="Arial" w:hAnsi="Arial" w:cs="Arial"/>
          <w:b/>
          <w:bCs/>
          <w:sz w:val="24"/>
          <w:szCs w:val="24"/>
        </w:rPr>
      </w:pPr>
      <w:r w:rsidRPr="00384D1E">
        <w:rPr>
          <w:rStyle w:val="cf01"/>
          <w:rFonts w:ascii="Arial" w:hAnsi="Arial" w:cs="Arial"/>
          <w:b/>
          <w:bCs/>
          <w:sz w:val="24"/>
          <w:szCs w:val="24"/>
        </w:rPr>
        <w:t xml:space="preserve">Pathogen exposure misclassification can bias association signals in GWAS of infectious diseases when using population-based common controls  </w:t>
      </w:r>
    </w:p>
    <w:p w14:paraId="5E5ACCF7" w14:textId="77777777" w:rsidR="00384D1E" w:rsidRDefault="00384D1E" w:rsidP="00DA24DB">
      <w:pPr>
        <w:spacing w:line="480" w:lineRule="auto"/>
        <w:rPr>
          <w:rFonts w:ascii="Arial" w:hAnsi="Arial" w:cs="Arial"/>
          <w:b/>
          <w:bCs/>
          <w:u w:val="single"/>
        </w:rPr>
      </w:pPr>
    </w:p>
    <w:p w14:paraId="505E2724" w14:textId="0B051DF4" w:rsidR="00384D1E" w:rsidRPr="00DA24DB" w:rsidRDefault="00384D1E" w:rsidP="00DA24DB">
      <w:pPr>
        <w:spacing w:line="480" w:lineRule="auto"/>
        <w:rPr>
          <w:rFonts w:ascii="Arial" w:hAnsi="Arial" w:cs="Arial"/>
          <w:b/>
          <w:bCs/>
          <w:i/>
          <w:iCs/>
          <w:u w:val="single"/>
        </w:rPr>
      </w:pPr>
      <w:r w:rsidRPr="00DA24DB">
        <w:rPr>
          <w:rFonts w:ascii="Arial" w:hAnsi="Arial" w:cs="Arial"/>
          <w:b/>
          <w:bCs/>
          <w:i/>
          <w:iCs/>
          <w:u w:val="single"/>
        </w:rPr>
        <w:t>Supplementary Methods:</w:t>
      </w:r>
    </w:p>
    <w:p w14:paraId="4D0E5FF6" w14:textId="77777777" w:rsidR="0036434E" w:rsidRPr="00233F1F" w:rsidRDefault="0036434E" w:rsidP="00DA24DB">
      <w:pPr>
        <w:spacing w:after="80" w:line="480" w:lineRule="auto"/>
        <w:rPr>
          <w:rFonts w:ascii="Arial" w:hAnsi="Arial" w:cs="Arial"/>
          <w:b/>
          <w:bCs/>
          <w:sz w:val="16"/>
          <w:szCs w:val="16"/>
        </w:rPr>
      </w:pPr>
      <w:r>
        <w:rPr>
          <w:rFonts w:ascii="Arial" w:hAnsi="Arial" w:cs="Arial"/>
          <w:b/>
          <w:bCs/>
        </w:rPr>
        <w:t>Simulations to characterize pathogen exposure-associated selection bias</w:t>
      </w:r>
    </w:p>
    <w:p w14:paraId="5E684F43" w14:textId="54A53146" w:rsidR="00384D1E" w:rsidRDefault="00384D1E" w:rsidP="00DA24DB">
      <w:pPr>
        <w:spacing w:after="80" w:line="480" w:lineRule="auto"/>
        <w:rPr>
          <w:rFonts w:ascii="Arial" w:hAnsi="Arial" w:cs="Arial"/>
          <w:bCs/>
        </w:rPr>
      </w:pPr>
      <w:r>
        <w:rPr>
          <w:rFonts w:ascii="Arial" w:hAnsi="Arial" w:cs="Arial"/>
          <w:bCs/>
          <w:i/>
          <w:iCs/>
          <w:u w:val="single"/>
        </w:rPr>
        <w:t>Additional s</w:t>
      </w:r>
      <w:r w:rsidRPr="00BA0AF7">
        <w:rPr>
          <w:rFonts w:ascii="Arial" w:hAnsi="Arial" w:cs="Arial"/>
          <w:bCs/>
          <w:i/>
          <w:iCs/>
          <w:u w:val="single"/>
        </w:rPr>
        <w:t>imulation scenario</w:t>
      </w:r>
      <w:r w:rsidR="009C1222">
        <w:rPr>
          <w:rFonts w:ascii="Arial" w:hAnsi="Arial" w:cs="Arial"/>
          <w:bCs/>
          <w:i/>
          <w:iCs/>
          <w:u w:val="single"/>
        </w:rPr>
        <w:t xml:space="preserve"> (Scenario 3)</w:t>
      </w:r>
      <w:r w:rsidRPr="00BA0AF7">
        <w:rPr>
          <w:rFonts w:ascii="Arial" w:hAnsi="Arial" w:cs="Arial"/>
          <w:bCs/>
          <w:i/>
          <w:iCs/>
          <w:u w:val="single"/>
        </w:rPr>
        <w:t xml:space="preserve"> </w:t>
      </w:r>
      <w:r>
        <w:rPr>
          <w:rFonts w:ascii="Arial" w:hAnsi="Arial" w:cs="Arial"/>
          <w:bCs/>
          <w:i/>
          <w:iCs/>
          <w:u w:val="single"/>
        </w:rPr>
        <w:t>– Effects of the prevalence of the outcome</w:t>
      </w:r>
      <w:r w:rsidRPr="00BA0AF7">
        <w:rPr>
          <w:rFonts w:ascii="Arial" w:hAnsi="Arial" w:cs="Arial"/>
          <w:bCs/>
          <w:i/>
          <w:iCs/>
          <w:u w:val="single"/>
        </w:rPr>
        <w:t>:</w:t>
      </w:r>
      <w:r>
        <w:rPr>
          <w:rFonts w:ascii="Arial" w:hAnsi="Arial" w:cs="Arial"/>
          <w:bCs/>
        </w:rPr>
        <w:t xml:space="preserve"> </w:t>
      </w:r>
      <w:r w:rsidRPr="008543A0">
        <w:rPr>
          <w:rFonts w:ascii="Arial" w:hAnsi="Arial" w:cs="Arial"/>
        </w:rPr>
        <w:t xml:space="preserve">While pathogen prevalence was the </w:t>
      </w:r>
      <w:r>
        <w:rPr>
          <w:rFonts w:ascii="Arial" w:hAnsi="Arial" w:cs="Arial"/>
        </w:rPr>
        <w:t>main epidemiological parameter of interest</w:t>
      </w:r>
      <w:r w:rsidRPr="008543A0">
        <w:rPr>
          <w:rFonts w:ascii="Arial" w:hAnsi="Arial" w:cs="Arial"/>
        </w:rPr>
        <w:t xml:space="preserve">, </w:t>
      </w:r>
      <w:r w:rsidRPr="00A56B67">
        <w:rPr>
          <w:rFonts w:ascii="Arial" w:hAnsi="Arial" w:cs="Arial"/>
          <w:bCs/>
        </w:rPr>
        <w:t xml:space="preserve">a third simulation scenario was performed </w:t>
      </w:r>
      <w:r w:rsidRPr="008543A0">
        <w:rPr>
          <w:rFonts w:ascii="Arial" w:hAnsi="Arial" w:cs="Arial"/>
          <w:bCs/>
        </w:rPr>
        <w:t xml:space="preserve">to </w:t>
      </w:r>
      <w:r w:rsidR="00E548D4">
        <w:rPr>
          <w:rFonts w:ascii="Arial" w:hAnsi="Arial" w:cs="Arial"/>
          <w:bCs/>
        </w:rPr>
        <w:t xml:space="preserve">assess </w:t>
      </w:r>
      <w:r>
        <w:rPr>
          <w:rFonts w:ascii="Arial" w:hAnsi="Arial" w:cs="Arial"/>
          <w:bCs/>
        </w:rPr>
        <w:t xml:space="preserve">whether </w:t>
      </w:r>
      <w:r w:rsidRPr="00285032">
        <w:rPr>
          <w:rFonts w:ascii="Arial" w:hAnsi="Arial" w:cs="Arial"/>
          <w:bCs/>
        </w:rPr>
        <w:t>the proportion of exposed indi</w:t>
      </w:r>
      <w:r w:rsidRPr="008543A0">
        <w:rPr>
          <w:rFonts w:ascii="Arial" w:hAnsi="Arial" w:cs="Arial"/>
          <w:bCs/>
        </w:rPr>
        <w:t xml:space="preserve">viduals who developed the outcome </w:t>
      </w:r>
      <w:r w:rsidR="00F509E6">
        <w:rPr>
          <w:rFonts w:ascii="Arial" w:hAnsi="Arial" w:cs="Arial"/>
          <w:bCs/>
        </w:rPr>
        <w:t xml:space="preserve">influenced </w:t>
      </w:r>
      <w:r>
        <w:rPr>
          <w:rFonts w:ascii="Arial" w:hAnsi="Arial" w:cs="Arial"/>
          <w:bCs/>
        </w:rPr>
        <w:t xml:space="preserve">the </w:t>
      </w:r>
      <w:r w:rsidR="00F509E6">
        <w:rPr>
          <w:rFonts w:ascii="Arial" w:hAnsi="Arial" w:cs="Arial"/>
          <w:bCs/>
        </w:rPr>
        <w:t xml:space="preserve">observed </w:t>
      </w:r>
      <w:r>
        <w:rPr>
          <w:rFonts w:ascii="Arial" w:hAnsi="Arial" w:cs="Arial"/>
          <w:bCs/>
        </w:rPr>
        <w:t xml:space="preserve">bias due to </w:t>
      </w:r>
      <w:r w:rsidRPr="00A56B67">
        <w:rPr>
          <w:rFonts w:ascii="Arial" w:hAnsi="Arial" w:cs="Arial"/>
        </w:rPr>
        <w:t xml:space="preserve">differential misclassification of </w:t>
      </w:r>
      <w:r>
        <w:rPr>
          <w:rFonts w:ascii="Arial" w:hAnsi="Arial" w:cs="Arial"/>
        </w:rPr>
        <w:t xml:space="preserve">pathogen </w:t>
      </w:r>
      <w:r w:rsidRPr="00A56B67">
        <w:rPr>
          <w:rFonts w:ascii="Arial" w:hAnsi="Arial" w:cs="Arial"/>
        </w:rPr>
        <w:t>exposure</w:t>
      </w:r>
      <w:r>
        <w:rPr>
          <w:rFonts w:ascii="Arial" w:hAnsi="Arial" w:cs="Arial"/>
          <w:bCs/>
        </w:rPr>
        <w:t>. We generated</w:t>
      </w:r>
      <w:r w:rsidRPr="007067CC">
        <w:rPr>
          <w:rFonts w:ascii="Arial" w:hAnsi="Arial" w:cs="Arial"/>
          <w:bCs/>
        </w:rPr>
        <w:t xml:space="preserve"> </w:t>
      </w:r>
      <w:r>
        <w:rPr>
          <w:rFonts w:ascii="Arial" w:hAnsi="Arial" w:cs="Arial"/>
          <w:bCs/>
        </w:rPr>
        <w:t>500</w:t>
      </w:r>
      <w:r w:rsidRPr="007067CC">
        <w:rPr>
          <w:rFonts w:ascii="Arial" w:hAnsi="Arial" w:cs="Arial"/>
          <w:bCs/>
        </w:rPr>
        <w:t xml:space="preserve">,000 cohorts </w:t>
      </w:r>
      <w:r>
        <w:rPr>
          <w:rFonts w:ascii="Arial" w:hAnsi="Arial" w:cs="Arial"/>
          <w:bCs/>
        </w:rPr>
        <w:t xml:space="preserve">of </w:t>
      </w:r>
      <w:r w:rsidRPr="007067CC">
        <w:rPr>
          <w:rFonts w:ascii="Arial" w:hAnsi="Arial" w:cs="Arial"/>
          <w:bCs/>
        </w:rPr>
        <w:t>N=</w:t>
      </w:r>
      <w:r>
        <w:rPr>
          <w:rFonts w:ascii="Arial" w:hAnsi="Arial" w:cs="Arial"/>
          <w:bCs/>
        </w:rPr>
        <w:t>1,0</w:t>
      </w:r>
      <w:r w:rsidRPr="007067CC">
        <w:rPr>
          <w:rFonts w:ascii="Arial" w:hAnsi="Arial" w:cs="Arial"/>
          <w:bCs/>
        </w:rPr>
        <w:t>00,000</w:t>
      </w:r>
      <w:r>
        <w:rPr>
          <w:rFonts w:ascii="Arial" w:hAnsi="Arial" w:cs="Arial"/>
          <w:bCs/>
        </w:rPr>
        <w:t xml:space="preserve"> individuals, in which 20%, 50%, or 80% of exposed individuals</w:t>
      </w:r>
      <w:r w:rsidDel="00C916B6">
        <w:rPr>
          <w:rFonts w:ascii="Arial" w:hAnsi="Arial" w:cs="Arial"/>
          <w:bCs/>
        </w:rPr>
        <w:t xml:space="preserve"> </w:t>
      </w:r>
      <w:r>
        <w:rPr>
          <w:rFonts w:ascii="Arial" w:hAnsi="Arial" w:cs="Arial"/>
          <w:bCs/>
        </w:rPr>
        <w:t>developed the outcome</w:t>
      </w:r>
      <w:r w:rsidRPr="007067CC">
        <w:rPr>
          <w:rFonts w:ascii="Arial" w:hAnsi="Arial" w:cs="Arial"/>
          <w:bCs/>
        </w:rPr>
        <w:t>.</w:t>
      </w:r>
      <w:r>
        <w:rPr>
          <w:rFonts w:ascii="Arial" w:hAnsi="Arial" w:cs="Arial"/>
          <w:bCs/>
        </w:rPr>
        <w:t xml:space="preserve"> Simulations were performed assuming a 25% prevalence of pathogen exposure and either a moderate (</w:t>
      </w:r>
      <w:r w:rsidRPr="00D6351C">
        <w:rPr>
          <w:rFonts w:ascii="Arial" w:hAnsi="Arial" w:cs="Arial"/>
          <w:bCs/>
        </w:rPr>
        <w:t>β</w:t>
      </w:r>
      <w:r>
        <w:rPr>
          <w:rFonts w:ascii="Arial" w:hAnsi="Arial" w:cs="Arial"/>
          <w:bCs/>
        </w:rPr>
        <w:t>=</w:t>
      </w:r>
      <w:proofErr w:type="gramStart"/>
      <w:r>
        <w:rPr>
          <w:rFonts w:ascii="Arial" w:hAnsi="Arial" w:cs="Arial"/>
          <w:bCs/>
        </w:rPr>
        <w:t>log(</w:t>
      </w:r>
      <w:proofErr w:type="gramEnd"/>
      <w:r>
        <w:rPr>
          <w:rFonts w:ascii="Arial" w:hAnsi="Arial" w:cs="Arial"/>
          <w:bCs/>
        </w:rPr>
        <w:t>1.2), OR=1.2) or a strong association (</w:t>
      </w:r>
      <w:r w:rsidRPr="00D6351C">
        <w:rPr>
          <w:rFonts w:ascii="Arial" w:hAnsi="Arial" w:cs="Arial"/>
          <w:bCs/>
        </w:rPr>
        <w:t>β</w:t>
      </w:r>
      <w:r>
        <w:rPr>
          <w:rFonts w:ascii="Arial" w:hAnsi="Arial" w:cs="Arial"/>
          <w:bCs/>
        </w:rPr>
        <w:t xml:space="preserve">=log(2), OR=2) </w:t>
      </w:r>
      <w:r w:rsidRPr="0027122D">
        <w:rPr>
          <w:rFonts w:ascii="Arial" w:hAnsi="Arial" w:cs="Arial"/>
          <w:bCs/>
        </w:rPr>
        <w:t xml:space="preserve">between </w:t>
      </w:r>
      <w:r w:rsidRPr="00B0490F">
        <w:rPr>
          <w:rFonts w:ascii="Arial" w:hAnsi="Arial" w:cs="Arial"/>
          <w:bCs/>
        </w:rPr>
        <w:t xml:space="preserve">U1 </w:t>
      </w:r>
      <w:r w:rsidRPr="008222B0">
        <w:rPr>
          <w:rFonts w:ascii="Arial" w:hAnsi="Arial" w:cs="Arial"/>
          <w:bCs/>
        </w:rPr>
        <w:t>and pathogen exposure</w:t>
      </w:r>
      <w:r>
        <w:rPr>
          <w:rFonts w:ascii="Arial" w:hAnsi="Arial" w:cs="Arial"/>
          <w:bCs/>
        </w:rPr>
        <w:t xml:space="preserve"> (</w:t>
      </w:r>
      <w:r w:rsidRPr="00FF21F9">
        <w:rPr>
          <w:rFonts w:ascii="Arial" w:hAnsi="Arial" w:cs="Arial"/>
          <w:b/>
        </w:rPr>
        <w:t xml:space="preserve">Table </w:t>
      </w:r>
      <w:r w:rsidR="00BB05E7">
        <w:rPr>
          <w:rFonts w:ascii="Arial" w:hAnsi="Arial" w:cs="Arial"/>
          <w:b/>
        </w:rPr>
        <w:t>S</w:t>
      </w:r>
      <w:r w:rsidRPr="00FF21F9">
        <w:rPr>
          <w:rFonts w:ascii="Arial" w:hAnsi="Arial" w:cs="Arial"/>
          <w:b/>
        </w:rPr>
        <w:t>5</w:t>
      </w:r>
      <w:r w:rsidR="00094C57">
        <w:rPr>
          <w:rFonts w:ascii="Arial" w:hAnsi="Arial" w:cs="Arial"/>
          <w:b/>
        </w:rPr>
        <w:t>A</w:t>
      </w:r>
      <w:r>
        <w:rPr>
          <w:rFonts w:ascii="Arial" w:hAnsi="Arial" w:cs="Arial"/>
          <w:bCs/>
        </w:rPr>
        <w:t>).</w:t>
      </w:r>
      <w:r w:rsidR="004908B1">
        <w:rPr>
          <w:rFonts w:ascii="Arial" w:hAnsi="Arial" w:cs="Arial"/>
          <w:bCs/>
        </w:rPr>
        <w:t xml:space="preserve"> </w:t>
      </w:r>
    </w:p>
    <w:p w14:paraId="6C7157BD" w14:textId="7169ADD1" w:rsidR="0036434E" w:rsidRDefault="00EE397B" w:rsidP="00DA24DB">
      <w:pPr>
        <w:spacing w:after="80" w:line="480" w:lineRule="auto"/>
        <w:rPr>
          <w:rFonts w:ascii="Arial" w:hAnsi="Arial" w:cs="Arial"/>
          <w:bCs/>
        </w:rPr>
      </w:pPr>
      <w:r w:rsidRPr="00A86426">
        <w:rPr>
          <w:rFonts w:ascii="Arial" w:hAnsi="Arial" w:cs="Arial"/>
          <w:bCs/>
          <w:i/>
          <w:iCs/>
          <w:color w:val="000000" w:themeColor="text1"/>
          <w:u w:val="single"/>
        </w:rPr>
        <w:t>Evaluation of heterogeneity of association</w:t>
      </w:r>
      <w:r>
        <w:rPr>
          <w:rFonts w:ascii="Arial" w:hAnsi="Arial" w:cs="Arial"/>
          <w:bCs/>
          <w:i/>
          <w:iCs/>
          <w:color w:val="000000" w:themeColor="text1"/>
          <w:u w:val="single"/>
        </w:rPr>
        <w:t xml:space="preserve"> results</w:t>
      </w:r>
      <w:r w:rsidRPr="00A86426">
        <w:rPr>
          <w:rFonts w:ascii="Arial" w:hAnsi="Arial" w:cs="Arial"/>
          <w:bCs/>
          <w:i/>
          <w:iCs/>
          <w:color w:val="000000" w:themeColor="text1"/>
          <w:u w:val="single"/>
        </w:rPr>
        <w:t>.</w:t>
      </w:r>
      <w:r>
        <w:rPr>
          <w:rFonts w:ascii="Arial" w:hAnsi="Arial" w:cs="Arial"/>
          <w:bCs/>
          <w:color w:val="000000" w:themeColor="text1"/>
        </w:rPr>
        <w:t xml:space="preserve"> </w:t>
      </w:r>
      <w:r w:rsidRPr="007067CC">
        <w:rPr>
          <w:rFonts w:ascii="Arial" w:hAnsi="Arial" w:cs="Arial"/>
          <w:bCs/>
          <w:color w:val="000000" w:themeColor="text1"/>
        </w:rPr>
        <w:t>T</w:t>
      </w:r>
      <w:r>
        <w:rPr>
          <w:rFonts w:ascii="Arial" w:hAnsi="Arial" w:cs="Arial"/>
          <w:bCs/>
          <w:color w:val="000000" w:themeColor="text1"/>
        </w:rPr>
        <w:t xml:space="preserve">o determine whether significant heterogeneity across effect estimates were observed within each set of parameter-specific </w:t>
      </w:r>
      <w:r>
        <w:rPr>
          <w:rFonts w:ascii="Arial" w:hAnsi="Arial" w:cs="Arial"/>
          <w:bCs/>
        </w:rPr>
        <w:t>replicates</w:t>
      </w:r>
      <w:r w:rsidRPr="006C748B">
        <w:rPr>
          <w:rFonts w:ascii="Arial" w:hAnsi="Arial" w:cs="Arial"/>
          <w:bCs/>
        </w:rPr>
        <w:t xml:space="preserve"> </w:t>
      </w:r>
      <w:r>
        <w:rPr>
          <w:rFonts w:ascii="Arial" w:hAnsi="Arial" w:cs="Arial"/>
          <w:bCs/>
          <w:color w:val="000000" w:themeColor="text1"/>
        </w:rPr>
        <w:t xml:space="preserve">(N=500,000), indicating that we failed to simulate independent but otherwise equivalent </w:t>
      </w:r>
      <w:r>
        <w:rPr>
          <w:rFonts w:ascii="Arial" w:hAnsi="Arial" w:cs="Arial"/>
          <w:bCs/>
        </w:rPr>
        <w:t>cohorts</w:t>
      </w:r>
      <w:r>
        <w:rPr>
          <w:rFonts w:ascii="Arial" w:hAnsi="Arial" w:cs="Arial"/>
          <w:bCs/>
          <w:color w:val="000000" w:themeColor="text1"/>
        </w:rPr>
        <w:t>, we performed tests of h</w:t>
      </w:r>
      <w:r w:rsidRPr="007067CC">
        <w:rPr>
          <w:rFonts w:ascii="Arial" w:hAnsi="Arial" w:cs="Arial"/>
          <w:bCs/>
          <w:color w:val="000000" w:themeColor="text1"/>
        </w:rPr>
        <w:t xml:space="preserve">eterogeneity </w:t>
      </w:r>
      <w:r>
        <w:rPr>
          <w:rFonts w:ascii="Arial" w:hAnsi="Arial" w:cs="Arial"/>
          <w:bCs/>
          <w:color w:val="000000" w:themeColor="text1"/>
        </w:rPr>
        <w:t xml:space="preserve">using 1,000 randomly selected </w:t>
      </w:r>
      <w:r>
        <w:rPr>
          <w:rFonts w:ascii="Arial" w:hAnsi="Arial" w:cs="Arial"/>
          <w:bCs/>
        </w:rPr>
        <w:t>cohorts</w:t>
      </w:r>
      <w:r w:rsidRPr="006C748B">
        <w:rPr>
          <w:rFonts w:ascii="Arial" w:hAnsi="Arial" w:cs="Arial"/>
          <w:bCs/>
        </w:rPr>
        <w:t xml:space="preserve"> </w:t>
      </w:r>
      <w:r>
        <w:rPr>
          <w:rFonts w:ascii="Arial" w:hAnsi="Arial" w:cs="Arial"/>
          <w:bCs/>
          <w:color w:val="000000" w:themeColor="text1"/>
        </w:rPr>
        <w:t xml:space="preserve">from each </w:t>
      </w:r>
      <w:r w:rsidRPr="007067CC">
        <w:rPr>
          <w:rFonts w:ascii="Arial" w:hAnsi="Arial" w:cs="Arial"/>
          <w:bCs/>
          <w:color w:val="000000" w:themeColor="text1"/>
        </w:rPr>
        <w:t>scenario</w:t>
      </w:r>
      <w:r>
        <w:rPr>
          <w:rFonts w:ascii="Arial" w:hAnsi="Arial" w:cs="Arial"/>
          <w:bCs/>
          <w:color w:val="000000" w:themeColor="text1"/>
        </w:rPr>
        <w:t>’s parameter</w:t>
      </w:r>
      <w:r w:rsidRPr="007067CC">
        <w:rPr>
          <w:rFonts w:ascii="Arial" w:hAnsi="Arial" w:cs="Arial"/>
          <w:bCs/>
          <w:color w:val="000000" w:themeColor="text1"/>
        </w:rPr>
        <w:t xml:space="preserve">-specific </w:t>
      </w:r>
      <w:r>
        <w:rPr>
          <w:rFonts w:ascii="Arial" w:hAnsi="Arial" w:cs="Arial"/>
          <w:bCs/>
          <w:color w:val="000000" w:themeColor="text1"/>
        </w:rPr>
        <w:t>simulations using the meta R package.</w:t>
      </w:r>
      <w:r>
        <w:rPr>
          <w:rFonts w:ascii="Arial" w:hAnsi="Arial" w:cs="Arial"/>
          <w:bCs/>
          <w:color w:val="000000" w:themeColor="text1"/>
        </w:rPr>
        <w:fldChar w:fldCharType="begin" w:fldLock="1"/>
      </w:r>
      <w:r w:rsidR="00462373">
        <w:rPr>
          <w:rFonts w:ascii="Arial" w:hAnsi="Arial" w:cs="Arial"/>
          <w:bCs/>
          <w:color w:val="000000" w:themeColor="text1"/>
        </w:rPr>
        <w:instrText>ADDIN CSL_CITATION {"citationItems":[{"id":"ITEM-1","itemData":{"DOI":"10.1136/ebmental-2019-300117","ISBN":"2019300117","ISSN":"1468-960X","PMID":"31563865","abstract":"OBJECTIVE Meta-analysis is of fundamental importance to obtain an unbiased assessment of the available evidence. In general, the use of meta-analysis has been increasing over the last three decades with mental health as a major research topic. It is then essential to well understand its methodology and interpret its results. In this publication, we describe how to perform a meta-analysis with the freely available statistical software environment R, using a working example taken from the field of mental health. METHODS R package meta is used to conduct standard meta-analysis. Sensitivity analyses for missing binary outcome data and potential selection bias are conducted with R package metasens. All essential R commands are provided and clearly described to conduct and report analyses. RESULTS The working example considers a binary outcome: we show how to conduct a fixed effect and random effects meta-analysis and subgroup analysis, produce a forest and funnel plot and to test and adjust for funnel plot asymmetry. All these steps work similar for other outcome types. CONCLUSIONS R represents a powerful and flexible tool to conduct meta-analyses. This publication gives a brief glimpse into the topic and provides directions to more advanced meta-analysis methods available in R.","author":[{"dropping-particle":"","family":"Balduzzi","given":"Sara","non-dropping-particle":"","parse-names":false,"suffix":""},{"dropping-particle":"","family":"Rücker","given":"Gerta","non-dropping-particle":"","parse-names":false,"suffix":""},{"dropping-particle":"","family":"Schwarzer","given":"Guido","non-dropping-particle":"","parse-names":false,"suffix":""}],"container-title":"Evidence-based mental health","id":"ITEM-1","issue":"4","issued":{"date-parts":[["2019","11"]]},"page":"153-160","title":"How to perform a meta-analysis with R: a practical tutorial.","type":"article-journal","volume":"22"},"uris":["http://www.mendeley.com/documents/?uuid=ccb04c0f-c311-428f-9fe1-d0611757626a"]}],"mendeley":{"formattedCitation":"&lt;sup&gt;1&lt;/sup&gt;","plainTextFormattedCitation":"1","previouslyFormattedCitation":"&lt;sup&gt;1&lt;/sup&gt;"},"properties":{"noteIndex":0},"schema":"https://github.com/citation-style-language/schema/raw/master/csl-citation.json"}</w:instrText>
      </w:r>
      <w:r>
        <w:rPr>
          <w:rFonts w:ascii="Arial" w:hAnsi="Arial" w:cs="Arial"/>
          <w:bCs/>
          <w:color w:val="000000" w:themeColor="text1"/>
        </w:rPr>
        <w:fldChar w:fldCharType="separate"/>
      </w:r>
      <w:r w:rsidR="00F921E7" w:rsidRPr="00F921E7">
        <w:rPr>
          <w:rFonts w:ascii="Arial" w:hAnsi="Arial" w:cs="Arial"/>
          <w:bCs/>
          <w:noProof/>
          <w:color w:val="000000" w:themeColor="text1"/>
          <w:vertAlign w:val="superscript"/>
        </w:rPr>
        <w:t>1</w:t>
      </w:r>
      <w:r>
        <w:rPr>
          <w:rFonts w:ascii="Arial" w:hAnsi="Arial" w:cs="Arial"/>
          <w:bCs/>
          <w:color w:val="000000" w:themeColor="text1"/>
        </w:rPr>
        <w:fldChar w:fldCharType="end"/>
      </w:r>
      <w:r w:rsidRPr="00245294">
        <w:rPr>
          <w:rFonts w:ascii="Arial" w:hAnsi="Arial" w:cs="Arial"/>
          <w:bCs/>
          <w:color w:val="000000" w:themeColor="text1"/>
        </w:rPr>
        <w:t xml:space="preserve"> </w:t>
      </w:r>
      <w:r>
        <w:rPr>
          <w:rFonts w:ascii="Arial" w:hAnsi="Arial" w:cs="Arial"/>
          <w:bCs/>
          <w:color w:val="000000" w:themeColor="text1"/>
        </w:rPr>
        <w:t>Based on estimated</w:t>
      </w:r>
      <w:r w:rsidRPr="00245294">
        <w:rPr>
          <w:rFonts w:ascii="Arial" w:hAnsi="Arial" w:cs="Arial"/>
          <w:bCs/>
          <w:color w:val="000000" w:themeColor="text1"/>
        </w:rPr>
        <w:t xml:space="preserve"> </w:t>
      </w:r>
      <w:r w:rsidRPr="00CB0142">
        <w:rPr>
          <w:rFonts w:ascii="Arial" w:hAnsi="Arial" w:cs="Arial"/>
          <w:bCs/>
          <w:color w:val="000000" w:themeColor="text1"/>
        </w:rPr>
        <w:t>cohort</w:t>
      </w:r>
      <w:r w:rsidRPr="008D0ECD">
        <w:rPr>
          <w:rFonts w:ascii="Arial" w:hAnsi="Arial" w:cs="Arial"/>
          <w:bCs/>
          <w:color w:val="000000" w:themeColor="text1"/>
        </w:rPr>
        <w:t xml:space="preserve"> variance component</w:t>
      </w:r>
      <w:r>
        <w:rPr>
          <w:rFonts w:ascii="Arial" w:hAnsi="Arial" w:cs="Arial"/>
          <w:bCs/>
          <w:color w:val="000000" w:themeColor="text1"/>
        </w:rPr>
        <w:t>s (</w:t>
      </w:r>
      <w:r w:rsidRPr="007067CC">
        <w:rPr>
          <w:rFonts w:ascii="Arial" w:hAnsi="Arial" w:cs="Arial"/>
          <w:bCs/>
          <w:color w:val="000000" w:themeColor="text1"/>
        </w:rPr>
        <w:t>τ</w:t>
      </w:r>
      <w:r w:rsidRPr="00BE3BA6">
        <w:rPr>
          <w:rFonts w:ascii="Arial" w:hAnsi="Arial" w:cs="Arial"/>
          <w:bCs/>
          <w:color w:val="000000" w:themeColor="text1"/>
        </w:rPr>
        <w:t>&lt;0.0</w:t>
      </w:r>
      <w:r>
        <w:rPr>
          <w:rFonts w:ascii="Arial" w:hAnsi="Arial" w:cs="Arial"/>
          <w:bCs/>
          <w:color w:val="000000" w:themeColor="text1"/>
        </w:rPr>
        <w:t>0</w:t>
      </w:r>
      <w:r w:rsidRPr="00BE3BA6">
        <w:rPr>
          <w:rFonts w:ascii="Arial" w:hAnsi="Arial" w:cs="Arial"/>
          <w:bCs/>
          <w:color w:val="000000" w:themeColor="text1"/>
        </w:rPr>
        <w:t>1</w:t>
      </w:r>
      <w:r>
        <w:rPr>
          <w:rFonts w:ascii="Arial" w:hAnsi="Arial" w:cs="Arial"/>
          <w:bCs/>
          <w:color w:val="000000" w:themeColor="text1"/>
        </w:rPr>
        <w:t xml:space="preserve">) and the </w:t>
      </w:r>
      <w:r w:rsidRPr="008D0ECD">
        <w:rPr>
          <w:rFonts w:ascii="Arial" w:hAnsi="Arial" w:cs="Arial"/>
          <w:bCs/>
          <w:color w:val="000000" w:themeColor="text1"/>
        </w:rPr>
        <w:t>proportion of total variation observed across scenario-specific estimates due to heterogeneity</w:t>
      </w:r>
      <w:r>
        <w:rPr>
          <w:rFonts w:ascii="Arial" w:hAnsi="Arial" w:cs="Arial"/>
          <w:bCs/>
          <w:color w:val="000000" w:themeColor="text1"/>
        </w:rPr>
        <w:t xml:space="preserve"> (I</w:t>
      </w:r>
      <w:r w:rsidRPr="006D12E1">
        <w:rPr>
          <w:rFonts w:ascii="Arial" w:hAnsi="Arial" w:cs="Arial"/>
          <w:bCs/>
          <w:color w:val="000000" w:themeColor="text1"/>
          <w:vertAlign w:val="superscript"/>
        </w:rPr>
        <w:t>2</w:t>
      </w:r>
      <w:r w:rsidRPr="003141DA">
        <w:rPr>
          <w:rFonts w:ascii="Arial" w:hAnsi="Arial" w:cs="Arial"/>
          <w:bCs/>
          <w:color w:val="000000" w:themeColor="text1"/>
        </w:rPr>
        <w:t>&lt;10%)</w:t>
      </w:r>
      <w:r>
        <w:rPr>
          <w:rFonts w:ascii="Arial" w:hAnsi="Arial" w:cs="Arial"/>
          <w:bCs/>
          <w:color w:val="000000" w:themeColor="text1"/>
        </w:rPr>
        <w:t>, there was no significant amount of within-group heterogeneity (</w:t>
      </w:r>
      <w:r w:rsidRPr="00F57D93">
        <w:rPr>
          <w:rFonts w:ascii="Arial" w:hAnsi="Arial" w:cs="Arial"/>
          <w:b/>
          <w:color w:val="000000" w:themeColor="text1"/>
        </w:rPr>
        <w:t xml:space="preserve">Table </w:t>
      </w:r>
      <w:r>
        <w:rPr>
          <w:rFonts w:ascii="Arial" w:hAnsi="Arial" w:cs="Arial"/>
          <w:b/>
          <w:color w:val="000000" w:themeColor="text1"/>
        </w:rPr>
        <w:t>S</w:t>
      </w:r>
      <w:r w:rsidRPr="00F57D93">
        <w:rPr>
          <w:rFonts w:ascii="Arial" w:hAnsi="Arial" w:cs="Arial"/>
          <w:b/>
          <w:color w:val="000000" w:themeColor="text1"/>
        </w:rPr>
        <w:t>1</w:t>
      </w:r>
      <w:r>
        <w:rPr>
          <w:rFonts w:ascii="Arial" w:hAnsi="Arial" w:cs="Arial"/>
          <w:bCs/>
          <w:color w:val="000000" w:themeColor="text1"/>
        </w:rPr>
        <w:t>)</w:t>
      </w:r>
      <w:r w:rsidRPr="007067CC">
        <w:rPr>
          <w:rFonts w:ascii="Arial" w:hAnsi="Arial" w:cs="Arial"/>
          <w:bCs/>
          <w:color w:val="000000" w:themeColor="text1"/>
        </w:rPr>
        <w:t>.</w:t>
      </w:r>
      <w:r w:rsidRPr="007067CC">
        <w:rPr>
          <w:rFonts w:ascii="Arial" w:hAnsi="Arial" w:cs="Arial"/>
          <w:bCs/>
          <w:color w:val="000000" w:themeColor="text1"/>
        </w:rPr>
        <w:fldChar w:fldCharType="begin" w:fldLock="1"/>
      </w:r>
      <w:r w:rsidR="00462373">
        <w:rPr>
          <w:rFonts w:ascii="Arial" w:hAnsi="Arial" w:cs="Arial"/>
          <w:bCs/>
          <w:color w:val="000000" w:themeColor="text1"/>
        </w:rPr>
        <w:instrText>ADDIN CSL_CITATION {"citationItems":[{"id":"ITEM-1","itemData":{"DOI":"10.1002/sim.1186","ISSN":"0277-6715","PMID":"12111919","abstract":"The extent of heterogeneity in a meta-analysis partly determines the difficulty in drawing overall conclusions. This extent may be measured by estimating a between-study variance, but interpretation is then specific to a particular treatment effect metric. A test for the existence of heterogeneity exists, but depends on the number of studies in the meta-analysis. We develop measures of the impact of heterogeneity on a meta-analysis, from mathematical criteria, that are independent of the number of studies and the treatment effect metric. We derive and propose three suitable statistics: H is the square root of the X2 heterogeneity statistic divided by its degrees of freedom; R is the ratio of the standard error of the underlying mean from a random effects meta-analysis to the standard error of a fixed effect meta-analytic estimate, and I2 is a transformation of H that describes the proportion of total variation in study estimates that is due to heterogeneity. We discuss interpretation, interval estimates and other properties of these measures and examine them in five example data sets showing different amounts of heterogeneity. We conclude that H and I2, which can usually be calculated for published meta-analyses, are particularly useful summaries of the impact of heterogeneity. One or both should be presented in published meta-analyses in preference to the test for heterogeneity. Copyright © 2002 John Wiley &amp; Sons, Ltd.","author":[{"dropping-particle":"","family":"Higgins","given":"Julian P. T.","non-dropping-particle":"","parse-names":false,"suffix":""},{"dropping-particle":"","family":"Thompson","given":"Simon G.","non-dropping-particle":"","parse-names":false,"suffix":""}],"container-title":"Statistics in Medicine","id":"ITEM-1","issue":"11","issued":{"date-parts":[["2002","6","15"]]},"page":"1539-1558","title":"Quantifying heterogeneity in a meta-analysis","type":"article-journal","volume":"21"},"uris":["http://www.mendeley.com/documents/?uuid=0fd09110-7e8f-420a-9ba5-49cac14f1d34"]},{"id":"ITEM-2","itemData":{"DOI":"10.3102/10769986030003261","ISSN":"1076-9986","abstract":"The meta-analytic random effects model assumes that the variability in effect size estimates drawn from a set of studies can be decomposed into two parts: heterogeneity due to random population effects and sampling variance. In this context, the usual goal is to estimate the central tendency and the amount of heterogeneity in the population effect sizes. The amount of heterogeneity in a set of effect sizes has implications regarding the interpretation of the meta-analytic findings and often serves as an indicator for the presence of potential moderator variables. Five population heterogeneity estimators were compared in this article analytically and via Monte Carlo simulations with respect to their bias and efficiency.","author":[{"dropping-particle":"","family":"Viechtbauer","given":"Wolfgang","non-dropping-particle":"","parse-names":false,"suffix":""}],"container-title":"Journal of Educational and Behavioral Statistics","id":"ITEM-2","issue":"3","issued":{"date-parts":[["2005","9","23"]]},"page":"261-293","title":"Bias and Efficiency of Meta-Analytic Variance Estimators in the Random-Effects Model","type":"article-journal","volume":"30"},"uris":["http://www.mendeley.com/documents/?uuid=452b0853-aeff-40ea-acd8-0d4b4af6fcf9"]},{"id":"ITEM-3","itemData":{"DOI":"10.1007/978-3-319-21416-0","ISBN":"978-3-319-21415-3","abstract":"This chapter describes small-study effects in meta-analysis and how the issues they raise may be addressed. ``Small-study effects'' is a generic term for the phenomenon that smaller studies sometimes show different, often larger, treatment effects than large ones. This notion was coined by Sterne et al. [55]. One possible, probably the most well-known, reason is publication bias. This is said to occur when the chance of a smaller study being published is increased if it shows a stronger effect [3, 41, 52]. This can happen for a number of reasons, for example authors may be more likely to submit studies with ``significant'' results for publication or journals may be more likely to publish smaller studies if they have ``significant'' results. If this occurs, it in turn biases the results of meta-analyses and systematic reviews. There are a number of other possible reasons for small-study effects. One is selective reporting of the most favourable outcomes, known as outcome selection bias or outcome reporting bias [8, 9, 18, 61]. Another possible cause of small-study effects is clinical heterogeneity between patients in large and small studies; e.g., patients in smaller studies may have been selected so that a favourable outcome of the experimental treatment may be expected. In the case of a binary outcome, also a mathematical artefact arises from the fact that for the odds ratio or the risk ratio, the variance of the treatment effect estimate is not independent of the estimate itself [47]. This problem will be discussed in Sect. 5.2.2. Lastly, it can never be ruled out that small-study effects result from mere coincidence [42]. Empirical studies have established evidence for these and other kinds of bias [19, 42, 53]. There is a vast range of tests for small-study effects [4, 20, 24, 38, 43, 48], most of them based on a funnel plot which will be introduced in Sect. 5.1.1.","author":[{"dropping-particle":"","family":"Schwarzer","given":"Guido","non-dropping-particle":"","parse-names":false,"suffix":""},{"dropping-particle":"","family":"Carpenter","given":"James R.","non-dropping-particle":"","parse-names":false,"suffix":""},{"dropping-particle":"","family":"Rücker","given":"Gerta","non-dropping-particle":"","parse-names":false,"suffix":""}],"collection-title":"Use R!","id":"ITEM-3","issued":{"date-parts":[["2015"]]},"number-of-pages":"107-141","publisher":"Springer International Publishing","publisher-place":"Cham","title":"Meta-Analysis with R","type":"book"},"uris":["http://www.mendeley.com/documents/?uuid=2c748e8e-980f-47e9-9486-5cf612a5a5d9"]}],"mendeley":{"formattedCitation":"&lt;sup&gt;2–4&lt;/sup&gt;","plainTextFormattedCitation":"2–4","previouslyFormattedCitation":"&lt;sup&gt;2–4&lt;/sup&gt;"},"properties":{"noteIndex":0},"schema":"https://github.com/citation-style-language/schema/raw/master/csl-citation.json"}</w:instrText>
      </w:r>
      <w:r w:rsidRPr="007067CC">
        <w:rPr>
          <w:rFonts w:ascii="Arial" w:hAnsi="Arial" w:cs="Arial"/>
          <w:bCs/>
          <w:color w:val="000000" w:themeColor="text1"/>
        </w:rPr>
        <w:fldChar w:fldCharType="separate"/>
      </w:r>
      <w:r w:rsidR="00F921E7" w:rsidRPr="00F921E7">
        <w:rPr>
          <w:rFonts w:ascii="Arial" w:hAnsi="Arial" w:cs="Arial"/>
          <w:bCs/>
          <w:noProof/>
          <w:color w:val="000000" w:themeColor="text1"/>
          <w:vertAlign w:val="superscript"/>
        </w:rPr>
        <w:t>2–4</w:t>
      </w:r>
      <w:r w:rsidRPr="007067CC">
        <w:rPr>
          <w:rFonts w:ascii="Arial" w:hAnsi="Arial" w:cs="Arial"/>
          <w:bCs/>
          <w:color w:val="000000" w:themeColor="text1"/>
        </w:rPr>
        <w:fldChar w:fldCharType="end"/>
      </w:r>
      <w:r>
        <w:rPr>
          <w:rFonts w:ascii="Arial" w:hAnsi="Arial" w:cs="Arial"/>
          <w:bCs/>
        </w:rPr>
        <w:t xml:space="preserve"> </w:t>
      </w:r>
      <w:r>
        <w:rPr>
          <w:rFonts w:ascii="Arial" w:hAnsi="Arial" w:cs="Arial"/>
          <w:bCs/>
          <w:color w:val="000000" w:themeColor="text1"/>
        </w:rPr>
        <w:t xml:space="preserve"> </w:t>
      </w:r>
      <w:r>
        <w:rPr>
          <w:rFonts w:ascii="Arial" w:hAnsi="Arial" w:cs="Arial"/>
          <w:bCs/>
        </w:rPr>
        <w:t xml:space="preserve"> </w:t>
      </w:r>
    </w:p>
    <w:p w14:paraId="1C4FF606" w14:textId="77777777" w:rsidR="0036434E" w:rsidRPr="002E0447" w:rsidRDefault="0036434E" w:rsidP="00DA24DB">
      <w:pPr>
        <w:spacing w:after="80" w:line="480" w:lineRule="auto"/>
        <w:rPr>
          <w:rFonts w:ascii="Arial" w:hAnsi="Arial" w:cs="Arial"/>
          <w:b/>
          <w:bCs/>
        </w:rPr>
      </w:pPr>
      <w:bookmarkStart w:id="0" w:name="_Hlk98342708"/>
      <w:r w:rsidRPr="002E0447">
        <w:rPr>
          <w:rFonts w:ascii="Arial" w:hAnsi="Arial" w:cs="Arial"/>
          <w:b/>
          <w:bCs/>
        </w:rPr>
        <w:t xml:space="preserve">HCV GWAS using cases and well characterized controls or population-based controls </w:t>
      </w:r>
    </w:p>
    <w:bookmarkEnd w:id="0"/>
    <w:p w14:paraId="31BD854C" w14:textId="77777777" w:rsidR="002230DB" w:rsidRPr="002E0447" w:rsidRDefault="002230DB" w:rsidP="00DA24DB">
      <w:pPr>
        <w:spacing w:after="80" w:line="480" w:lineRule="auto"/>
        <w:rPr>
          <w:rFonts w:ascii="Arial" w:hAnsi="Arial" w:cs="Arial"/>
          <w:i/>
          <w:iCs/>
          <w:u w:val="single"/>
        </w:rPr>
      </w:pPr>
      <w:r w:rsidRPr="002A3B2A">
        <w:rPr>
          <w:rFonts w:ascii="Arial" w:hAnsi="Arial" w:cs="Arial"/>
          <w:i/>
          <w:iCs/>
          <w:u w:val="single"/>
        </w:rPr>
        <w:t>Selection of samples for analysis</w:t>
      </w:r>
    </w:p>
    <w:p w14:paraId="196F65B9" w14:textId="4C4AC8BF" w:rsidR="00D81D60" w:rsidRDefault="00384D1E" w:rsidP="00DA24DB">
      <w:pPr>
        <w:spacing w:after="80" w:line="480" w:lineRule="auto"/>
        <w:rPr>
          <w:rFonts w:ascii="Arial" w:hAnsi="Arial" w:cs="Arial"/>
        </w:rPr>
      </w:pPr>
      <w:r w:rsidRPr="007067CC">
        <w:rPr>
          <w:rFonts w:ascii="Arial" w:hAnsi="Arial" w:cs="Arial"/>
          <w:i/>
          <w:iCs/>
          <w:u w:val="single"/>
        </w:rPr>
        <w:lastRenderedPageBreak/>
        <w:t>Stringent QC-passed UKB controls</w:t>
      </w:r>
      <w:r w:rsidRPr="007067CC">
        <w:rPr>
          <w:rFonts w:ascii="Arial" w:hAnsi="Arial" w:cs="Arial"/>
        </w:rPr>
        <w:t xml:space="preserve">: </w:t>
      </w:r>
      <w:r>
        <w:rPr>
          <w:rFonts w:ascii="Arial" w:hAnsi="Arial" w:cs="Arial"/>
        </w:rPr>
        <w:t xml:space="preserve">To identify the set of </w:t>
      </w:r>
      <w:r w:rsidRPr="007067CC">
        <w:rPr>
          <w:rFonts w:ascii="Arial" w:hAnsi="Arial" w:cs="Arial"/>
        </w:rPr>
        <w:t>UKB controls</w:t>
      </w:r>
      <w:r>
        <w:rPr>
          <w:rFonts w:ascii="Arial" w:hAnsi="Arial" w:cs="Arial"/>
        </w:rPr>
        <w:t xml:space="preserve"> who passed a more </w:t>
      </w:r>
      <w:r w:rsidRPr="007067CC">
        <w:rPr>
          <w:rFonts w:ascii="Arial" w:hAnsi="Arial" w:cs="Arial"/>
        </w:rPr>
        <w:t xml:space="preserve">stringent </w:t>
      </w:r>
      <w:r>
        <w:rPr>
          <w:rFonts w:ascii="Arial" w:hAnsi="Arial" w:cs="Arial"/>
        </w:rPr>
        <w:t>set of sample-level genetic heterozygosity-focused QC metrics than those performed by the UKB consortium,</w:t>
      </w:r>
      <w:r w:rsidRPr="007067CC">
        <w:rPr>
          <w:rFonts w:ascii="Arial" w:hAnsi="Arial" w:cs="Arial"/>
        </w:rPr>
        <w:t xml:space="preserve"> individuals with missingness greater than 3% </w:t>
      </w:r>
      <w:r>
        <w:rPr>
          <w:rFonts w:ascii="Arial" w:hAnsi="Arial" w:cs="Arial"/>
        </w:rPr>
        <w:t xml:space="preserve">of all imputed markers from across the </w:t>
      </w:r>
      <w:r w:rsidRPr="007067CC">
        <w:rPr>
          <w:rFonts w:ascii="Arial" w:hAnsi="Arial" w:cs="Arial"/>
        </w:rPr>
        <w:t>genome</w:t>
      </w:r>
      <w:r>
        <w:rPr>
          <w:rFonts w:ascii="Arial" w:hAnsi="Arial" w:cs="Arial"/>
        </w:rPr>
        <w:t xml:space="preserve"> overlapp</w:t>
      </w:r>
      <w:r w:rsidR="00DF7BD0">
        <w:rPr>
          <w:rFonts w:ascii="Arial" w:hAnsi="Arial" w:cs="Arial"/>
        </w:rPr>
        <w:t>ing</w:t>
      </w:r>
      <w:r>
        <w:rPr>
          <w:rFonts w:ascii="Arial" w:hAnsi="Arial" w:cs="Arial"/>
        </w:rPr>
        <w:t xml:space="preserve"> with imputed markers from the HCV consortium</w:t>
      </w:r>
      <w:r w:rsidR="001E3DD0">
        <w:rPr>
          <w:rFonts w:ascii="Arial" w:hAnsi="Arial" w:cs="Arial"/>
        </w:rPr>
        <w:t xml:space="preserve"> </w:t>
      </w:r>
      <w:r w:rsidRPr="007067CC">
        <w:rPr>
          <w:rFonts w:ascii="Arial" w:hAnsi="Arial" w:cs="Arial"/>
        </w:rPr>
        <w:t xml:space="preserve">or </w:t>
      </w:r>
      <w:r>
        <w:rPr>
          <w:rFonts w:ascii="Arial" w:hAnsi="Arial" w:cs="Arial"/>
        </w:rPr>
        <w:t xml:space="preserve">had </w:t>
      </w:r>
      <w:r w:rsidRPr="007067CC">
        <w:rPr>
          <w:rFonts w:ascii="Arial" w:hAnsi="Arial" w:cs="Arial"/>
        </w:rPr>
        <w:t xml:space="preserve">sample-level heterozygosity rates greater than three standard deviations outside the mean were excluded prior to </w:t>
      </w:r>
      <w:r>
        <w:rPr>
          <w:rFonts w:ascii="Arial" w:hAnsi="Arial" w:cs="Arial"/>
        </w:rPr>
        <w:t xml:space="preserve">any </w:t>
      </w:r>
      <w:r w:rsidRPr="007067CC">
        <w:rPr>
          <w:rFonts w:ascii="Arial" w:hAnsi="Arial" w:cs="Arial"/>
        </w:rPr>
        <w:t>ancestry-based matching (N=13,986). After ancestry-based matching</w:t>
      </w:r>
      <w:r>
        <w:rPr>
          <w:rFonts w:ascii="Arial" w:hAnsi="Arial" w:cs="Arial"/>
        </w:rPr>
        <w:t>,</w:t>
      </w:r>
      <w:r w:rsidRPr="007067CC">
        <w:rPr>
          <w:rFonts w:ascii="Arial" w:hAnsi="Arial" w:cs="Arial"/>
        </w:rPr>
        <w:t xml:space="preserve"> 366,354 UKB individuals remained. A second heterozygosity-based filtering step was </w:t>
      </w:r>
      <w:r>
        <w:rPr>
          <w:rFonts w:ascii="Arial" w:hAnsi="Arial" w:cs="Arial"/>
        </w:rPr>
        <w:t xml:space="preserve">then </w:t>
      </w:r>
      <w:r w:rsidRPr="007067CC">
        <w:rPr>
          <w:rFonts w:ascii="Arial" w:hAnsi="Arial" w:cs="Arial"/>
        </w:rPr>
        <w:t xml:space="preserve">performed, </w:t>
      </w:r>
      <w:r>
        <w:rPr>
          <w:rFonts w:ascii="Arial" w:hAnsi="Arial" w:cs="Arial"/>
        </w:rPr>
        <w:t xml:space="preserve">which excluded </w:t>
      </w:r>
      <w:r w:rsidRPr="007067CC">
        <w:rPr>
          <w:rFonts w:ascii="Arial" w:hAnsi="Arial" w:cs="Arial"/>
        </w:rPr>
        <w:t>an additional 2,046 UKB controls. A total of 364,308 stringent QC-passed ancestry</w:t>
      </w:r>
      <w:r w:rsidRPr="0053198F">
        <w:rPr>
          <w:rFonts w:ascii="Arial" w:hAnsi="Arial" w:cs="Arial"/>
        </w:rPr>
        <w:t xml:space="preserve">-matched UKB controls were identified. These sample-level quality control measures were performed using Plink via the </w:t>
      </w:r>
      <w:proofErr w:type="spellStart"/>
      <w:r w:rsidRPr="0053198F">
        <w:rPr>
          <w:rFonts w:ascii="Arial" w:hAnsi="Arial" w:cs="Arial"/>
        </w:rPr>
        <w:t>plinkQC</w:t>
      </w:r>
      <w:proofErr w:type="spellEnd"/>
      <w:r w:rsidRPr="0053198F">
        <w:rPr>
          <w:rFonts w:ascii="Arial" w:hAnsi="Arial" w:cs="Arial"/>
        </w:rPr>
        <w:t xml:space="preserve"> tool in R.</w:t>
      </w:r>
      <w:r w:rsidRPr="0053198F">
        <w:rPr>
          <w:rFonts w:ascii="Arial" w:hAnsi="Arial" w:cs="Arial"/>
        </w:rPr>
        <w:fldChar w:fldCharType="begin" w:fldLock="1"/>
      </w:r>
      <w:r w:rsidR="003827C7">
        <w:rPr>
          <w:rFonts w:ascii="Arial" w:hAnsi="Arial" w:cs="Arial"/>
        </w:rPr>
        <w:instrText>ADDIN CSL_CITATION {"citationItems":[{"id":"ITEM-1","itemData":{"DOI":"10.5281/zenodo.5106689","author":[{"dropping-particle":"V","family":"Meyer","given":"Hannah","non-dropping-particle":"","parse-names":false,"suffix":""}],"id":"ITEM-1","issued":{"date-parts":[["2021"]]},"number":"0.3.4","title":"plinkQC: Genotype quality control in genetic association studies","type":"article"},"uris":["http://www.mendeley.com/documents/?uuid=1cfc4ee4-8ca0-4134-9598-a2ae29ede989"]}],"mendeley":{"formattedCitation":"&lt;sup&gt;5&lt;/sup&gt;","plainTextFormattedCitation":"5","previouslyFormattedCitation":"&lt;sup&gt;5&lt;/sup&gt;"},"properties":{"noteIndex":0},"schema":"https://github.com/citation-style-language/schema/raw/master/csl-citation.json"}</w:instrText>
      </w:r>
      <w:r w:rsidRPr="0053198F">
        <w:rPr>
          <w:rFonts w:ascii="Arial" w:hAnsi="Arial" w:cs="Arial"/>
        </w:rPr>
        <w:fldChar w:fldCharType="separate"/>
      </w:r>
      <w:r w:rsidR="00462373" w:rsidRPr="00462373">
        <w:rPr>
          <w:rFonts w:ascii="Arial" w:hAnsi="Arial" w:cs="Arial"/>
          <w:noProof/>
          <w:vertAlign w:val="superscript"/>
        </w:rPr>
        <w:t>5</w:t>
      </w:r>
      <w:r w:rsidRPr="0053198F">
        <w:rPr>
          <w:rFonts w:ascii="Arial" w:hAnsi="Arial" w:cs="Arial"/>
        </w:rPr>
        <w:fldChar w:fldCharType="end"/>
      </w:r>
      <w:r w:rsidRPr="0053198F">
        <w:rPr>
          <w:rFonts w:ascii="Arial" w:hAnsi="Arial" w:cs="Arial"/>
        </w:rPr>
        <w:t xml:space="preserve"> Marker-level matching with the HCV consortium and QC, as described within the main text, were then performed using this </w:t>
      </w:r>
      <w:r w:rsidR="00A25805">
        <w:rPr>
          <w:rFonts w:ascii="Arial" w:hAnsi="Arial" w:cs="Arial"/>
        </w:rPr>
        <w:t>stringent-QC</w:t>
      </w:r>
      <w:r w:rsidRPr="0053198F">
        <w:rPr>
          <w:rFonts w:ascii="Arial" w:hAnsi="Arial" w:cs="Arial"/>
        </w:rPr>
        <w:t xml:space="preserve"> set of UKB controls. A total of 6,009,835 QC-passed imputed markers were shared across the combined HCV Consortium and this set of stringent QC-passed UKB cohort individuals.</w:t>
      </w:r>
      <w:r w:rsidR="00F921E7">
        <w:rPr>
          <w:rFonts w:ascii="Arial" w:hAnsi="Arial" w:cs="Arial"/>
        </w:rPr>
        <w:t xml:space="preserve"> </w:t>
      </w:r>
    </w:p>
    <w:p w14:paraId="2D22CB5F" w14:textId="1A56DA42" w:rsidR="00384D1E" w:rsidRPr="0053198F" w:rsidRDefault="00F921E7" w:rsidP="00DA24DB">
      <w:pPr>
        <w:spacing w:after="80" w:line="480" w:lineRule="auto"/>
        <w:rPr>
          <w:rFonts w:ascii="Arial" w:hAnsi="Arial" w:cs="Arial"/>
        </w:rPr>
      </w:pPr>
      <w:r>
        <w:rPr>
          <w:rFonts w:ascii="Arial" w:hAnsi="Arial" w:cs="Arial"/>
        </w:rPr>
        <w:t xml:space="preserve">To determine whether </w:t>
      </w:r>
      <w:r w:rsidR="00D81D60">
        <w:rPr>
          <w:rFonts w:ascii="Arial" w:hAnsi="Arial" w:cs="Arial"/>
        </w:rPr>
        <w:t xml:space="preserve">any other </w:t>
      </w:r>
      <w:r>
        <w:rPr>
          <w:rFonts w:ascii="Arial" w:hAnsi="Arial" w:cs="Arial"/>
        </w:rPr>
        <w:t xml:space="preserve">sample-level QC issues </w:t>
      </w:r>
      <w:r w:rsidR="00D81D60">
        <w:rPr>
          <w:rFonts w:ascii="Arial" w:hAnsi="Arial" w:cs="Arial"/>
        </w:rPr>
        <w:t xml:space="preserve">could </w:t>
      </w:r>
      <w:r>
        <w:rPr>
          <w:rFonts w:ascii="Arial" w:hAnsi="Arial" w:cs="Arial"/>
        </w:rPr>
        <w:t xml:space="preserve">explain the observed novel loci, genotype missingness and allele frequencies for the top </w:t>
      </w:r>
      <w:r w:rsidR="009E47A8">
        <w:rPr>
          <w:rFonts w:ascii="Arial" w:hAnsi="Arial" w:cs="Arial"/>
        </w:rPr>
        <w:t xml:space="preserve">associated </w:t>
      </w:r>
      <w:r>
        <w:rPr>
          <w:rFonts w:ascii="Arial" w:hAnsi="Arial" w:cs="Arial"/>
        </w:rPr>
        <w:t xml:space="preserve">markers </w:t>
      </w:r>
      <w:r w:rsidR="009E47A8">
        <w:rPr>
          <w:rFonts w:ascii="Arial" w:hAnsi="Arial" w:cs="Arial"/>
        </w:rPr>
        <w:t xml:space="preserve">in each of the novel HCV clearance associated </w:t>
      </w:r>
      <w:r>
        <w:rPr>
          <w:rFonts w:ascii="Arial" w:hAnsi="Arial" w:cs="Arial"/>
        </w:rPr>
        <w:t>were estimated within each of the 106 UKB-defined QC batches</w:t>
      </w:r>
      <w:r w:rsidR="00255AB4">
        <w:rPr>
          <w:rFonts w:ascii="Arial" w:hAnsi="Arial" w:cs="Arial"/>
        </w:rPr>
        <w:t xml:space="preserve"> limited to the stringent QC-passed UKB control individuals</w:t>
      </w:r>
      <w:r>
        <w:rPr>
          <w:rFonts w:ascii="Arial" w:hAnsi="Arial" w:cs="Arial"/>
        </w:rPr>
        <w:t>.</w:t>
      </w:r>
      <w:r>
        <w:rPr>
          <w:rFonts w:ascii="Arial" w:hAnsi="Arial" w:cs="Arial"/>
        </w:rPr>
        <w:fldChar w:fldCharType="begin" w:fldLock="1"/>
      </w:r>
      <w:r w:rsidR="003827C7">
        <w:rPr>
          <w:rFonts w:ascii="Arial" w:hAnsi="Arial" w:cs="Arial"/>
        </w:rPr>
        <w:instrText>ADDIN CSL_CITATION {"citationItems":[{"id":"ITEM-1","itemData":{"DOI":"10.1038/s41586-018-0579-z","ISSN":"0028-0836","abstract":"The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O’Connell","given":"Jared","non-dropping-particle":"","parse-names":false,"suffix":""},{"dropping-particle":"","family":"Cortes","given":"Adrian","non-dropping-particle":"","parse-names":false,"suffix":""},{"dropping-particle":"","family":"Welsh","given":"Samantha","non-dropping-particle":"","parse-names":false,"suffix":""},{"dropping-particle":"","family":"Young","given":"Alan","non-dropping-particle":"","parse-names":false,"suffix":""},{"dropping-particle":"","family":"Effingham","given":"Mark","non-dropping-particle":"","parse-names":false,"suffix":""},{"dropping-particle":"","family":"McVean","given":"Gil","non-dropping-particle":"","parse-names":false,"suffix":""},{"dropping-particle":"","family":"Leslie","given":"Stephen","non-dropping-particle":"","parse-names":false,"suffix":""},{"dropping-particle":"","family":"Allen","given":"Naomi","non-dropping-particle":"","parse-names":false,"suffix":""},{"dropping-particle":"","family":"Donnelly","given":"Peter","non-dropping-particle":"","parse-names":false,"suffix":""},{"dropping-particle":"","family":"Marchini","given":"Jonathan","non-dropping-particle":"","parse-names":false,"suffix":""}],"container-title":"Nature","id":"ITEM-1","issue":"7726","issued":{"date-parts":[["2018","10","10"]]},"page":"203-209","title":"The UK Biobank resource with deep phenotyping and genomic data","type":"article-journal","volume":"562"},"uris":["http://www.mendeley.com/documents/?uuid=262a6042-9e4f-4aad-8b79-e8222fe70cdc"]}],"mendeley":{"formattedCitation":"&lt;sup&gt;6&lt;/sup&gt;","plainTextFormattedCitation":"6","previouslyFormattedCitation":"&lt;sup&gt;6&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6</w:t>
      </w:r>
      <w:r>
        <w:rPr>
          <w:rFonts w:ascii="Arial" w:hAnsi="Arial" w:cs="Arial"/>
        </w:rPr>
        <w:fldChar w:fldCharType="end"/>
      </w:r>
      <w:r w:rsidR="009E47A8">
        <w:rPr>
          <w:rFonts w:ascii="Arial" w:hAnsi="Arial" w:cs="Arial"/>
        </w:rPr>
        <w:t xml:space="preserve"> The batch-specific allele frequencies </w:t>
      </w:r>
      <w:r w:rsidR="00255AB4">
        <w:rPr>
          <w:rFonts w:ascii="Arial" w:hAnsi="Arial" w:cs="Arial"/>
        </w:rPr>
        <w:t xml:space="preserve">for each </w:t>
      </w:r>
      <w:r w:rsidR="00CC1105">
        <w:rPr>
          <w:rFonts w:ascii="Arial" w:hAnsi="Arial" w:cs="Arial"/>
        </w:rPr>
        <w:t xml:space="preserve">locus </w:t>
      </w:r>
      <w:r w:rsidR="009E47A8">
        <w:rPr>
          <w:rFonts w:ascii="Arial" w:hAnsi="Arial" w:cs="Arial"/>
        </w:rPr>
        <w:t xml:space="preserve">were then compared to the </w:t>
      </w:r>
      <w:proofErr w:type="spellStart"/>
      <w:r w:rsidR="009E47A8">
        <w:rPr>
          <w:rFonts w:ascii="Arial" w:hAnsi="Arial" w:cs="Arial"/>
        </w:rPr>
        <w:t>gnomAD</w:t>
      </w:r>
      <w:proofErr w:type="spellEnd"/>
      <w:r w:rsidR="009E47A8">
        <w:rPr>
          <w:rFonts w:ascii="Arial" w:hAnsi="Arial" w:cs="Arial"/>
        </w:rPr>
        <w:t>-related MAF filter</w:t>
      </w:r>
      <w:r w:rsidR="00255AB4">
        <w:rPr>
          <w:rFonts w:ascii="Arial" w:hAnsi="Arial" w:cs="Arial"/>
        </w:rPr>
        <w:t xml:space="preserve"> frequency threshold </w:t>
      </w:r>
      <w:r w:rsidR="00CC1105">
        <w:rPr>
          <w:rFonts w:ascii="Arial" w:hAnsi="Arial" w:cs="Arial"/>
        </w:rPr>
        <w:t xml:space="preserve">determined for </w:t>
      </w:r>
      <w:r w:rsidR="00255AB4">
        <w:rPr>
          <w:rFonts w:ascii="Arial" w:hAnsi="Arial" w:cs="Arial"/>
        </w:rPr>
        <w:t>each marker.</w:t>
      </w:r>
    </w:p>
    <w:p w14:paraId="2AE0D4D4" w14:textId="0F9BD1BD" w:rsidR="00384D1E" w:rsidRDefault="00384D1E" w:rsidP="00DA24DB">
      <w:pPr>
        <w:spacing w:after="80" w:line="480" w:lineRule="auto"/>
        <w:rPr>
          <w:rFonts w:ascii="Arial" w:hAnsi="Arial" w:cs="Arial"/>
        </w:rPr>
      </w:pPr>
      <w:r w:rsidRPr="0053198F">
        <w:rPr>
          <w:rFonts w:ascii="Arial" w:hAnsi="Arial" w:cs="Arial"/>
          <w:i/>
          <w:iCs/>
          <w:u w:val="single"/>
        </w:rPr>
        <w:t>Matched case-control cohorts</w:t>
      </w:r>
      <w:r w:rsidR="00DF7BD0">
        <w:rPr>
          <w:rFonts w:ascii="Arial" w:hAnsi="Arial" w:cs="Arial"/>
          <w:i/>
          <w:iCs/>
          <w:u w:val="single"/>
        </w:rPr>
        <w:t xml:space="preserve"> using different </w:t>
      </w:r>
      <w:r w:rsidR="008340CB">
        <w:rPr>
          <w:rFonts w:ascii="Arial" w:hAnsi="Arial" w:cs="Arial"/>
          <w:i/>
          <w:iCs/>
          <w:u w:val="single"/>
        </w:rPr>
        <w:t>sub</w:t>
      </w:r>
      <w:r w:rsidR="00DF7BD0">
        <w:rPr>
          <w:rFonts w:ascii="Arial" w:hAnsi="Arial" w:cs="Arial"/>
          <w:i/>
          <w:iCs/>
          <w:u w:val="single"/>
        </w:rPr>
        <w:t xml:space="preserve">sets of </w:t>
      </w:r>
      <w:r w:rsidR="008340CB">
        <w:rPr>
          <w:rFonts w:ascii="Arial" w:hAnsi="Arial" w:cs="Arial"/>
          <w:i/>
          <w:iCs/>
          <w:u w:val="single"/>
        </w:rPr>
        <w:t xml:space="preserve">UKB </w:t>
      </w:r>
      <w:r w:rsidR="00DF7BD0">
        <w:rPr>
          <w:rFonts w:ascii="Arial" w:hAnsi="Arial" w:cs="Arial"/>
          <w:i/>
          <w:iCs/>
          <w:u w:val="single"/>
        </w:rPr>
        <w:t>controls</w:t>
      </w:r>
      <w:r w:rsidRPr="0053198F">
        <w:rPr>
          <w:rFonts w:ascii="Arial" w:hAnsi="Arial" w:cs="Arial"/>
        </w:rPr>
        <w:t xml:space="preserve">: Given the extreme case-control imbalance of our HCV clearance individuals compared to the ancestry-matched or </w:t>
      </w:r>
      <w:r w:rsidR="00A25805">
        <w:rPr>
          <w:rFonts w:ascii="Arial" w:hAnsi="Arial" w:cs="Arial"/>
        </w:rPr>
        <w:t xml:space="preserve">stringent </w:t>
      </w:r>
      <w:r w:rsidRPr="0053198F">
        <w:rPr>
          <w:rFonts w:ascii="Arial" w:hAnsi="Arial" w:cs="Arial"/>
        </w:rPr>
        <w:t xml:space="preserve">QC-passed UKB controls, we were concerned that ancestry-associated PC covariates were driven entirely by UKB controls. We therefore utilized bipartite matching approaches to identify </w:t>
      </w:r>
      <w:r w:rsidR="00A25805">
        <w:rPr>
          <w:rFonts w:ascii="Arial" w:hAnsi="Arial" w:cs="Arial"/>
        </w:rPr>
        <w:t>s</w:t>
      </w:r>
      <w:r w:rsidRPr="0053198F">
        <w:rPr>
          <w:rFonts w:ascii="Arial" w:hAnsi="Arial" w:cs="Arial"/>
        </w:rPr>
        <w:t>ubset</w:t>
      </w:r>
      <w:r w:rsidR="00A25805">
        <w:rPr>
          <w:rFonts w:ascii="Arial" w:hAnsi="Arial" w:cs="Arial"/>
        </w:rPr>
        <w:t>s</w:t>
      </w:r>
      <w:r w:rsidRPr="0053198F">
        <w:rPr>
          <w:rFonts w:ascii="Arial" w:hAnsi="Arial" w:cs="Arial"/>
        </w:rPr>
        <w:t xml:space="preserve"> of UKB controls most genetically similar to each HCV clearance individual,</w:t>
      </w:r>
      <w:r w:rsidRPr="0053198F">
        <w:rPr>
          <w:rFonts w:ascii="Arial" w:hAnsi="Arial" w:cs="Arial"/>
        </w:rPr>
        <w:fldChar w:fldCharType="begin" w:fldLock="1"/>
      </w:r>
      <w:r w:rsidR="003827C7">
        <w:rPr>
          <w:rFonts w:ascii="Arial" w:hAnsi="Arial" w:cs="Arial"/>
        </w:rPr>
        <w:instrText>ADDIN CSL_CITATION {"citationItems":[{"id":"ITEM-1","itemData":{"DOI":"10.1198/106186006X137047","ISBN":"106186006X","ISSN":"1061-8600","abstract":"In the matched analysis of an observational study, confounding on covariates X is addressed by comparing members of a distinguished group (Z = 1) to controls (Z = 0) only when they belong to the same matched set. The better matchings, therefore, are those whose matched sets exhibit both dispersion in Z and uniformity in X. For dispersion in Z, pair matching is best, creating matched sets that are equally balanced between the groups; but actual data place limits, often severe limits, on matched pairs' uniformity in X. At the other extreme is full matching, the matched sets of which are as uniform in X as can be, while often so poorly dispersed in Z as to sacrifice efficiency. This article presents an algorithm for exploring the intermediate territory. Given requirements on matched sets' uniformity in X and dispersion in Z, the algorithm first decides the requirements' feasibility. In feasible cases, it furnishes a match that is optimal for X-uniformity among matches with Z-dispersion as stipulated. To illustrate, we describe the algorithm's use in a study comparing womens' to mens' working conditions; and we compare our method to a commonly used alternative, greedy matching, which is neither optimal nor as flexible but is algorithmically much simpler. The comparison finds meaningful advantages, in terms of both bias and efficiency, for our more studied approach. © 2006 American Statistical Association, Institute of Mathematical Statistics, and Interface Foundation of North America.","author":[{"dropping-particle":"","family":"Hansen","given":"Ben B.","non-dropping-particle":"","parse-names":false,"suffix":""},{"dropping-particle":"","family":"Klopfer","given":"Stephanie Olsen","non-dropping-particle":"","parse-names":false,"suffix":""}],"container-title":"Journal of Computational and Graphical Statistics","id":"ITEM-1","issue":"3","issued":{"date-parts":[["2006","9"]]},"page":"609-627","title":"Optimal Full Matching and Related Designs via Network Flows","type":"article-journal","volume":"15"},"uris":["http://www.mendeley.com/documents/?uuid=00a9ab27-6111-458c-b170-e2f9fb45af23"]}],"mendeley":{"formattedCitation":"&lt;sup&gt;7&lt;/sup&gt;","plainTextFormattedCitation":"7","previouslyFormattedCitation":"&lt;sup&gt;7&lt;/sup&gt;"},"properties":{"noteIndex":0},"schema":"https://github.com/citation-style-language/schema/raw/master/csl-citation.json"}</w:instrText>
      </w:r>
      <w:r w:rsidRPr="0053198F">
        <w:rPr>
          <w:rFonts w:ascii="Arial" w:hAnsi="Arial" w:cs="Arial"/>
        </w:rPr>
        <w:fldChar w:fldCharType="separate"/>
      </w:r>
      <w:r w:rsidR="00462373" w:rsidRPr="00462373">
        <w:rPr>
          <w:rFonts w:ascii="Arial" w:hAnsi="Arial" w:cs="Arial"/>
          <w:noProof/>
          <w:vertAlign w:val="superscript"/>
        </w:rPr>
        <w:t>7</w:t>
      </w:r>
      <w:r w:rsidRPr="0053198F">
        <w:rPr>
          <w:rFonts w:ascii="Arial" w:hAnsi="Arial" w:cs="Arial"/>
        </w:rPr>
        <w:fldChar w:fldCharType="end"/>
      </w:r>
      <w:r w:rsidRPr="0053198F">
        <w:rPr>
          <w:rFonts w:ascii="Arial" w:hAnsi="Arial" w:cs="Arial"/>
        </w:rPr>
        <w:t xml:space="preserve"> and </w:t>
      </w:r>
      <w:r w:rsidRPr="0053198F">
        <w:rPr>
          <w:rFonts w:ascii="Arial" w:hAnsi="Arial" w:cs="Arial"/>
        </w:rPr>
        <w:lastRenderedPageBreak/>
        <w:t>then performed GWAS with these smaller cohorts of matched controls.</w:t>
      </w:r>
      <w:r>
        <w:rPr>
          <w:rFonts w:ascii="Arial" w:hAnsi="Arial" w:cs="Arial"/>
        </w:rPr>
        <w:t xml:space="preserve"> </w:t>
      </w:r>
      <w:r w:rsidRPr="0053198F">
        <w:rPr>
          <w:rFonts w:ascii="Arial" w:hAnsi="Arial" w:cs="Arial"/>
        </w:rPr>
        <w:t>For the identification of matched UKB controls at case-control ratios of</w:t>
      </w:r>
      <w:r>
        <w:rPr>
          <w:rFonts w:ascii="Arial" w:hAnsi="Arial" w:cs="Arial"/>
        </w:rPr>
        <w:t xml:space="preserve"> 1:1</w:t>
      </w:r>
      <w:r w:rsidRPr="0053198F">
        <w:rPr>
          <w:rFonts w:ascii="Arial" w:hAnsi="Arial" w:cs="Arial"/>
        </w:rPr>
        <w:t xml:space="preserve"> or 1:10, we estimated pairwise distances between each of the 702 individuals with HCV clearance and all stringent QC-passed UKB individuals using either a </w:t>
      </w:r>
      <w:proofErr w:type="spellStart"/>
      <w:r>
        <w:rPr>
          <w:rFonts w:ascii="Arial" w:hAnsi="Arial" w:cs="Arial"/>
        </w:rPr>
        <w:t>M</w:t>
      </w:r>
      <w:r w:rsidRPr="0053198F">
        <w:rPr>
          <w:rFonts w:ascii="Arial" w:hAnsi="Arial" w:cs="Arial"/>
        </w:rPr>
        <w:t>ahalanobis</w:t>
      </w:r>
      <w:proofErr w:type="spellEnd"/>
      <w:r w:rsidRPr="0053198F">
        <w:rPr>
          <w:rFonts w:ascii="Arial" w:hAnsi="Arial" w:cs="Arial"/>
        </w:rPr>
        <w:t xml:space="preserve"> or propensity score discrepancy-based</w:t>
      </w:r>
      <w:r>
        <w:rPr>
          <w:rFonts w:ascii="Arial" w:hAnsi="Arial" w:cs="Arial"/>
        </w:rPr>
        <w:t xml:space="preserve"> distance</w:t>
      </w:r>
      <w:r w:rsidRPr="007067CC">
        <w:rPr>
          <w:rFonts w:ascii="Arial" w:hAnsi="Arial" w:cs="Arial"/>
        </w:rPr>
        <w:t>.</w:t>
      </w:r>
      <w:r>
        <w:rPr>
          <w:rFonts w:ascii="Arial" w:hAnsi="Arial" w:cs="Arial"/>
        </w:rPr>
        <w:t xml:space="preserve"> </w:t>
      </w:r>
      <w:proofErr w:type="spellStart"/>
      <w:r w:rsidRPr="007067CC">
        <w:rPr>
          <w:rFonts w:ascii="Arial" w:hAnsi="Arial" w:cs="Arial"/>
        </w:rPr>
        <w:t>Mahalanobis</w:t>
      </w:r>
      <w:proofErr w:type="spellEnd"/>
      <w:r w:rsidRPr="007067CC">
        <w:rPr>
          <w:rFonts w:ascii="Arial" w:hAnsi="Arial" w:cs="Arial"/>
        </w:rPr>
        <w:t xml:space="preserve"> distances were derived using the top ten PCs while propensity score-based distances were derived using the top ten PCs and sex. Distance estimates and </w:t>
      </w:r>
      <w:r>
        <w:rPr>
          <w:rFonts w:ascii="Arial" w:hAnsi="Arial" w:cs="Arial"/>
        </w:rPr>
        <w:t xml:space="preserve">subsequent </w:t>
      </w:r>
      <w:r w:rsidRPr="007067CC">
        <w:rPr>
          <w:rFonts w:ascii="Arial" w:hAnsi="Arial" w:cs="Arial"/>
        </w:rPr>
        <w:t xml:space="preserve">bipartite matching at </w:t>
      </w:r>
      <w:r>
        <w:rPr>
          <w:rFonts w:ascii="Arial" w:hAnsi="Arial" w:cs="Arial"/>
        </w:rPr>
        <w:t xml:space="preserve">the above </w:t>
      </w:r>
      <w:r w:rsidRPr="007067CC">
        <w:rPr>
          <w:rFonts w:ascii="Arial" w:hAnsi="Arial" w:cs="Arial"/>
        </w:rPr>
        <w:t>ratio</w:t>
      </w:r>
      <w:r>
        <w:rPr>
          <w:rFonts w:ascii="Arial" w:hAnsi="Arial" w:cs="Arial"/>
        </w:rPr>
        <w:t>s</w:t>
      </w:r>
      <w:r w:rsidRPr="007067CC">
        <w:rPr>
          <w:rFonts w:ascii="Arial" w:hAnsi="Arial" w:cs="Arial"/>
        </w:rPr>
        <w:t xml:space="preserve"> </w:t>
      </w:r>
      <w:r>
        <w:rPr>
          <w:rFonts w:ascii="Arial" w:hAnsi="Arial" w:cs="Arial"/>
        </w:rPr>
        <w:t xml:space="preserve">of cases to controls </w:t>
      </w:r>
      <w:r w:rsidRPr="007067CC">
        <w:rPr>
          <w:rFonts w:ascii="Arial" w:hAnsi="Arial" w:cs="Arial"/>
        </w:rPr>
        <w:t xml:space="preserve">were performed </w:t>
      </w:r>
      <w:r>
        <w:rPr>
          <w:rFonts w:ascii="Arial" w:hAnsi="Arial" w:cs="Arial"/>
        </w:rPr>
        <w:t xml:space="preserve">using </w:t>
      </w:r>
      <w:r w:rsidRPr="007067CC">
        <w:rPr>
          <w:rFonts w:ascii="Arial" w:hAnsi="Arial" w:cs="Arial"/>
        </w:rPr>
        <w:t xml:space="preserve">each distance metric </w:t>
      </w:r>
      <w:r>
        <w:rPr>
          <w:rFonts w:ascii="Arial" w:hAnsi="Arial" w:cs="Arial"/>
        </w:rPr>
        <w:t xml:space="preserve">with </w:t>
      </w:r>
      <w:r w:rsidRPr="007067CC">
        <w:rPr>
          <w:rFonts w:ascii="Arial" w:hAnsi="Arial" w:cs="Arial"/>
        </w:rPr>
        <w:t xml:space="preserve">the </w:t>
      </w:r>
      <w:proofErr w:type="spellStart"/>
      <w:r w:rsidRPr="007067CC">
        <w:rPr>
          <w:rFonts w:ascii="Arial" w:hAnsi="Arial" w:cs="Arial"/>
        </w:rPr>
        <w:t>optmatch</w:t>
      </w:r>
      <w:proofErr w:type="spellEnd"/>
      <w:r w:rsidRPr="007067CC">
        <w:rPr>
          <w:rFonts w:ascii="Arial" w:hAnsi="Arial" w:cs="Arial"/>
        </w:rPr>
        <w:t xml:space="preserve"> package in R.</w:t>
      </w:r>
      <w:r w:rsidRPr="007067CC">
        <w:rPr>
          <w:rFonts w:ascii="Arial" w:hAnsi="Arial" w:cs="Arial"/>
        </w:rPr>
        <w:fldChar w:fldCharType="begin" w:fldLock="1"/>
      </w:r>
      <w:r w:rsidR="003827C7">
        <w:rPr>
          <w:rFonts w:ascii="Arial" w:hAnsi="Arial" w:cs="Arial"/>
        </w:rPr>
        <w:instrText>ADDIN CSL_CITATION {"citationItems":[{"id":"ITEM-1","itemData":{"DOI":"10.1198/106186006X137047","ISBN":"106186006X","ISSN":"1061-8600","abstract":"In the matched analysis of an observational study, confounding on covariates X is addressed by comparing members of a distinguished group (Z = 1) to controls (Z = 0) only when they belong to the same matched set. The better matchings, therefore, are those whose matched sets exhibit both dispersion in Z and uniformity in X. For dispersion in Z, pair matching is best, creating matched sets that are equally balanced between the groups; but actual data place limits, often severe limits, on matched pairs' uniformity in X. At the other extreme is full matching, the matched sets of which are as uniform in X as can be, while often so poorly dispersed in Z as to sacrifice efficiency. This article presents an algorithm for exploring the intermediate territory. Given requirements on matched sets' uniformity in X and dispersion in Z, the algorithm first decides the requirements' feasibility. In feasible cases, it furnishes a match that is optimal for X-uniformity among matches with Z-dispersion as stipulated. To illustrate, we describe the algorithm's use in a study comparing womens' to mens' working conditions; and we compare our method to a commonly used alternative, greedy matching, which is neither optimal nor as flexible but is algorithmically much simpler. The comparison finds meaningful advantages, in terms of both bias and efficiency, for our more studied approach. © 2006 American Statistical Association, Institute of Mathematical Statistics, and Interface Foundation of North America.","author":[{"dropping-particle":"","family":"Hansen","given":"Ben B.","non-dropping-particle":"","parse-names":false,"suffix":""},{"dropping-particle":"","family":"Klopfer","given":"Stephanie Olsen","non-dropping-particle":"","parse-names":false,"suffix":""}],"container-title":"Journal of Computational and Graphical Statistics","id":"ITEM-1","issue":"3","issued":{"date-parts":[["2006","9"]]},"page":"609-627","title":"Optimal Full Matching and Related Designs via Network Flows","type":"article-journal","volume":"15"},"uris":["http://www.mendeley.com/documents/?uuid=00a9ab27-6111-458c-b170-e2f9fb45af23"]}],"mendeley":{"formattedCitation":"&lt;sup&gt;7&lt;/sup&gt;","plainTextFormattedCitation":"7","previouslyFormattedCitation":"&lt;sup&gt;7&lt;/sup&gt;"},"properties":{"noteIndex":0},"schema":"https://github.com/citation-style-language/schema/raw/master/csl-citation.json"}</w:instrText>
      </w:r>
      <w:r w:rsidRPr="007067CC">
        <w:rPr>
          <w:rFonts w:ascii="Arial" w:hAnsi="Arial" w:cs="Arial"/>
        </w:rPr>
        <w:fldChar w:fldCharType="separate"/>
      </w:r>
      <w:r w:rsidR="00462373" w:rsidRPr="00462373">
        <w:rPr>
          <w:rFonts w:ascii="Arial" w:hAnsi="Arial" w:cs="Arial"/>
          <w:noProof/>
          <w:vertAlign w:val="superscript"/>
        </w:rPr>
        <w:t>7</w:t>
      </w:r>
      <w:r w:rsidRPr="007067CC">
        <w:rPr>
          <w:rFonts w:ascii="Arial" w:hAnsi="Arial" w:cs="Arial"/>
        </w:rPr>
        <w:fldChar w:fldCharType="end"/>
      </w:r>
      <w:r w:rsidRPr="007067CC">
        <w:rPr>
          <w:rFonts w:ascii="Arial" w:hAnsi="Arial" w:cs="Arial"/>
        </w:rPr>
        <w:t xml:space="preserve"> The PCs </w:t>
      </w:r>
      <w:r w:rsidRPr="003E38FB">
        <w:rPr>
          <w:rFonts w:ascii="Arial" w:hAnsi="Arial" w:cs="Arial"/>
        </w:rPr>
        <w:t xml:space="preserve">utilized for distance estimation were derived from the combined HCV consortium and stringent QC-passed UKB </w:t>
      </w:r>
      <w:r w:rsidR="00675AF5">
        <w:rPr>
          <w:rFonts w:ascii="Arial" w:hAnsi="Arial" w:cs="Arial"/>
        </w:rPr>
        <w:t>controls</w:t>
      </w:r>
      <w:r w:rsidRPr="003E38FB">
        <w:rPr>
          <w:rFonts w:ascii="Arial" w:hAnsi="Arial" w:cs="Arial"/>
        </w:rPr>
        <w:t>.</w:t>
      </w:r>
      <w:r>
        <w:rPr>
          <w:rFonts w:ascii="Arial" w:hAnsi="Arial" w:cs="Arial"/>
        </w:rPr>
        <w:t xml:space="preserve"> For the 1:1 matching, an average of one control per case was successfully obtained and 702 cases were compared to 702 UKB controls for each distance-based matching scenario.</w:t>
      </w:r>
      <w:r w:rsidRPr="003E38FB">
        <w:rPr>
          <w:rFonts w:ascii="Arial" w:hAnsi="Arial" w:cs="Arial"/>
        </w:rPr>
        <w:t xml:space="preserve"> As 5% (N=36) of the HCV clearance individuals had &lt;5 potential UKB matches, the obtained matched case-control cohorts had ratios slightly below the desired 1:10 ratios. For the </w:t>
      </w:r>
      <w:proofErr w:type="spellStart"/>
      <w:r>
        <w:rPr>
          <w:rFonts w:ascii="Arial" w:hAnsi="Arial" w:cs="Arial"/>
        </w:rPr>
        <w:t>M</w:t>
      </w:r>
      <w:r w:rsidRPr="003E38FB">
        <w:rPr>
          <w:rFonts w:ascii="Arial" w:hAnsi="Arial" w:cs="Arial"/>
        </w:rPr>
        <w:t>ahalanobis</w:t>
      </w:r>
      <w:proofErr w:type="spellEnd"/>
      <w:r w:rsidRPr="003E38FB">
        <w:rPr>
          <w:rFonts w:ascii="Arial" w:hAnsi="Arial" w:cs="Arial"/>
        </w:rPr>
        <w:t xml:space="preserve"> distance-based matching approach, a total of 6,633 UKB controls were identified in the 1:10 case-control ratio scheme</w:t>
      </w:r>
      <w:r w:rsidR="00722DD7">
        <w:rPr>
          <w:rFonts w:ascii="Arial" w:hAnsi="Arial" w:cs="Arial"/>
        </w:rPr>
        <w:t xml:space="preserve">. </w:t>
      </w:r>
      <w:r w:rsidRPr="003E38FB">
        <w:rPr>
          <w:rFonts w:ascii="Arial" w:hAnsi="Arial" w:cs="Arial"/>
        </w:rPr>
        <w:t xml:space="preserve">For the propensity score-based matching approach, a total of 6,666 UKB controls were identified in the 1:10 case-control ratio scheme. </w:t>
      </w:r>
    </w:p>
    <w:p w14:paraId="1C1063D4" w14:textId="77777777" w:rsidR="00BF24CA" w:rsidRDefault="00BF24CA" w:rsidP="00DA24DB">
      <w:pPr>
        <w:spacing w:after="80" w:line="480" w:lineRule="auto"/>
        <w:rPr>
          <w:rFonts w:ascii="Arial" w:hAnsi="Arial" w:cs="Arial"/>
        </w:rPr>
      </w:pPr>
      <w:r>
        <w:rPr>
          <w:rFonts w:ascii="Arial" w:hAnsi="Arial" w:cs="Arial"/>
          <w:i/>
          <w:iCs/>
          <w:u w:val="single"/>
        </w:rPr>
        <w:t>Variability</w:t>
      </w:r>
      <w:r w:rsidRPr="001876EE">
        <w:rPr>
          <w:rFonts w:ascii="Arial" w:hAnsi="Arial" w:cs="Arial"/>
          <w:i/>
          <w:iCs/>
          <w:u w:val="single"/>
        </w:rPr>
        <w:t xml:space="preserve"> </w:t>
      </w:r>
      <w:r>
        <w:rPr>
          <w:rFonts w:ascii="Arial" w:hAnsi="Arial" w:cs="Arial"/>
          <w:i/>
          <w:iCs/>
          <w:u w:val="single"/>
        </w:rPr>
        <w:t>of estimated effects across</w:t>
      </w:r>
      <w:r w:rsidRPr="001876EE">
        <w:rPr>
          <w:rFonts w:ascii="Arial" w:hAnsi="Arial" w:cs="Arial"/>
          <w:i/>
          <w:iCs/>
          <w:u w:val="single"/>
        </w:rPr>
        <w:t xml:space="preserve"> </w:t>
      </w:r>
      <w:r>
        <w:rPr>
          <w:rFonts w:ascii="Arial" w:hAnsi="Arial" w:cs="Arial"/>
          <w:i/>
          <w:iCs/>
          <w:u w:val="single"/>
        </w:rPr>
        <w:t xml:space="preserve">alternative </w:t>
      </w:r>
      <w:r w:rsidRPr="001876EE">
        <w:rPr>
          <w:rFonts w:ascii="Arial" w:hAnsi="Arial" w:cs="Arial"/>
          <w:i/>
          <w:iCs/>
          <w:u w:val="single"/>
        </w:rPr>
        <w:t>matched case-control cohorts</w:t>
      </w:r>
      <w:r>
        <w:rPr>
          <w:rFonts w:ascii="Arial" w:hAnsi="Arial" w:cs="Arial"/>
          <w:i/>
          <w:iCs/>
          <w:u w:val="single"/>
        </w:rPr>
        <w:t>:</w:t>
      </w:r>
      <w:r w:rsidRPr="001876EE">
        <w:rPr>
          <w:rFonts w:ascii="Arial" w:hAnsi="Arial" w:cs="Arial"/>
        </w:rPr>
        <w:t xml:space="preserve"> </w:t>
      </w:r>
    </w:p>
    <w:p w14:paraId="3BD26D18" w14:textId="169A4FA1" w:rsidR="00BF24CA" w:rsidRDefault="00BF24CA" w:rsidP="00DA24DB">
      <w:pPr>
        <w:spacing w:after="80" w:line="480" w:lineRule="auto"/>
        <w:rPr>
          <w:rFonts w:ascii="Arial" w:hAnsi="Arial" w:cs="Arial"/>
        </w:rPr>
      </w:pPr>
      <w:r w:rsidRPr="003E38FB">
        <w:rPr>
          <w:rFonts w:ascii="Arial" w:hAnsi="Arial" w:cs="Arial"/>
        </w:rPr>
        <w:t xml:space="preserve">To explore the extent to which observed effect estimates </w:t>
      </w:r>
      <w:r>
        <w:rPr>
          <w:rFonts w:ascii="Arial" w:hAnsi="Arial" w:cs="Arial"/>
        </w:rPr>
        <w:t xml:space="preserve">vary </w:t>
      </w:r>
      <w:r w:rsidRPr="003E38FB">
        <w:rPr>
          <w:rFonts w:ascii="Arial" w:hAnsi="Arial" w:cs="Arial"/>
        </w:rPr>
        <w:t xml:space="preserve">across alternative </w:t>
      </w:r>
      <w:r>
        <w:rPr>
          <w:rFonts w:ascii="Arial" w:hAnsi="Arial" w:cs="Arial"/>
        </w:rPr>
        <w:t xml:space="preserve">yet plausible </w:t>
      </w:r>
      <w:r w:rsidRPr="003E38FB">
        <w:rPr>
          <w:rFonts w:ascii="Arial" w:hAnsi="Arial" w:cs="Arial"/>
        </w:rPr>
        <w:t xml:space="preserve">matched case-control cohorts, we performed 1,000 </w:t>
      </w:r>
      <w:r w:rsidR="001377B7">
        <w:rPr>
          <w:rFonts w:ascii="Arial" w:hAnsi="Arial" w:cs="Arial"/>
        </w:rPr>
        <w:t xml:space="preserve">additional </w:t>
      </w:r>
      <w:r w:rsidRPr="003E38FB">
        <w:rPr>
          <w:rFonts w:ascii="Arial" w:hAnsi="Arial" w:cs="Arial"/>
        </w:rPr>
        <w:t xml:space="preserve">1:10 case-control matches </w:t>
      </w:r>
      <w:r>
        <w:rPr>
          <w:rFonts w:ascii="Arial" w:hAnsi="Arial" w:cs="Arial"/>
        </w:rPr>
        <w:t>using</w:t>
      </w:r>
      <w:r w:rsidRPr="003E38FB">
        <w:rPr>
          <w:rFonts w:ascii="Arial" w:hAnsi="Arial" w:cs="Arial"/>
        </w:rPr>
        <w:t xml:space="preserve"> each distance metric. This involved </w:t>
      </w:r>
      <w:r>
        <w:rPr>
          <w:rFonts w:ascii="Arial" w:hAnsi="Arial" w:cs="Arial"/>
        </w:rPr>
        <w:t>1,000</w:t>
      </w:r>
      <w:r w:rsidRPr="003E38FB">
        <w:rPr>
          <w:rFonts w:ascii="Arial" w:hAnsi="Arial" w:cs="Arial"/>
        </w:rPr>
        <w:t xml:space="preserve"> random selection</w:t>
      </w:r>
      <w:r>
        <w:rPr>
          <w:rFonts w:ascii="Arial" w:hAnsi="Arial" w:cs="Arial"/>
        </w:rPr>
        <w:t>s</w:t>
      </w:r>
      <w:r w:rsidRPr="003E38FB">
        <w:rPr>
          <w:rFonts w:ascii="Arial" w:hAnsi="Arial" w:cs="Arial"/>
        </w:rPr>
        <w:t xml:space="preserve"> of </w:t>
      </w:r>
      <w:r>
        <w:rPr>
          <w:rFonts w:ascii="Arial" w:hAnsi="Arial" w:cs="Arial"/>
        </w:rPr>
        <w:t>ten</w:t>
      </w:r>
      <w:r w:rsidRPr="003E38FB">
        <w:rPr>
          <w:rFonts w:ascii="Arial" w:hAnsi="Arial" w:cs="Arial"/>
        </w:rPr>
        <w:t xml:space="preserve"> </w:t>
      </w:r>
      <w:r>
        <w:rPr>
          <w:rFonts w:ascii="Arial" w:hAnsi="Arial" w:cs="Arial"/>
        </w:rPr>
        <w:t xml:space="preserve">UKB </w:t>
      </w:r>
      <w:r w:rsidRPr="003E38FB">
        <w:rPr>
          <w:rFonts w:ascii="Arial" w:hAnsi="Arial" w:cs="Arial"/>
        </w:rPr>
        <w:t>controls for each of the 702 HCV cases</w:t>
      </w:r>
      <w:r>
        <w:rPr>
          <w:rFonts w:ascii="Arial" w:hAnsi="Arial" w:cs="Arial"/>
        </w:rPr>
        <w:t>, where possible.</w:t>
      </w:r>
      <w:r w:rsidRPr="003E38FB">
        <w:rPr>
          <w:rFonts w:ascii="Arial" w:hAnsi="Arial" w:cs="Arial"/>
        </w:rPr>
        <w:t xml:space="preserve"> </w:t>
      </w:r>
      <w:r>
        <w:rPr>
          <w:rFonts w:ascii="Arial" w:hAnsi="Arial" w:cs="Arial"/>
        </w:rPr>
        <w:t xml:space="preserve">This resulted </w:t>
      </w:r>
      <w:r w:rsidRPr="003E38FB">
        <w:rPr>
          <w:rFonts w:ascii="Arial" w:hAnsi="Arial" w:cs="Arial"/>
        </w:rPr>
        <w:t xml:space="preserve">in </w:t>
      </w:r>
      <w:r w:rsidR="001377B7">
        <w:rPr>
          <w:rFonts w:ascii="Arial" w:hAnsi="Arial" w:cs="Arial"/>
        </w:rPr>
        <w:t>2</w:t>
      </w:r>
      <w:r w:rsidRPr="003E38FB">
        <w:rPr>
          <w:rFonts w:ascii="Arial" w:hAnsi="Arial" w:cs="Arial"/>
        </w:rPr>
        <w:t>,000 alternative matched case-control cohorts.</w:t>
      </w:r>
      <w:r>
        <w:rPr>
          <w:rFonts w:ascii="Arial" w:hAnsi="Arial" w:cs="Arial"/>
        </w:rPr>
        <w:t xml:space="preserve"> The same covariates utilized in each GWAS (sex and the top 20 PCs) were included in the genetic associations performed</w:t>
      </w:r>
      <w:r w:rsidRPr="007067CC">
        <w:rPr>
          <w:rFonts w:ascii="Arial" w:hAnsi="Arial" w:cs="Arial"/>
        </w:rPr>
        <w:t xml:space="preserve"> </w:t>
      </w:r>
      <w:r>
        <w:rPr>
          <w:rFonts w:ascii="Arial" w:hAnsi="Arial" w:cs="Arial"/>
        </w:rPr>
        <w:t xml:space="preserve">when using the </w:t>
      </w:r>
      <w:r w:rsidR="001377B7">
        <w:rPr>
          <w:rFonts w:ascii="Arial" w:hAnsi="Arial" w:cs="Arial"/>
        </w:rPr>
        <w:t>2</w:t>
      </w:r>
      <w:r w:rsidRPr="007067CC">
        <w:rPr>
          <w:rFonts w:ascii="Arial" w:hAnsi="Arial" w:cs="Arial"/>
        </w:rPr>
        <w:t xml:space="preserve">,000 </w:t>
      </w:r>
      <w:r>
        <w:rPr>
          <w:rFonts w:ascii="Arial" w:hAnsi="Arial" w:cs="Arial"/>
        </w:rPr>
        <w:t>alternative</w:t>
      </w:r>
      <w:r w:rsidRPr="007067CC">
        <w:rPr>
          <w:rFonts w:ascii="Arial" w:hAnsi="Arial" w:cs="Arial"/>
        </w:rPr>
        <w:t xml:space="preserve"> </w:t>
      </w:r>
      <w:r>
        <w:rPr>
          <w:rFonts w:ascii="Arial" w:hAnsi="Arial" w:cs="Arial"/>
        </w:rPr>
        <w:t xml:space="preserve">sets of matched </w:t>
      </w:r>
      <w:r w:rsidRPr="007067CC">
        <w:rPr>
          <w:rFonts w:ascii="Arial" w:hAnsi="Arial" w:cs="Arial"/>
        </w:rPr>
        <w:t>case</w:t>
      </w:r>
      <w:r>
        <w:rPr>
          <w:rFonts w:ascii="Arial" w:hAnsi="Arial" w:cs="Arial"/>
        </w:rPr>
        <w:t>/population-</w:t>
      </w:r>
      <w:r w:rsidRPr="007067CC">
        <w:rPr>
          <w:rFonts w:ascii="Arial" w:hAnsi="Arial" w:cs="Arial"/>
        </w:rPr>
        <w:t xml:space="preserve">control </w:t>
      </w:r>
      <w:r>
        <w:rPr>
          <w:rFonts w:ascii="Arial" w:hAnsi="Arial" w:cs="Arial"/>
        </w:rPr>
        <w:t xml:space="preserve">individuals. PCs used as covariates were estimated from the </w:t>
      </w:r>
      <w:r w:rsidRPr="007067CC">
        <w:rPr>
          <w:rFonts w:ascii="Arial" w:hAnsi="Arial" w:cs="Arial"/>
        </w:rPr>
        <w:t xml:space="preserve">combined HCV Consortium and </w:t>
      </w:r>
      <w:r>
        <w:rPr>
          <w:rFonts w:ascii="Arial" w:hAnsi="Arial" w:cs="Arial"/>
        </w:rPr>
        <w:t xml:space="preserve">stringent </w:t>
      </w:r>
      <w:r w:rsidRPr="007067CC">
        <w:rPr>
          <w:rFonts w:ascii="Arial" w:hAnsi="Arial" w:cs="Arial"/>
        </w:rPr>
        <w:t>QC-passed UKB controls.</w:t>
      </w:r>
    </w:p>
    <w:p w14:paraId="301949E4" w14:textId="77777777" w:rsidR="00B84766" w:rsidRDefault="00B84766" w:rsidP="00DA24DB">
      <w:pPr>
        <w:spacing w:after="80" w:line="480" w:lineRule="auto"/>
        <w:rPr>
          <w:rFonts w:ascii="Arial" w:hAnsi="Arial" w:cs="Arial"/>
          <w:i/>
          <w:iCs/>
          <w:u w:val="single"/>
        </w:rPr>
      </w:pPr>
    </w:p>
    <w:p w14:paraId="0E519047" w14:textId="744E1549" w:rsidR="00384D1E" w:rsidRDefault="00384D1E" w:rsidP="00DA24DB">
      <w:pPr>
        <w:spacing w:after="80" w:line="480" w:lineRule="auto"/>
        <w:rPr>
          <w:rFonts w:ascii="Arial" w:hAnsi="Arial" w:cs="Arial"/>
        </w:rPr>
      </w:pPr>
      <w:r w:rsidRPr="00E3133B">
        <w:rPr>
          <w:rFonts w:ascii="Arial" w:hAnsi="Arial" w:cs="Arial"/>
          <w:i/>
          <w:iCs/>
          <w:u w:val="single"/>
        </w:rPr>
        <w:t xml:space="preserve">Exploratory GWAS </w:t>
      </w:r>
      <w:r>
        <w:rPr>
          <w:rFonts w:ascii="Arial" w:hAnsi="Arial" w:cs="Arial"/>
          <w:i/>
          <w:iCs/>
          <w:u w:val="single"/>
        </w:rPr>
        <w:t>– e</w:t>
      </w:r>
      <w:r w:rsidRPr="003B3ED6">
        <w:rPr>
          <w:rFonts w:ascii="Arial" w:hAnsi="Arial" w:cs="Arial"/>
          <w:i/>
          <w:iCs/>
          <w:u w:val="single"/>
        </w:rPr>
        <w:t>xcluding individuals with hemophilia</w:t>
      </w:r>
      <w:r>
        <w:rPr>
          <w:rFonts w:ascii="Arial" w:hAnsi="Arial" w:cs="Arial"/>
        </w:rPr>
        <w:t>: Hemophilia-based exclusion was accomplished by excluding cases from any HCV consortium sub</w:t>
      </w:r>
      <w:r w:rsidR="00675AF5">
        <w:rPr>
          <w:rFonts w:ascii="Arial" w:hAnsi="Arial" w:cs="Arial"/>
        </w:rPr>
        <w:t>-</w:t>
      </w:r>
      <w:r>
        <w:rPr>
          <w:rFonts w:ascii="Arial" w:hAnsi="Arial" w:cs="Arial"/>
        </w:rPr>
        <w:t>study which used hemophilia as an inclusion criterion and their propensity score matched controls (1:10). It is possible</w:t>
      </w:r>
      <w:r w:rsidR="00675AF5">
        <w:rPr>
          <w:rFonts w:ascii="Arial" w:hAnsi="Arial" w:cs="Arial"/>
        </w:rPr>
        <w:t xml:space="preserve"> that</w:t>
      </w:r>
      <w:r>
        <w:rPr>
          <w:rFonts w:ascii="Arial" w:hAnsi="Arial" w:cs="Arial"/>
        </w:rPr>
        <w:t xml:space="preserve"> some remaining cases included in this comparison also had </w:t>
      </w:r>
      <w:r w:rsidR="00835E73">
        <w:rPr>
          <w:rFonts w:ascii="Arial" w:hAnsi="Arial" w:cs="Arial"/>
        </w:rPr>
        <w:t>hemophilia, but we were not able to exclude them since it was not phenotypically characterized and/or annotated</w:t>
      </w:r>
      <w:r>
        <w:rPr>
          <w:rFonts w:ascii="Arial" w:hAnsi="Arial" w:cs="Arial"/>
        </w:rPr>
        <w:t>.</w:t>
      </w:r>
    </w:p>
    <w:p w14:paraId="6A189D4D" w14:textId="6EFEC5BF" w:rsidR="00384D1E" w:rsidRPr="003E38FB" w:rsidRDefault="00384D1E" w:rsidP="00DA24DB">
      <w:pPr>
        <w:spacing w:after="80" w:line="480" w:lineRule="auto"/>
        <w:rPr>
          <w:rFonts w:ascii="Arial" w:hAnsi="Arial" w:cs="Arial"/>
        </w:rPr>
      </w:pPr>
      <w:r w:rsidRPr="00E3133B">
        <w:rPr>
          <w:rFonts w:ascii="Arial" w:hAnsi="Arial" w:cs="Arial"/>
          <w:i/>
          <w:iCs/>
          <w:u w:val="single"/>
        </w:rPr>
        <w:t xml:space="preserve">Exploratory GWAS </w:t>
      </w:r>
      <w:r>
        <w:rPr>
          <w:rFonts w:ascii="Arial" w:hAnsi="Arial" w:cs="Arial"/>
          <w:i/>
          <w:iCs/>
          <w:u w:val="single"/>
        </w:rPr>
        <w:t>– m</w:t>
      </w:r>
      <w:r w:rsidRPr="003E38FB">
        <w:rPr>
          <w:rFonts w:ascii="Arial" w:hAnsi="Arial" w:cs="Arial"/>
          <w:i/>
          <w:iCs/>
          <w:u w:val="single"/>
        </w:rPr>
        <w:t>inimal IBD sharing UKB controls</w:t>
      </w:r>
      <w:r w:rsidRPr="003E38FB">
        <w:rPr>
          <w:rFonts w:ascii="Arial" w:hAnsi="Arial" w:cs="Arial"/>
        </w:rPr>
        <w:t>: For the identification of pairs of UKB individuals who share identity-by-descent (IBD) proportions under 2%, we used the KING toolset.</w:t>
      </w:r>
      <w:r w:rsidRPr="003E38FB">
        <w:rPr>
          <w:rFonts w:ascii="Arial" w:hAnsi="Arial" w:cs="Arial"/>
        </w:rPr>
        <w:fldChar w:fldCharType="begin" w:fldLock="1"/>
      </w:r>
      <w:r w:rsidR="003827C7">
        <w:rPr>
          <w:rFonts w:ascii="Arial" w:hAnsi="Arial" w:cs="Arial"/>
        </w:rPr>
        <w:instrText>ADDIN CSL_CITATION {"citationItems":[{"id":"ITEM-1","itemData":{"DOI":"10.1093/bioinformatics/btq559","ISSN":"1460-2059","abstract":"Genome-wide association studies (GWASs) have been widely used to map loci contributing to variation in complex traits and risk of diseases in humans. Accurate specification of familial relationships is crucial for family-based GWAS, as well as in population-based GWAS with unknown (or unrecognized) family structure. The family structure in a GWAS should be routinely investigated using the SNP data prior to the analysis of population structure or phenotype. Existing algorithms for relationship inference have a major weakness of estimating allele frequencies at each SNP from the entire sample, under a strong assumption of homogeneous population structure. This assumption is often untenable.","author":[{"dropping-particle":"","family":"Manichaikul","given":"Ani","non-dropping-particle":"","parse-names":false,"suffix":""},{"dropping-particle":"","family":"Mychaleckyj","given":"Josyf C.","non-dropping-particle":"","parse-names":false,"suffix":""},{"dropping-particle":"","family":"Rich","given":"Stephen S.","non-dropping-particle":"","parse-names":false,"suffix":""},{"dropping-particle":"","family":"Daly","given":"Kathy","non-dropping-particle":"","parse-names":false,"suffix":""},{"dropping-particle":"","family":"Sale","given":"Michèle","non-dropping-particle":"","parse-names":false,"suffix":""},{"dropping-particle":"","family":"Chen","given":"Wei-Min","non-dropping-particle":"","parse-names":false,"suffix":""}],"container-title":"Bioinformatics","id":"ITEM-1","issue":"22","issued":{"date-parts":[["2010","11","15"]]},"page":"2867-2873","title":"Robust relationship inference in genome-wide association studies","type":"article-journal","volume":"26"},"uris":["http://www.mendeley.com/documents/?uuid=13486f20-d786-4ad7-b181-1c5fdc80e47c"]}],"mendeley":{"formattedCitation":"&lt;sup&gt;8&lt;/sup&gt;","plainTextFormattedCitation":"8","previouslyFormattedCitation":"&lt;sup&gt;8&lt;/sup&gt;"},"properties":{"noteIndex":0},"schema":"https://github.com/citation-style-language/schema/raw/master/csl-citation.json"}</w:instrText>
      </w:r>
      <w:r w:rsidRPr="003E38FB">
        <w:rPr>
          <w:rFonts w:ascii="Arial" w:hAnsi="Arial" w:cs="Arial"/>
        </w:rPr>
        <w:fldChar w:fldCharType="separate"/>
      </w:r>
      <w:r w:rsidR="00462373" w:rsidRPr="00462373">
        <w:rPr>
          <w:rFonts w:ascii="Arial" w:hAnsi="Arial" w:cs="Arial"/>
          <w:noProof/>
          <w:vertAlign w:val="superscript"/>
        </w:rPr>
        <w:t>8</w:t>
      </w:r>
      <w:r w:rsidRPr="003E38FB">
        <w:rPr>
          <w:rFonts w:ascii="Arial" w:hAnsi="Arial" w:cs="Arial"/>
        </w:rPr>
        <w:fldChar w:fldCharType="end"/>
      </w:r>
      <w:r w:rsidRPr="003E38FB">
        <w:rPr>
          <w:rFonts w:ascii="Arial" w:hAnsi="Arial" w:cs="Arial"/>
        </w:rPr>
        <w:t xml:space="preserve"> Relatedness and shared IBD proportions were estimated for the 6,666 propensity score-based matched UKB controls (1:10 ratio), identifying 217 pairs of UKB individuals who shared IBD proportions &gt;2%. After excluding 154 of these UKB controls, a total of 6,512 matched UKB controls were included in the IBD-filtered GWAS, in which no pair of UKB controls had &gt;2% shared IBD.</w:t>
      </w:r>
    </w:p>
    <w:p w14:paraId="00DC7DE2" w14:textId="2EC9D43C" w:rsidR="002230DB" w:rsidRPr="000531F5" w:rsidRDefault="002230DB" w:rsidP="00DA24DB">
      <w:pPr>
        <w:spacing w:after="80" w:line="480" w:lineRule="auto"/>
        <w:rPr>
          <w:rFonts w:ascii="Arial" w:hAnsi="Arial" w:cs="Arial"/>
          <w:b/>
          <w:bCs/>
          <w:i/>
          <w:iCs/>
          <w:u w:val="single"/>
        </w:rPr>
      </w:pPr>
      <w:r w:rsidRPr="000531F5">
        <w:rPr>
          <w:rFonts w:ascii="Arial" w:hAnsi="Arial" w:cs="Arial"/>
          <w:b/>
          <w:bCs/>
          <w:i/>
          <w:iCs/>
          <w:u w:val="single"/>
        </w:rPr>
        <w:t>Statistical analysis</w:t>
      </w:r>
    </w:p>
    <w:p w14:paraId="301AB805" w14:textId="77777777" w:rsidR="00DB33C8" w:rsidRPr="002E0447" w:rsidRDefault="00DB33C8" w:rsidP="00DA24DB">
      <w:pPr>
        <w:spacing w:after="80" w:line="480" w:lineRule="auto"/>
        <w:rPr>
          <w:rFonts w:ascii="Arial" w:hAnsi="Arial" w:cs="Arial"/>
          <w:b/>
          <w:bCs/>
        </w:rPr>
      </w:pPr>
      <w:r w:rsidRPr="002E0447">
        <w:rPr>
          <w:rFonts w:ascii="Arial" w:hAnsi="Arial" w:cs="Arial"/>
          <w:b/>
          <w:bCs/>
        </w:rPr>
        <w:t xml:space="preserve">HCV GWAS using cases and well characterized controls or population-based controls </w:t>
      </w:r>
    </w:p>
    <w:p w14:paraId="4D5784F0" w14:textId="6A0F500E" w:rsidR="00384D1E" w:rsidRDefault="00384D1E" w:rsidP="00DA24DB">
      <w:pPr>
        <w:spacing w:after="80" w:line="480" w:lineRule="auto"/>
        <w:rPr>
          <w:rFonts w:ascii="Arial" w:hAnsi="Arial" w:cs="Arial"/>
          <w:i/>
          <w:iCs/>
        </w:rPr>
      </w:pPr>
      <w:r>
        <w:rPr>
          <w:rFonts w:ascii="Arial" w:hAnsi="Arial" w:cs="Arial"/>
          <w:i/>
          <w:iCs/>
          <w:u w:val="single"/>
        </w:rPr>
        <w:t xml:space="preserve">Exploratory GWAS – </w:t>
      </w:r>
      <w:r w:rsidRPr="00626F9F">
        <w:rPr>
          <w:rFonts w:ascii="Arial" w:hAnsi="Arial" w:cs="Arial"/>
          <w:i/>
          <w:iCs/>
          <w:u w:val="single"/>
        </w:rPr>
        <w:t>Genetic Associations:</w:t>
      </w:r>
      <w:r w:rsidRPr="00626F9F">
        <w:rPr>
          <w:rFonts w:ascii="Arial" w:hAnsi="Arial" w:cs="Arial"/>
          <w:i/>
          <w:iCs/>
        </w:rPr>
        <w:t xml:space="preserve"> </w:t>
      </w:r>
    </w:p>
    <w:p w14:paraId="3193CF98" w14:textId="46595EAE" w:rsidR="00384D1E" w:rsidRDefault="00384D1E" w:rsidP="00DA24DB">
      <w:pPr>
        <w:spacing w:after="80" w:line="480" w:lineRule="auto"/>
        <w:rPr>
          <w:rFonts w:ascii="Arial" w:hAnsi="Arial" w:cs="Arial"/>
        </w:rPr>
      </w:pPr>
      <w:r w:rsidRPr="006F4EA0">
        <w:rPr>
          <w:rFonts w:ascii="Arial" w:hAnsi="Arial" w:cs="Arial"/>
        </w:rPr>
        <w:t>In addition to the</w:t>
      </w:r>
      <w:r w:rsidR="001E3DD0" w:rsidRPr="006F4EA0">
        <w:rPr>
          <w:rFonts w:ascii="Arial" w:hAnsi="Arial" w:cs="Arial"/>
        </w:rPr>
        <w:t xml:space="preserve"> main</w:t>
      </w:r>
      <w:r w:rsidRPr="006F4EA0">
        <w:rPr>
          <w:rFonts w:ascii="Arial" w:hAnsi="Arial" w:cs="Arial"/>
        </w:rPr>
        <w:t xml:space="preserve"> GWAS performed comparing </w:t>
      </w:r>
      <w:r w:rsidR="006F4EA0" w:rsidRPr="006F4EA0">
        <w:rPr>
          <w:rFonts w:ascii="Arial" w:hAnsi="Arial" w:cs="Arial"/>
        </w:rPr>
        <w:t xml:space="preserve">702 </w:t>
      </w:r>
      <w:r w:rsidRPr="006F4EA0">
        <w:rPr>
          <w:rFonts w:ascii="Arial" w:hAnsi="Arial" w:cs="Arial"/>
        </w:rPr>
        <w:t xml:space="preserve">HCV clearance cases to </w:t>
      </w:r>
      <w:r w:rsidR="006F4EA0" w:rsidRPr="00213F08">
        <w:rPr>
          <w:rFonts w:ascii="Arial" w:hAnsi="Arial" w:cs="Arial"/>
        </w:rPr>
        <w:t>370,702</w:t>
      </w:r>
      <w:r w:rsidR="006F4EA0" w:rsidRPr="006F4EA0">
        <w:rPr>
          <w:rFonts w:ascii="Arial" w:hAnsi="Arial" w:cs="Arial"/>
        </w:rPr>
        <w:t xml:space="preserve"> </w:t>
      </w:r>
      <w:r w:rsidRPr="006F4EA0">
        <w:rPr>
          <w:rFonts w:ascii="Arial" w:hAnsi="Arial" w:cs="Arial"/>
        </w:rPr>
        <w:t>ancestry-matched UKB controls, REGENIE was used for the GWAS comparing HCV clearance cases to the stringent QC-passed UKB controls. The whole genome penalized regression step of REGENIE was fit using pruned markers for each GWAS (N~90,000 markers), while all QC-passed imputed markers were included in logistic regression</w:t>
      </w:r>
      <w:r w:rsidRPr="003E38FB">
        <w:rPr>
          <w:rFonts w:ascii="Arial" w:hAnsi="Arial" w:cs="Arial"/>
        </w:rPr>
        <w:t xml:space="preserve"> score-based association testing.</w:t>
      </w:r>
      <w:r>
        <w:rPr>
          <w:rFonts w:ascii="Arial" w:hAnsi="Arial" w:cs="Arial"/>
        </w:rPr>
        <w:t xml:space="preserve"> As extreme case-control imbalances were not an issue for the</w:t>
      </w:r>
      <w:r w:rsidR="00C77278">
        <w:rPr>
          <w:rFonts w:ascii="Arial" w:hAnsi="Arial" w:cs="Arial"/>
        </w:rPr>
        <w:t xml:space="preserve"> </w:t>
      </w:r>
      <w:r>
        <w:rPr>
          <w:rFonts w:ascii="Arial" w:hAnsi="Arial" w:cs="Arial"/>
        </w:rPr>
        <w:t xml:space="preserve">matched </w:t>
      </w:r>
      <w:r w:rsidR="00C77278">
        <w:rPr>
          <w:rFonts w:ascii="Arial" w:hAnsi="Arial" w:cs="Arial"/>
        </w:rPr>
        <w:t xml:space="preserve">case-control </w:t>
      </w:r>
      <w:r>
        <w:rPr>
          <w:rFonts w:ascii="Arial" w:hAnsi="Arial" w:cs="Arial"/>
        </w:rPr>
        <w:t xml:space="preserve">exploratory GWAS, these GWAS were performed via logistic regression in </w:t>
      </w:r>
      <w:r w:rsidRPr="007067CC">
        <w:rPr>
          <w:rFonts w:ascii="Arial" w:hAnsi="Arial" w:cs="Arial"/>
        </w:rPr>
        <w:t>Plink.</w:t>
      </w:r>
      <w:r w:rsidRPr="007067CC">
        <w:rPr>
          <w:rFonts w:ascii="Arial" w:hAnsi="Arial" w:cs="Arial"/>
        </w:rPr>
        <w:fldChar w:fldCharType="begin" w:fldLock="1"/>
      </w:r>
      <w:r w:rsidR="003827C7">
        <w:rPr>
          <w:rFonts w:ascii="Arial" w:hAnsi="Arial" w:cs="Arial"/>
        </w:rPr>
        <w:instrText>ADDIN CSL_CITATION {"citationItems":[{"id":"ITEM-1","itemData":{"DOI":"10.1186/s13742-015-0047-8","ISBN":"1374201500478","ISSN":"2047-217X","PMID":"25722852","abstract":"BACKGROUND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 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 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use.","author":[{"dropping-particle":"","family":"Chang","given":"Christopher C","non-dropping-particle":"","parse-names":false,"suffix":""},{"dropping-particle":"","family":"Chow","given":"Carson C","non-dropping-particle":"","parse-names":false,"suffix":""},{"dropping-particle":"","family":"Tellier","given":"Laurent Cam","non-dropping-particle":"","parse-names":false,"suffix":""},{"dropping-particle":"","family":"Vattikuti","given":"Shashaank","non-dropping-particle":"","parse-names":false,"suffix":""},{"dropping-particle":"","family":"Purcell","given":"Shaun M","non-dropping-particle":"","parse-names":false,"suffix":""},{"dropping-particle":"","family":"Lee","given":"James J","non-dropping-particle":"","parse-names":false,"suffix":""}],"container-title":"GigaScience","id":"ITEM-1","issue":"1","issued":{"date-parts":[["2015","12","25"]]},"page":"7","title":"Second-generation PLINK: rising to the challenge of larger and richer datasets","type":"article-journal","volume":"4"},"uris":["http://www.mendeley.com/documents/?uuid=93a538e5-4005-4946-8c56-b198a07ba46b"]},{"id":"ITEM-2","itemData":{"DOI":"10.1086/519795","ISSN":"00029297","PMID":"17701901","abstract":"Whole-genome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Genetics","id":"ITEM-2","issue":"3","issued":{"date-parts":[["2007","9"]]},"page":"559-575","title":"PLINK: A tool set for whole-genome association and population-based linkage analyses","type":"article-journal","volume":"81"},"uris":["http://www.mendeley.com/documents/?uuid=bf47f975-b0ba-4fad-b491-045348a162f3"]}],"mendeley":{"formattedCitation":"&lt;sup&gt;9,10&lt;/sup&gt;","plainTextFormattedCitation":"9,10","previouslyFormattedCitation":"&lt;sup&gt;9,10&lt;/sup&gt;"},"properties":{"noteIndex":0},"schema":"https://github.com/citation-style-language/schema/raw/master/csl-citation.json"}</w:instrText>
      </w:r>
      <w:r w:rsidRPr="007067CC">
        <w:rPr>
          <w:rFonts w:ascii="Arial" w:hAnsi="Arial" w:cs="Arial"/>
        </w:rPr>
        <w:fldChar w:fldCharType="separate"/>
      </w:r>
      <w:r w:rsidR="00462373" w:rsidRPr="00462373">
        <w:rPr>
          <w:rFonts w:ascii="Arial" w:hAnsi="Arial" w:cs="Arial"/>
          <w:noProof/>
          <w:vertAlign w:val="superscript"/>
        </w:rPr>
        <w:t>9,10</w:t>
      </w:r>
      <w:r w:rsidRPr="007067CC">
        <w:rPr>
          <w:rFonts w:ascii="Arial" w:hAnsi="Arial" w:cs="Arial"/>
        </w:rPr>
        <w:fldChar w:fldCharType="end"/>
      </w:r>
      <w:r>
        <w:rPr>
          <w:rFonts w:ascii="Arial" w:hAnsi="Arial" w:cs="Arial"/>
        </w:rPr>
        <w:t xml:space="preserve"> For all GWAS, sex and the top 20 PCs were included as covariates.</w:t>
      </w:r>
    </w:p>
    <w:p w14:paraId="0E8FBCFC" w14:textId="2B45B963" w:rsidR="00384D1E" w:rsidRPr="00E3133B" w:rsidRDefault="00384D1E" w:rsidP="00DA24DB">
      <w:pPr>
        <w:spacing w:after="80" w:line="480" w:lineRule="auto"/>
        <w:rPr>
          <w:rFonts w:ascii="Arial" w:hAnsi="Arial" w:cs="Arial"/>
          <w:i/>
          <w:iCs/>
          <w:u w:val="single"/>
        </w:rPr>
      </w:pPr>
      <w:r w:rsidRPr="00E3133B">
        <w:rPr>
          <w:rFonts w:ascii="Arial" w:hAnsi="Arial" w:cs="Arial"/>
          <w:i/>
          <w:iCs/>
          <w:u w:val="single"/>
        </w:rPr>
        <w:t>Exploratory GWAS – Heterogeneity of effect estimates:</w:t>
      </w:r>
    </w:p>
    <w:p w14:paraId="3B51BCF4" w14:textId="074DAB85" w:rsidR="00384D1E" w:rsidRDefault="00384D1E" w:rsidP="00DA24DB">
      <w:pPr>
        <w:spacing w:line="480" w:lineRule="auto"/>
        <w:rPr>
          <w:rFonts w:ascii="Arial" w:hAnsi="Arial" w:cs="Arial"/>
        </w:rPr>
      </w:pPr>
      <w:r>
        <w:rPr>
          <w:rFonts w:ascii="Arial" w:hAnsi="Arial" w:cs="Arial"/>
        </w:rPr>
        <w:lastRenderedPageBreak/>
        <w:t xml:space="preserve">To assess </w:t>
      </w:r>
      <w:r w:rsidRPr="007067CC">
        <w:rPr>
          <w:rFonts w:ascii="Arial" w:hAnsi="Arial" w:cs="Arial"/>
        </w:rPr>
        <w:t xml:space="preserve">whether the observed effect estimates </w:t>
      </w:r>
      <w:r>
        <w:rPr>
          <w:rFonts w:ascii="Arial" w:hAnsi="Arial" w:cs="Arial"/>
        </w:rPr>
        <w:t>differed between the cases/population-based controls</w:t>
      </w:r>
      <w:r w:rsidRPr="007067CC">
        <w:rPr>
          <w:rFonts w:ascii="Arial" w:hAnsi="Arial" w:cs="Arial"/>
        </w:rPr>
        <w:t xml:space="preserve"> </w:t>
      </w:r>
      <w:r>
        <w:rPr>
          <w:rFonts w:ascii="Arial" w:hAnsi="Arial" w:cs="Arial"/>
        </w:rPr>
        <w:t>and cases/</w:t>
      </w:r>
      <w:r w:rsidRPr="007067CC">
        <w:rPr>
          <w:rFonts w:ascii="Arial" w:hAnsi="Arial" w:cs="Arial"/>
        </w:rPr>
        <w:t>stringent QC</w:t>
      </w:r>
      <w:r>
        <w:rPr>
          <w:rFonts w:ascii="Arial" w:hAnsi="Arial" w:cs="Arial"/>
        </w:rPr>
        <w:t xml:space="preserve"> passed population-based controls w</w:t>
      </w:r>
      <w:r w:rsidRPr="007067CC">
        <w:rPr>
          <w:rFonts w:ascii="Arial" w:hAnsi="Arial" w:cs="Arial"/>
        </w:rPr>
        <w:t>e</w:t>
      </w:r>
      <w:r>
        <w:rPr>
          <w:rFonts w:ascii="Arial" w:hAnsi="Arial" w:cs="Arial"/>
        </w:rPr>
        <w:t xml:space="preserve"> </w:t>
      </w:r>
      <w:r w:rsidRPr="007067CC">
        <w:rPr>
          <w:rFonts w:ascii="Arial" w:hAnsi="Arial" w:cs="Arial"/>
        </w:rPr>
        <w:t xml:space="preserve">performed Cochran’s </w:t>
      </w:r>
      <w:r w:rsidRPr="007067CC">
        <w:rPr>
          <w:rFonts w:ascii="Arial" w:hAnsi="Arial" w:cs="Arial"/>
          <w:i/>
          <w:iCs/>
        </w:rPr>
        <w:t>Q</w:t>
      </w:r>
      <w:r w:rsidRPr="007067CC">
        <w:rPr>
          <w:rFonts w:ascii="Arial" w:hAnsi="Arial" w:cs="Arial"/>
        </w:rPr>
        <w:t xml:space="preserve"> test of heterogeneity </w:t>
      </w:r>
      <w:r>
        <w:rPr>
          <w:rFonts w:ascii="Arial" w:hAnsi="Arial" w:cs="Arial"/>
        </w:rPr>
        <w:t>using</w:t>
      </w:r>
      <w:r w:rsidRPr="007067CC">
        <w:rPr>
          <w:rFonts w:ascii="Arial" w:hAnsi="Arial" w:cs="Arial"/>
        </w:rPr>
        <w:t xml:space="preserve"> METAL</w:t>
      </w:r>
      <w:r>
        <w:rPr>
          <w:rFonts w:ascii="Arial" w:hAnsi="Arial" w:cs="Arial"/>
        </w:rPr>
        <w:t xml:space="preserve">. </w:t>
      </w:r>
    </w:p>
    <w:p w14:paraId="1994C901" w14:textId="6CBA0DB5" w:rsidR="00B17DF9" w:rsidRDefault="00017602" w:rsidP="00DA24DB">
      <w:pPr>
        <w:spacing w:after="80" w:line="480" w:lineRule="auto"/>
        <w:rPr>
          <w:rFonts w:ascii="Arial" w:hAnsi="Arial" w:cs="Arial"/>
        </w:rPr>
      </w:pPr>
      <w:r>
        <w:rPr>
          <w:rFonts w:ascii="Arial" w:hAnsi="Arial" w:cs="Arial"/>
          <w:i/>
          <w:iCs/>
          <w:u w:val="single"/>
        </w:rPr>
        <w:t>Variability</w:t>
      </w:r>
      <w:r w:rsidRPr="001876EE">
        <w:rPr>
          <w:rFonts w:ascii="Arial" w:hAnsi="Arial" w:cs="Arial"/>
          <w:i/>
          <w:iCs/>
          <w:u w:val="single"/>
        </w:rPr>
        <w:t xml:space="preserve"> </w:t>
      </w:r>
      <w:r w:rsidR="0091523D">
        <w:rPr>
          <w:rFonts w:ascii="Arial" w:hAnsi="Arial" w:cs="Arial"/>
          <w:i/>
          <w:iCs/>
          <w:u w:val="single"/>
        </w:rPr>
        <w:t xml:space="preserve">of estimated effects </w:t>
      </w:r>
      <w:r w:rsidR="00CF2411">
        <w:rPr>
          <w:rFonts w:ascii="Arial" w:hAnsi="Arial" w:cs="Arial"/>
          <w:i/>
          <w:iCs/>
          <w:u w:val="single"/>
        </w:rPr>
        <w:t>across</w:t>
      </w:r>
      <w:r w:rsidR="00CF2411" w:rsidRPr="001876EE">
        <w:rPr>
          <w:rFonts w:ascii="Arial" w:hAnsi="Arial" w:cs="Arial"/>
          <w:i/>
          <w:iCs/>
          <w:u w:val="single"/>
        </w:rPr>
        <w:t xml:space="preserve"> </w:t>
      </w:r>
      <w:bookmarkStart w:id="1" w:name="_Hlk102657124"/>
      <w:r w:rsidR="0091523D">
        <w:rPr>
          <w:rFonts w:ascii="Arial" w:hAnsi="Arial" w:cs="Arial"/>
          <w:i/>
          <w:iCs/>
          <w:u w:val="single"/>
        </w:rPr>
        <w:t xml:space="preserve">alternative </w:t>
      </w:r>
      <w:r w:rsidR="00CF2411" w:rsidRPr="001876EE">
        <w:rPr>
          <w:rFonts w:ascii="Arial" w:hAnsi="Arial" w:cs="Arial"/>
          <w:i/>
          <w:iCs/>
          <w:u w:val="single"/>
        </w:rPr>
        <w:t>matched case-control cohorts</w:t>
      </w:r>
      <w:bookmarkEnd w:id="1"/>
      <w:r w:rsidR="00CF2411">
        <w:rPr>
          <w:rFonts w:ascii="Arial" w:hAnsi="Arial" w:cs="Arial"/>
          <w:i/>
          <w:iCs/>
          <w:u w:val="single"/>
        </w:rPr>
        <w:t>:</w:t>
      </w:r>
      <w:r w:rsidR="00CF2411" w:rsidRPr="001876EE">
        <w:rPr>
          <w:rFonts w:ascii="Arial" w:hAnsi="Arial" w:cs="Arial"/>
        </w:rPr>
        <w:t xml:space="preserve"> </w:t>
      </w:r>
    </w:p>
    <w:p w14:paraId="01349972" w14:textId="2D8A3744" w:rsidR="00384D1E" w:rsidRDefault="00B17DF9" w:rsidP="00DA24DB">
      <w:pPr>
        <w:spacing w:after="80" w:line="480" w:lineRule="auto"/>
        <w:rPr>
          <w:rFonts w:ascii="Arial" w:hAnsi="Arial" w:cs="Arial"/>
        </w:rPr>
      </w:pPr>
      <w:r>
        <w:rPr>
          <w:rFonts w:ascii="Arial" w:hAnsi="Arial" w:cs="Arial"/>
        </w:rPr>
        <w:t>W</w:t>
      </w:r>
      <w:r w:rsidR="00384D1E" w:rsidRPr="007067CC">
        <w:rPr>
          <w:rFonts w:ascii="Arial" w:hAnsi="Arial" w:cs="Arial"/>
        </w:rPr>
        <w:t xml:space="preserve">e performed </w:t>
      </w:r>
      <w:r w:rsidR="00384D1E">
        <w:rPr>
          <w:rFonts w:ascii="Arial" w:hAnsi="Arial" w:cs="Arial"/>
        </w:rPr>
        <w:t xml:space="preserve">multiple </w:t>
      </w:r>
      <w:r w:rsidR="00384D1E" w:rsidRPr="007067CC">
        <w:rPr>
          <w:rFonts w:ascii="Arial" w:hAnsi="Arial" w:cs="Arial"/>
        </w:rPr>
        <w:t xml:space="preserve">logistic regressions </w:t>
      </w:r>
      <w:r w:rsidR="00384D1E">
        <w:rPr>
          <w:rFonts w:ascii="Arial" w:hAnsi="Arial" w:cs="Arial"/>
        </w:rPr>
        <w:t xml:space="preserve">with the </w:t>
      </w:r>
      <w:proofErr w:type="spellStart"/>
      <w:r w:rsidR="00384D1E">
        <w:rPr>
          <w:rFonts w:ascii="Arial" w:hAnsi="Arial" w:cs="Arial"/>
        </w:rPr>
        <w:t>speedglm</w:t>
      </w:r>
      <w:proofErr w:type="spellEnd"/>
      <w:r w:rsidR="00384D1E">
        <w:rPr>
          <w:rFonts w:ascii="Arial" w:hAnsi="Arial" w:cs="Arial"/>
        </w:rPr>
        <w:t xml:space="preserve"> package in</w:t>
      </w:r>
      <w:r w:rsidR="00384D1E" w:rsidRPr="007067CC">
        <w:rPr>
          <w:rFonts w:ascii="Arial" w:hAnsi="Arial" w:cs="Arial"/>
        </w:rPr>
        <w:t xml:space="preserve"> R </w:t>
      </w:r>
      <w:r w:rsidR="00384D1E">
        <w:rPr>
          <w:rFonts w:ascii="Arial" w:hAnsi="Arial" w:cs="Arial"/>
        </w:rPr>
        <w:t>using</w:t>
      </w:r>
      <w:r w:rsidR="00384D1E" w:rsidRPr="007067CC">
        <w:rPr>
          <w:rFonts w:ascii="Arial" w:hAnsi="Arial" w:cs="Arial"/>
        </w:rPr>
        <w:t xml:space="preserve"> </w:t>
      </w:r>
      <w:r w:rsidR="00384D1E">
        <w:rPr>
          <w:rFonts w:ascii="Arial" w:hAnsi="Arial" w:cs="Arial"/>
        </w:rPr>
        <w:t xml:space="preserve">the genotypes of the top associated markers across </w:t>
      </w:r>
      <w:r w:rsidR="00384D1E" w:rsidRPr="007067CC">
        <w:rPr>
          <w:rFonts w:ascii="Arial" w:hAnsi="Arial" w:cs="Arial"/>
        </w:rPr>
        <w:t>four loci of interest</w:t>
      </w:r>
      <w:r w:rsidR="00384D1E">
        <w:rPr>
          <w:rFonts w:ascii="Arial" w:hAnsi="Arial" w:cs="Arial"/>
        </w:rPr>
        <w:t xml:space="preserve"> across </w:t>
      </w:r>
      <w:r w:rsidR="00641E56">
        <w:rPr>
          <w:rFonts w:ascii="Arial" w:hAnsi="Arial" w:cs="Arial"/>
        </w:rPr>
        <w:t>the 2</w:t>
      </w:r>
      <w:r w:rsidR="00384D1E">
        <w:rPr>
          <w:rFonts w:ascii="Arial" w:hAnsi="Arial" w:cs="Arial"/>
        </w:rPr>
        <w:t>,000 alternatively matched case-control cohorts</w:t>
      </w:r>
      <w:r w:rsidR="00384D1E" w:rsidRPr="007067CC">
        <w:rPr>
          <w:rFonts w:ascii="Arial" w:hAnsi="Arial" w:cs="Arial"/>
        </w:rPr>
        <w:t xml:space="preserve">. In addition to </w:t>
      </w:r>
      <w:r w:rsidR="00384D1E">
        <w:rPr>
          <w:rFonts w:ascii="Arial" w:hAnsi="Arial" w:cs="Arial"/>
        </w:rPr>
        <w:t>visual</w:t>
      </w:r>
      <w:r w:rsidR="00384D1E" w:rsidRPr="007067CC">
        <w:rPr>
          <w:rFonts w:ascii="Arial" w:hAnsi="Arial" w:cs="Arial"/>
        </w:rPr>
        <w:t xml:space="preserve"> </w:t>
      </w:r>
      <w:r w:rsidR="00384D1E">
        <w:rPr>
          <w:rFonts w:ascii="Arial" w:hAnsi="Arial" w:cs="Arial"/>
        </w:rPr>
        <w:t xml:space="preserve">comparisons </w:t>
      </w:r>
      <w:r w:rsidR="00384D1E" w:rsidRPr="007067CC">
        <w:rPr>
          <w:rFonts w:ascii="Arial" w:hAnsi="Arial" w:cs="Arial"/>
        </w:rPr>
        <w:t xml:space="preserve">of the resulting effect estimate distribution relative to estimates obtained from </w:t>
      </w:r>
      <w:r w:rsidR="00384D1E">
        <w:rPr>
          <w:rFonts w:ascii="Arial" w:hAnsi="Arial" w:cs="Arial"/>
        </w:rPr>
        <w:t xml:space="preserve">our </w:t>
      </w:r>
      <w:r w:rsidR="00F31246">
        <w:rPr>
          <w:rFonts w:ascii="Arial" w:hAnsi="Arial" w:cs="Arial"/>
        </w:rPr>
        <w:t xml:space="preserve">main </w:t>
      </w:r>
      <w:r w:rsidR="00384D1E" w:rsidRPr="007067CC">
        <w:rPr>
          <w:rFonts w:ascii="Arial" w:hAnsi="Arial" w:cs="Arial"/>
        </w:rPr>
        <w:t xml:space="preserve">GWAS, </w:t>
      </w:r>
      <w:r w:rsidR="00384D1E">
        <w:rPr>
          <w:rFonts w:ascii="Arial" w:hAnsi="Arial" w:cs="Arial"/>
        </w:rPr>
        <w:t xml:space="preserve">we compared the variability in effect estimates across each locus by estimating the </w:t>
      </w:r>
      <w:bookmarkStart w:id="2" w:name="_Hlk102656721"/>
      <w:r w:rsidR="00384D1E">
        <w:rPr>
          <w:rFonts w:ascii="Arial" w:hAnsi="Arial" w:cs="Arial"/>
        </w:rPr>
        <w:t>coefficient of variation (</w:t>
      </w:r>
      <w:proofErr w:type="spellStart"/>
      <w:r w:rsidR="00384D1E">
        <w:rPr>
          <w:rFonts w:ascii="Arial" w:hAnsi="Arial" w:cs="Arial"/>
        </w:rPr>
        <w:t>CoV</w:t>
      </w:r>
      <w:proofErr w:type="spellEnd"/>
      <w:r w:rsidR="00384D1E">
        <w:rPr>
          <w:rFonts w:ascii="Arial" w:hAnsi="Arial" w:cs="Arial"/>
        </w:rPr>
        <w:t>)</w:t>
      </w:r>
      <w:r w:rsidR="00A24E8B">
        <w:rPr>
          <w:rFonts w:ascii="Arial" w:hAnsi="Arial" w:cs="Arial"/>
        </w:rPr>
        <w:t xml:space="preserve"> </w:t>
      </w:r>
      <w:bookmarkEnd w:id="2"/>
      <w:r w:rsidR="00A24E8B">
        <w:rPr>
          <w:rFonts w:ascii="Arial" w:hAnsi="Arial" w:cs="Arial"/>
        </w:rPr>
        <w:t xml:space="preserve">which </w:t>
      </w:r>
      <w:r w:rsidR="00384D1E">
        <w:rPr>
          <w:rFonts w:ascii="Arial" w:hAnsi="Arial" w:cs="Arial"/>
        </w:rPr>
        <w:t>partially accounts for the difference in MAF</w:t>
      </w:r>
      <w:r w:rsidR="008105E2">
        <w:rPr>
          <w:rFonts w:ascii="Arial" w:hAnsi="Arial" w:cs="Arial"/>
        </w:rPr>
        <w:t>s,</w:t>
      </w:r>
      <w:r w:rsidR="00C369BD">
        <w:rPr>
          <w:rFonts w:ascii="Arial" w:hAnsi="Arial" w:cs="Arial"/>
        </w:rPr>
        <w:t xml:space="preserve"> thereby </w:t>
      </w:r>
      <w:r w:rsidR="0099014A">
        <w:rPr>
          <w:rFonts w:ascii="Arial" w:hAnsi="Arial" w:cs="Arial"/>
        </w:rPr>
        <w:t>allow</w:t>
      </w:r>
      <w:r w:rsidR="008105E2">
        <w:rPr>
          <w:rFonts w:ascii="Arial" w:hAnsi="Arial" w:cs="Arial"/>
        </w:rPr>
        <w:t>ing the</w:t>
      </w:r>
      <w:r w:rsidR="0099014A">
        <w:rPr>
          <w:rFonts w:ascii="Arial" w:hAnsi="Arial" w:cs="Arial"/>
        </w:rPr>
        <w:t xml:space="preserve"> comparison </w:t>
      </w:r>
      <w:r w:rsidR="008105E2">
        <w:rPr>
          <w:rFonts w:ascii="Arial" w:hAnsi="Arial" w:cs="Arial"/>
        </w:rPr>
        <w:t xml:space="preserve">of variability estimates </w:t>
      </w:r>
      <w:r w:rsidR="0099014A">
        <w:rPr>
          <w:rFonts w:ascii="Arial" w:hAnsi="Arial" w:cs="Arial"/>
        </w:rPr>
        <w:t>between loci</w:t>
      </w:r>
      <w:r w:rsidR="008105E2">
        <w:rPr>
          <w:rFonts w:ascii="Arial" w:hAnsi="Arial" w:cs="Arial"/>
        </w:rPr>
        <w:t xml:space="preserve"> of different MAFs</w:t>
      </w:r>
      <w:r w:rsidR="00384D1E">
        <w:rPr>
          <w:rFonts w:ascii="Arial" w:hAnsi="Arial" w:cs="Arial"/>
        </w:rPr>
        <w:t>. W</w:t>
      </w:r>
      <w:r w:rsidR="00384D1E" w:rsidRPr="007067CC">
        <w:rPr>
          <w:rFonts w:ascii="Arial" w:hAnsi="Arial" w:cs="Arial"/>
        </w:rPr>
        <w:t xml:space="preserve">e </w:t>
      </w:r>
      <w:r w:rsidR="00384D1E">
        <w:rPr>
          <w:rFonts w:ascii="Arial" w:hAnsi="Arial" w:cs="Arial"/>
        </w:rPr>
        <w:t xml:space="preserve">also </w:t>
      </w:r>
      <w:r w:rsidR="00384D1E" w:rsidRPr="007067CC">
        <w:rPr>
          <w:rFonts w:ascii="Arial" w:hAnsi="Arial" w:cs="Arial"/>
        </w:rPr>
        <w:t>performed two-way analysis of variance tests</w:t>
      </w:r>
      <w:r w:rsidR="00384D1E" w:rsidRPr="003A7E21">
        <w:rPr>
          <w:rFonts w:ascii="Arial" w:hAnsi="Arial" w:cs="Arial"/>
        </w:rPr>
        <w:t xml:space="preserve"> </w:t>
      </w:r>
      <w:r w:rsidR="00384D1E" w:rsidRPr="007067CC">
        <w:rPr>
          <w:rFonts w:ascii="Arial" w:hAnsi="Arial" w:cs="Arial"/>
        </w:rPr>
        <w:t xml:space="preserve">to determine whether matching ratio or distance metric was significantly associated with the variation in </w:t>
      </w:r>
      <w:r w:rsidR="00384D1E">
        <w:rPr>
          <w:rFonts w:ascii="Arial" w:hAnsi="Arial" w:cs="Arial"/>
        </w:rPr>
        <w:t xml:space="preserve">marker-specific </w:t>
      </w:r>
      <w:r w:rsidR="00384D1E" w:rsidRPr="00E73B1D">
        <w:rPr>
          <w:rFonts w:ascii="Arial" w:hAnsi="Arial" w:cs="Arial"/>
        </w:rPr>
        <w:t>effect estimates and Anderson-Darling k-Sample tests to determine whether the use of different matching approaches or ratios resulted in significantly different distributions of marker-specific effect estimates.</w:t>
      </w:r>
      <w:r w:rsidR="00384D1E" w:rsidRPr="00E73B1D">
        <w:rPr>
          <w:rFonts w:ascii="Arial" w:hAnsi="Arial" w:cs="Arial"/>
        </w:rPr>
        <w:fldChar w:fldCharType="begin" w:fldLock="1"/>
      </w:r>
      <w:r w:rsidR="003827C7">
        <w:rPr>
          <w:rFonts w:ascii="Arial" w:hAnsi="Arial" w:cs="Arial"/>
        </w:rPr>
        <w:instrText>ADDIN CSL_CITATION {"citationItems":[{"id":"ITEM-1","itemData":{"DOI":"10.2307/2533862","ISSN":"0006341X","author":[{"dropping-particle":"","family":"Baumgartner","given":"W","non-dropping-particle":"","parse-names":false,"suffix":""},{"dropping-particle":"","family":"WeiB","given":"P.","non-dropping-particle":"","parse-names":false,"suffix":""},{"dropping-particle":"","family":"Schindler","given":"H.","non-dropping-particle":"","parse-names":false,"suffix":""}],"container-title":"Biometrics","id":"ITEM-1","issue":"3","issued":{"date-parts":[["1998","9"]]},"page":"1129","title":"A Nonparametric Test for the General Two-Sample Problem","type":"article-journal","volume":"54"},"uris":["http://www.mendeley.com/documents/?uuid=e360590e-1989-473e-bb6e-5e10660c0d0c"]}],"mendeley":{"formattedCitation":"&lt;sup&gt;11&lt;/sup&gt;","plainTextFormattedCitation":"11","previouslyFormattedCitation":"&lt;sup&gt;11&lt;/sup&gt;"},"properties":{"noteIndex":0},"schema":"https://github.com/citation-style-language/schema/raw/master/csl-citation.json"}</w:instrText>
      </w:r>
      <w:r w:rsidR="00384D1E" w:rsidRPr="00E73B1D">
        <w:rPr>
          <w:rFonts w:ascii="Arial" w:hAnsi="Arial" w:cs="Arial"/>
        </w:rPr>
        <w:fldChar w:fldCharType="separate"/>
      </w:r>
      <w:r w:rsidR="00462373" w:rsidRPr="00462373">
        <w:rPr>
          <w:rFonts w:ascii="Arial" w:hAnsi="Arial" w:cs="Arial"/>
          <w:noProof/>
          <w:vertAlign w:val="superscript"/>
        </w:rPr>
        <w:t>11</w:t>
      </w:r>
      <w:r w:rsidR="00384D1E" w:rsidRPr="00E73B1D">
        <w:rPr>
          <w:rFonts w:ascii="Arial" w:hAnsi="Arial" w:cs="Arial"/>
        </w:rPr>
        <w:fldChar w:fldCharType="end"/>
      </w:r>
    </w:p>
    <w:p w14:paraId="1E51513D" w14:textId="2F60C187" w:rsidR="00F31246" w:rsidRPr="000531F5" w:rsidRDefault="00F31246" w:rsidP="00DA24DB">
      <w:pPr>
        <w:spacing w:line="480" w:lineRule="auto"/>
        <w:rPr>
          <w:rFonts w:ascii="Arial" w:hAnsi="Arial" w:cs="Arial"/>
          <w:b/>
          <w:bCs/>
          <w:i/>
          <w:iCs/>
          <w:u w:val="single"/>
        </w:rPr>
      </w:pPr>
      <w:r w:rsidRPr="000531F5">
        <w:rPr>
          <w:rFonts w:ascii="Arial" w:hAnsi="Arial" w:cs="Arial"/>
          <w:b/>
          <w:bCs/>
          <w:i/>
          <w:iCs/>
          <w:u w:val="single"/>
        </w:rPr>
        <w:t>Supplementary Results:</w:t>
      </w:r>
    </w:p>
    <w:p w14:paraId="68D82F66" w14:textId="77777777" w:rsidR="00094C57" w:rsidRPr="00233F1F" w:rsidRDefault="00094C57" w:rsidP="00DA24DB">
      <w:pPr>
        <w:spacing w:after="80" w:line="480" w:lineRule="auto"/>
        <w:rPr>
          <w:rFonts w:ascii="Arial" w:hAnsi="Arial" w:cs="Arial"/>
          <w:b/>
          <w:bCs/>
          <w:sz w:val="16"/>
          <w:szCs w:val="16"/>
        </w:rPr>
      </w:pPr>
      <w:r>
        <w:rPr>
          <w:rFonts w:ascii="Arial" w:hAnsi="Arial" w:cs="Arial"/>
          <w:b/>
          <w:bCs/>
        </w:rPr>
        <w:t>Simulations to characterize pathogen exposure-associated selection bias</w:t>
      </w:r>
    </w:p>
    <w:p w14:paraId="489F4208" w14:textId="65521C40" w:rsidR="00094C57" w:rsidRDefault="00094C57" w:rsidP="00DA24DB">
      <w:pPr>
        <w:spacing w:after="80" w:line="480" w:lineRule="auto"/>
        <w:rPr>
          <w:rFonts w:ascii="Arial" w:hAnsi="Arial" w:cs="Arial"/>
          <w:bCs/>
        </w:rPr>
      </w:pPr>
      <w:r>
        <w:rPr>
          <w:rFonts w:ascii="Arial" w:hAnsi="Arial" w:cs="Arial"/>
          <w:bCs/>
          <w:i/>
          <w:iCs/>
          <w:u w:val="single"/>
        </w:rPr>
        <w:t>Additional s</w:t>
      </w:r>
      <w:r w:rsidRPr="00BA0AF7">
        <w:rPr>
          <w:rFonts w:ascii="Arial" w:hAnsi="Arial" w:cs="Arial"/>
          <w:bCs/>
          <w:i/>
          <w:iCs/>
          <w:u w:val="single"/>
        </w:rPr>
        <w:t>imulation scenario</w:t>
      </w:r>
      <w:r>
        <w:rPr>
          <w:rFonts w:ascii="Arial" w:hAnsi="Arial" w:cs="Arial"/>
          <w:bCs/>
          <w:i/>
          <w:iCs/>
          <w:u w:val="single"/>
        </w:rPr>
        <w:t xml:space="preserve"> (Scenario 3)</w:t>
      </w:r>
      <w:r w:rsidRPr="00BA0AF7">
        <w:rPr>
          <w:rFonts w:ascii="Arial" w:hAnsi="Arial" w:cs="Arial"/>
          <w:bCs/>
          <w:i/>
          <w:iCs/>
          <w:u w:val="single"/>
        </w:rPr>
        <w:t xml:space="preserve"> </w:t>
      </w:r>
      <w:r>
        <w:rPr>
          <w:rFonts w:ascii="Arial" w:hAnsi="Arial" w:cs="Arial"/>
          <w:bCs/>
          <w:i/>
          <w:iCs/>
          <w:u w:val="single"/>
        </w:rPr>
        <w:t>– Effects of the prevalence of the outcome</w:t>
      </w:r>
      <w:r w:rsidRPr="00BA0AF7">
        <w:rPr>
          <w:rFonts w:ascii="Arial" w:hAnsi="Arial" w:cs="Arial"/>
          <w:bCs/>
          <w:i/>
          <w:iCs/>
          <w:u w:val="single"/>
        </w:rPr>
        <w:t>:</w:t>
      </w:r>
      <w:r>
        <w:rPr>
          <w:rFonts w:ascii="Arial" w:hAnsi="Arial" w:cs="Arial"/>
          <w:bCs/>
        </w:rPr>
        <w:t xml:space="preserve"> In this scenario, inflated ‘outcome of </w:t>
      </w:r>
      <w:proofErr w:type="spellStart"/>
      <w:r>
        <w:rPr>
          <w:rFonts w:ascii="Arial" w:hAnsi="Arial" w:cs="Arial"/>
          <w:bCs/>
        </w:rPr>
        <w:t>interest’~SNP</w:t>
      </w:r>
      <w:proofErr w:type="spellEnd"/>
      <w:r>
        <w:rPr>
          <w:rFonts w:ascii="Arial" w:hAnsi="Arial" w:cs="Arial"/>
          <w:bCs/>
        </w:rPr>
        <w:t xml:space="preserve"> effect estimates</w:t>
      </w:r>
      <w:r w:rsidRPr="00DE4473">
        <w:rPr>
          <w:rFonts w:ascii="Arial" w:hAnsi="Arial" w:cs="Arial"/>
          <w:bCs/>
        </w:rPr>
        <w:t xml:space="preserve"> </w:t>
      </w:r>
      <w:r>
        <w:rPr>
          <w:rFonts w:ascii="Arial" w:hAnsi="Arial" w:cs="Arial"/>
          <w:bCs/>
        </w:rPr>
        <w:t>were consistently observed, regardless of the number of population-based controls used and the prevalence of the outcome among controls (</w:t>
      </w:r>
      <w:r w:rsidRPr="00FF21F9">
        <w:rPr>
          <w:rFonts w:ascii="Arial" w:hAnsi="Arial" w:cs="Arial"/>
          <w:b/>
        </w:rPr>
        <w:t xml:space="preserve">Table </w:t>
      </w:r>
      <w:r>
        <w:rPr>
          <w:rFonts w:ascii="Arial" w:hAnsi="Arial" w:cs="Arial"/>
          <w:b/>
        </w:rPr>
        <w:t>S</w:t>
      </w:r>
      <w:r w:rsidRPr="00FF21F9">
        <w:rPr>
          <w:rFonts w:ascii="Arial" w:hAnsi="Arial" w:cs="Arial"/>
          <w:b/>
        </w:rPr>
        <w:t>5</w:t>
      </w:r>
      <w:r>
        <w:rPr>
          <w:rFonts w:ascii="Arial" w:hAnsi="Arial" w:cs="Arial"/>
          <w:b/>
        </w:rPr>
        <w:t xml:space="preserve"> B</w:t>
      </w:r>
      <w:r>
        <w:rPr>
          <w:rFonts w:ascii="Arial" w:hAnsi="Arial" w:cs="Arial"/>
          <w:bCs/>
        </w:rPr>
        <w:t>).</w:t>
      </w:r>
      <w:r w:rsidR="008A4965">
        <w:rPr>
          <w:rFonts w:ascii="Arial" w:hAnsi="Arial" w:cs="Arial"/>
          <w:bCs/>
        </w:rPr>
        <w:t xml:space="preserve"> </w:t>
      </w:r>
      <w:r>
        <w:rPr>
          <w:rFonts w:ascii="Arial" w:hAnsi="Arial" w:cs="Arial"/>
          <w:bCs/>
        </w:rPr>
        <w:t>This bias was negatively associated with the outcome-specific parameters (P=0.</w:t>
      </w:r>
      <w:r w:rsidRPr="0082365B">
        <w:rPr>
          <w:rFonts w:ascii="Arial" w:hAnsi="Arial" w:cs="Arial"/>
          <w:bCs/>
        </w:rPr>
        <w:t>0</w:t>
      </w:r>
      <w:r>
        <w:rPr>
          <w:rFonts w:ascii="Arial" w:hAnsi="Arial" w:cs="Arial"/>
          <w:bCs/>
        </w:rPr>
        <w:t xml:space="preserve">3), indicating </w:t>
      </w:r>
      <w:r w:rsidRPr="00911F17">
        <w:rPr>
          <w:rFonts w:ascii="Arial" w:hAnsi="Arial" w:cs="Arial"/>
          <w:bCs/>
        </w:rPr>
        <w:t xml:space="preserve">that the higher the prevalence of the outcome among </w:t>
      </w:r>
      <w:r w:rsidR="00911F17" w:rsidRPr="00911F17">
        <w:rPr>
          <w:rFonts w:ascii="Arial" w:hAnsi="Arial" w:cs="Arial"/>
          <w:bCs/>
        </w:rPr>
        <w:t xml:space="preserve">population-based common </w:t>
      </w:r>
      <w:r w:rsidRPr="00911F17">
        <w:rPr>
          <w:rFonts w:ascii="Arial" w:hAnsi="Arial" w:cs="Arial"/>
          <w:bCs/>
        </w:rPr>
        <w:t>controls, the lower the proportion</w:t>
      </w:r>
      <w:r>
        <w:rPr>
          <w:rFonts w:ascii="Arial" w:hAnsi="Arial" w:cs="Arial"/>
          <w:bCs/>
        </w:rPr>
        <w:t xml:space="preserve"> of spurious associations </w:t>
      </w:r>
      <w:r w:rsidRPr="0043240E">
        <w:rPr>
          <w:rFonts w:ascii="Arial" w:hAnsi="Arial" w:cs="Arial"/>
          <w:b/>
        </w:rPr>
        <w:t>(</w:t>
      </w:r>
      <w:r w:rsidRPr="00285032">
        <w:rPr>
          <w:rFonts w:ascii="Arial" w:hAnsi="Arial" w:cs="Arial"/>
          <w:b/>
        </w:rPr>
        <w:t>Figure</w:t>
      </w:r>
      <w:r w:rsidRPr="008543A0">
        <w:rPr>
          <w:rFonts w:ascii="Arial" w:hAnsi="Arial" w:cs="Arial"/>
          <w:b/>
        </w:rPr>
        <w:t>s</w:t>
      </w:r>
      <w:r w:rsidRPr="00285032">
        <w:rPr>
          <w:rFonts w:ascii="Arial" w:hAnsi="Arial" w:cs="Arial"/>
          <w:b/>
        </w:rPr>
        <w:t xml:space="preserve"> </w:t>
      </w:r>
      <w:r>
        <w:rPr>
          <w:rFonts w:ascii="Arial" w:hAnsi="Arial" w:cs="Arial"/>
          <w:b/>
        </w:rPr>
        <w:t>S</w:t>
      </w:r>
      <w:r w:rsidRPr="00FF21F9">
        <w:rPr>
          <w:rFonts w:ascii="Arial" w:hAnsi="Arial" w:cs="Arial"/>
          <w:b/>
        </w:rPr>
        <w:t>1</w:t>
      </w:r>
      <w:r>
        <w:rPr>
          <w:rFonts w:ascii="Arial" w:hAnsi="Arial" w:cs="Arial"/>
          <w:b/>
        </w:rPr>
        <w:t>5</w:t>
      </w:r>
      <w:r w:rsidRPr="00FF21F9">
        <w:rPr>
          <w:rFonts w:ascii="Arial" w:hAnsi="Arial" w:cs="Arial"/>
          <w:b/>
        </w:rPr>
        <w:t>-</w:t>
      </w:r>
      <w:r>
        <w:rPr>
          <w:rFonts w:ascii="Arial" w:hAnsi="Arial" w:cs="Arial"/>
          <w:b/>
        </w:rPr>
        <w:t>S16</w:t>
      </w:r>
      <w:r w:rsidRPr="0043240E">
        <w:rPr>
          <w:rFonts w:ascii="Arial" w:hAnsi="Arial" w:cs="Arial"/>
          <w:b/>
        </w:rPr>
        <w:t>)</w:t>
      </w:r>
      <w:r>
        <w:rPr>
          <w:rFonts w:ascii="Arial" w:hAnsi="Arial" w:cs="Arial"/>
          <w:bCs/>
        </w:rPr>
        <w:t>.</w:t>
      </w:r>
    </w:p>
    <w:p w14:paraId="3A773B82" w14:textId="0EB1416A" w:rsidR="00094C57" w:rsidRPr="002E0447" w:rsidRDefault="00094C57" w:rsidP="00DA24DB">
      <w:pPr>
        <w:spacing w:after="80" w:line="480" w:lineRule="auto"/>
        <w:rPr>
          <w:rFonts w:ascii="Arial" w:hAnsi="Arial" w:cs="Arial"/>
          <w:b/>
          <w:bCs/>
        </w:rPr>
      </w:pPr>
      <w:r w:rsidRPr="002E0447">
        <w:rPr>
          <w:rFonts w:ascii="Arial" w:hAnsi="Arial" w:cs="Arial"/>
          <w:b/>
          <w:bCs/>
        </w:rPr>
        <w:lastRenderedPageBreak/>
        <w:t xml:space="preserve">HCV GWAS using cases and well characterized controls or population-based controls </w:t>
      </w:r>
    </w:p>
    <w:p w14:paraId="54FFB49E" w14:textId="77777777" w:rsidR="00F36C7E" w:rsidRPr="00E3133B" w:rsidRDefault="00F36C7E" w:rsidP="00DA24DB">
      <w:pPr>
        <w:spacing w:after="80" w:line="480" w:lineRule="auto"/>
        <w:rPr>
          <w:rFonts w:ascii="Arial" w:hAnsi="Arial" w:cs="Arial"/>
          <w:i/>
          <w:iCs/>
          <w:u w:val="single"/>
        </w:rPr>
      </w:pPr>
      <w:r w:rsidRPr="00E3133B">
        <w:rPr>
          <w:rFonts w:ascii="Arial" w:hAnsi="Arial" w:cs="Arial"/>
          <w:i/>
          <w:iCs/>
          <w:u w:val="single"/>
        </w:rPr>
        <w:t>Exploratory GWAS – Heterogeneity of effect estimates:</w:t>
      </w:r>
    </w:p>
    <w:p w14:paraId="70C0E83D" w14:textId="2C00D34C" w:rsidR="00F36C7E" w:rsidRDefault="00F36C7E" w:rsidP="00DA24DB">
      <w:pPr>
        <w:spacing w:line="480" w:lineRule="auto"/>
        <w:rPr>
          <w:rFonts w:ascii="Arial" w:hAnsi="Arial" w:cs="Arial"/>
        </w:rPr>
      </w:pPr>
      <w:r>
        <w:rPr>
          <w:rFonts w:ascii="Arial" w:hAnsi="Arial" w:cs="Arial"/>
        </w:rPr>
        <w:t xml:space="preserve">No </w:t>
      </w:r>
      <w:r w:rsidR="00900EB3">
        <w:rPr>
          <w:rFonts w:ascii="Arial" w:hAnsi="Arial" w:cs="Arial"/>
        </w:rPr>
        <w:t xml:space="preserve">significantly or </w:t>
      </w:r>
      <w:r>
        <w:rPr>
          <w:rFonts w:ascii="Arial" w:hAnsi="Arial" w:cs="Arial"/>
        </w:rPr>
        <w:t>suggestively associated marker shared across these cohorts w</w:t>
      </w:r>
      <w:r w:rsidRPr="00E3133B">
        <w:rPr>
          <w:rFonts w:ascii="Arial" w:hAnsi="Arial" w:cs="Arial"/>
        </w:rPr>
        <w:t>as</w:t>
      </w:r>
      <w:r>
        <w:rPr>
          <w:rFonts w:ascii="Arial" w:hAnsi="Arial" w:cs="Arial"/>
          <w:u w:val="words"/>
        </w:rPr>
        <w:t xml:space="preserve"> </w:t>
      </w:r>
      <w:r>
        <w:rPr>
          <w:rFonts w:ascii="Arial" w:hAnsi="Arial" w:cs="Arial"/>
        </w:rPr>
        <w:t xml:space="preserve">observed to </w:t>
      </w:r>
      <w:r w:rsidR="00900EB3">
        <w:rPr>
          <w:rFonts w:ascii="Arial" w:hAnsi="Arial" w:cs="Arial"/>
        </w:rPr>
        <w:t xml:space="preserve">have a </w:t>
      </w:r>
      <w:r>
        <w:rPr>
          <w:rFonts w:ascii="Arial" w:hAnsi="Arial" w:cs="Arial"/>
        </w:rPr>
        <w:t xml:space="preserve">significantly different </w:t>
      </w:r>
      <w:r w:rsidR="00900EB3">
        <w:rPr>
          <w:rFonts w:ascii="Arial" w:hAnsi="Arial" w:cs="Arial"/>
        </w:rPr>
        <w:t>effect size between</w:t>
      </w:r>
      <w:r>
        <w:rPr>
          <w:rFonts w:ascii="Arial" w:hAnsi="Arial" w:cs="Arial"/>
        </w:rPr>
        <w:t xml:space="preserve"> the stringent QC-passed UKB controls GWAS compared to the ancestry-matched </w:t>
      </w:r>
      <w:r w:rsidR="00764B42">
        <w:rPr>
          <w:rFonts w:ascii="Arial" w:hAnsi="Arial" w:cs="Arial"/>
        </w:rPr>
        <w:t xml:space="preserve">population-based </w:t>
      </w:r>
      <w:r>
        <w:rPr>
          <w:rFonts w:ascii="Arial" w:hAnsi="Arial" w:cs="Arial"/>
        </w:rPr>
        <w:t>UKB control</w:t>
      </w:r>
      <w:r w:rsidR="00764B42">
        <w:rPr>
          <w:rFonts w:ascii="Arial" w:hAnsi="Arial" w:cs="Arial"/>
        </w:rPr>
        <w:t>s</w:t>
      </w:r>
      <w:r>
        <w:rPr>
          <w:rFonts w:ascii="Arial" w:hAnsi="Arial" w:cs="Arial"/>
        </w:rPr>
        <w:t xml:space="preserve"> GWAS.</w:t>
      </w:r>
    </w:p>
    <w:p w14:paraId="59EF5A4B" w14:textId="4FD3E9AB" w:rsidR="00384D1E" w:rsidRDefault="00412121" w:rsidP="00DA24DB">
      <w:pPr>
        <w:spacing w:after="80" w:line="480" w:lineRule="auto"/>
        <w:rPr>
          <w:rFonts w:ascii="Arial" w:hAnsi="Arial" w:cs="Arial"/>
          <w:bCs/>
        </w:rPr>
      </w:pPr>
      <w:r>
        <w:rPr>
          <w:rFonts w:ascii="Arial" w:hAnsi="Arial" w:cs="Arial"/>
          <w:i/>
          <w:iCs/>
          <w:u w:val="single"/>
        </w:rPr>
        <w:t>Variability</w:t>
      </w:r>
      <w:r w:rsidR="002962D4" w:rsidRPr="001876EE">
        <w:rPr>
          <w:rFonts w:ascii="Arial" w:hAnsi="Arial" w:cs="Arial"/>
          <w:i/>
          <w:iCs/>
          <w:u w:val="single"/>
        </w:rPr>
        <w:t xml:space="preserve"> </w:t>
      </w:r>
      <w:r w:rsidR="002962D4">
        <w:rPr>
          <w:rFonts w:ascii="Arial" w:hAnsi="Arial" w:cs="Arial"/>
          <w:i/>
          <w:iCs/>
          <w:u w:val="single"/>
        </w:rPr>
        <w:t>of estimated effects across</w:t>
      </w:r>
      <w:r w:rsidR="002962D4" w:rsidRPr="001876EE">
        <w:rPr>
          <w:rFonts w:ascii="Arial" w:hAnsi="Arial" w:cs="Arial"/>
          <w:i/>
          <w:iCs/>
          <w:u w:val="single"/>
        </w:rPr>
        <w:t xml:space="preserve"> </w:t>
      </w:r>
      <w:r w:rsidR="002962D4">
        <w:rPr>
          <w:rFonts w:ascii="Arial" w:hAnsi="Arial" w:cs="Arial"/>
          <w:i/>
          <w:iCs/>
          <w:u w:val="single"/>
        </w:rPr>
        <w:t xml:space="preserve">alternative </w:t>
      </w:r>
      <w:r w:rsidR="002962D4" w:rsidRPr="001876EE">
        <w:rPr>
          <w:rFonts w:ascii="Arial" w:hAnsi="Arial" w:cs="Arial"/>
          <w:i/>
          <w:iCs/>
          <w:u w:val="single"/>
        </w:rPr>
        <w:t>matched case-control cohorts</w:t>
      </w:r>
      <w:r w:rsidR="002962D4">
        <w:rPr>
          <w:rFonts w:ascii="Arial" w:hAnsi="Arial" w:cs="Arial"/>
          <w:i/>
          <w:iCs/>
          <w:u w:val="single"/>
        </w:rPr>
        <w:t xml:space="preserve">: </w:t>
      </w:r>
      <w:r w:rsidR="0091523D">
        <w:rPr>
          <w:rFonts w:ascii="Arial" w:hAnsi="Arial" w:cs="Arial"/>
        </w:rPr>
        <w:t xml:space="preserve"> </w:t>
      </w:r>
      <w:r w:rsidR="00384D1E" w:rsidRPr="00E73B1D">
        <w:rPr>
          <w:rFonts w:ascii="Arial" w:hAnsi="Arial" w:cs="Arial"/>
        </w:rPr>
        <w:t xml:space="preserve">We observed significant variability in the effect estimates of both known and novel loci in the </w:t>
      </w:r>
      <w:r w:rsidR="00675919">
        <w:rPr>
          <w:rFonts w:ascii="Arial" w:hAnsi="Arial" w:cs="Arial"/>
        </w:rPr>
        <w:t>2</w:t>
      </w:r>
      <w:r w:rsidR="00384D1E" w:rsidRPr="00E73B1D">
        <w:rPr>
          <w:rFonts w:ascii="Arial" w:hAnsi="Arial" w:cs="Arial"/>
        </w:rPr>
        <w:t>,000 alternative</w:t>
      </w:r>
      <w:r w:rsidR="00332972">
        <w:rPr>
          <w:rFonts w:ascii="Arial" w:hAnsi="Arial" w:cs="Arial"/>
        </w:rPr>
        <w:t xml:space="preserve"> matched</w:t>
      </w:r>
      <w:r w:rsidR="00384D1E" w:rsidRPr="00E73B1D">
        <w:rPr>
          <w:rFonts w:ascii="Arial" w:hAnsi="Arial" w:cs="Arial"/>
        </w:rPr>
        <w:t xml:space="preserve"> case-control cohorts </w:t>
      </w:r>
      <w:r w:rsidR="00384D1E" w:rsidRPr="00E73B1D">
        <w:rPr>
          <w:rFonts w:ascii="Arial" w:hAnsi="Arial" w:cs="Arial"/>
          <w:b/>
        </w:rPr>
        <w:t>(</w:t>
      </w:r>
      <w:r w:rsidR="00FC1356">
        <w:rPr>
          <w:rFonts w:ascii="Arial" w:hAnsi="Arial" w:cs="Arial"/>
          <w:b/>
        </w:rPr>
        <w:t>F</w:t>
      </w:r>
      <w:r w:rsidR="00384D1E" w:rsidRPr="00E73B1D">
        <w:rPr>
          <w:rFonts w:ascii="Arial" w:hAnsi="Arial" w:cs="Arial"/>
          <w:b/>
        </w:rPr>
        <w:t xml:space="preserve">igure </w:t>
      </w:r>
      <w:r w:rsidR="00005ACF">
        <w:rPr>
          <w:rFonts w:ascii="Arial" w:hAnsi="Arial" w:cs="Arial"/>
          <w:b/>
          <w:bCs/>
        </w:rPr>
        <w:t>S1</w:t>
      </w:r>
      <w:r w:rsidR="00017602">
        <w:rPr>
          <w:rFonts w:ascii="Arial" w:hAnsi="Arial" w:cs="Arial"/>
          <w:b/>
          <w:bCs/>
        </w:rPr>
        <w:t>7</w:t>
      </w:r>
      <w:r w:rsidR="00384D1E" w:rsidRPr="00E73B1D">
        <w:rPr>
          <w:rFonts w:ascii="Arial" w:hAnsi="Arial" w:cs="Arial"/>
          <w:b/>
        </w:rPr>
        <w:t>)</w:t>
      </w:r>
      <w:r w:rsidR="00384D1E" w:rsidRPr="00E73B1D">
        <w:rPr>
          <w:rFonts w:ascii="Arial" w:hAnsi="Arial" w:cs="Arial"/>
        </w:rPr>
        <w:t>. The distribution of observed effect sizes for the top two markers</w:t>
      </w:r>
      <w:r w:rsidR="00384D1E">
        <w:rPr>
          <w:rFonts w:ascii="Arial" w:hAnsi="Arial" w:cs="Arial"/>
        </w:rPr>
        <w:t xml:space="preserve"> from each </w:t>
      </w:r>
      <w:r w:rsidR="00384D1E" w:rsidRPr="00190DBB">
        <w:rPr>
          <w:rFonts w:ascii="Arial" w:hAnsi="Arial" w:cs="Arial"/>
        </w:rPr>
        <w:t>novel loci were more variable (CoV</w:t>
      </w:r>
      <w:r w:rsidR="00384D1E" w:rsidRPr="00190DBB">
        <w:rPr>
          <w:rFonts w:ascii="Arial" w:hAnsi="Arial" w:cs="Arial"/>
          <w:i/>
          <w:iCs/>
          <w:vertAlign w:val="subscript"/>
        </w:rPr>
        <w:t>MIR3681HG</w:t>
      </w:r>
      <w:r w:rsidR="00341A35">
        <w:rPr>
          <w:rFonts w:ascii="Arial" w:hAnsi="Arial" w:cs="Arial"/>
        </w:rPr>
        <w:t>=</w:t>
      </w:r>
      <w:r w:rsidR="00F138B4">
        <w:rPr>
          <w:rFonts w:ascii="Arial" w:hAnsi="Arial" w:cs="Arial"/>
        </w:rPr>
        <w:t>6</w:t>
      </w:r>
      <w:r w:rsidR="00384D1E" w:rsidRPr="00190DBB">
        <w:rPr>
          <w:rFonts w:ascii="Arial" w:hAnsi="Arial" w:cs="Arial"/>
        </w:rPr>
        <w:t>.</w:t>
      </w:r>
      <w:r w:rsidR="00F138B4">
        <w:rPr>
          <w:rFonts w:ascii="Arial" w:hAnsi="Arial" w:cs="Arial"/>
        </w:rPr>
        <w:t>96</w:t>
      </w:r>
      <w:r w:rsidR="00384D1E" w:rsidRPr="00190DBB">
        <w:rPr>
          <w:rFonts w:ascii="Arial" w:hAnsi="Arial" w:cs="Arial"/>
        </w:rPr>
        <w:t>, CoV</w:t>
      </w:r>
      <w:r w:rsidR="00384D1E" w:rsidRPr="00190DBB">
        <w:rPr>
          <w:rFonts w:ascii="Arial" w:hAnsi="Arial" w:cs="Arial"/>
          <w:i/>
          <w:iCs/>
          <w:vertAlign w:val="subscript"/>
        </w:rPr>
        <w:t>STX18</w:t>
      </w:r>
      <w:r w:rsidR="00341A35">
        <w:rPr>
          <w:rFonts w:ascii="Arial" w:hAnsi="Arial" w:cs="Arial"/>
        </w:rPr>
        <w:t>=6.64</w:t>
      </w:r>
      <w:r w:rsidR="00384D1E" w:rsidRPr="00190DBB">
        <w:rPr>
          <w:rFonts w:ascii="Arial" w:hAnsi="Arial" w:cs="Arial"/>
        </w:rPr>
        <w:t xml:space="preserve">) compared to </w:t>
      </w:r>
      <w:r w:rsidR="00384D1E">
        <w:rPr>
          <w:rFonts w:ascii="Arial" w:hAnsi="Arial" w:cs="Arial"/>
        </w:rPr>
        <w:t xml:space="preserve">a representative single marker from each of </w:t>
      </w:r>
      <w:r w:rsidR="00384D1E" w:rsidRPr="00190DBB">
        <w:rPr>
          <w:rFonts w:ascii="Arial" w:hAnsi="Arial" w:cs="Arial"/>
        </w:rPr>
        <w:t>the known loci (CoV</w:t>
      </w:r>
      <w:r w:rsidR="00384D1E" w:rsidRPr="00190DBB">
        <w:rPr>
          <w:rFonts w:ascii="Arial" w:hAnsi="Arial" w:cs="Arial"/>
          <w:i/>
          <w:iCs/>
          <w:vertAlign w:val="subscript"/>
        </w:rPr>
        <w:t>HLA-DQB1</w:t>
      </w:r>
      <w:r w:rsidR="00384D1E">
        <w:rPr>
          <w:rFonts w:ascii="Arial" w:hAnsi="Arial" w:cs="Arial"/>
        </w:rPr>
        <w:t>=</w:t>
      </w:r>
      <w:r w:rsidR="00341A35">
        <w:rPr>
          <w:rFonts w:ascii="Arial" w:hAnsi="Arial" w:cs="Arial"/>
        </w:rPr>
        <w:t>3.89</w:t>
      </w:r>
      <w:r w:rsidR="00384D1E" w:rsidRPr="00190DBB">
        <w:rPr>
          <w:rFonts w:ascii="Arial" w:hAnsi="Arial" w:cs="Arial"/>
        </w:rPr>
        <w:t>, CoV</w:t>
      </w:r>
      <w:r w:rsidR="00384D1E" w:rsidRPr="00190DBB">
        <w:rPr>
          <w:rFonts w:ascii="Arial" w:hAnsi="Arial" w:cs="Arial"/>
          <w:i/>
          <w:iCs/>
          <w:vertAlign w:val="subscript"/>
        </w:rPr>
        <w:t>IFNL3</w:t>
      </w:r>
      <w:r w:rsidR="00384D1E">
        <w:rPr>
          <w:rFonts w:ascii="Arial" w:hAnsi="Arial" w:cs="Arial"/>
        </w:rPr>
        <w:t>=</w:t>
      </w:r>
      <w:r w:rsidR="00341A35">
        <w:rPr>
          <w:rFonts w:ascii="Arial" w:hAnsi="Arial" w:cs="Arial"/>
        </w:rPr>
        <w:t>5.05</w:t>
      </w:r>
      <w:r w:rsidR="00384D1E" w:rsidRPr="00190DBB">
        <w:rPr>
          <w:rFonts w:ascii="Arial" w:hAnsi="Arial" w:cs="Arial"/>
        </w:rPr>
        <w:t xml:space="preserve">). </w:t>
      </w:r>
      <w:r w:rsidR="00384D1E">
        <w:rPr>
          <w:rFonts w:ascii="Arial" w:hAnsi="Arial" w:cs="Arial"/>
        </w:rPr>
        <w:t>For all loci,</w:t>
      </w:r>
      <w:r w:rsidR="000A6BEB">
        <w:rPr>
          <w:rFonts w:ascii="Arial" w:hAnsi="Arial" w:cs="Arial"/>
        </w:rPr>
        <w:t xml:space="preserve"> </w:t>
      </w:r>
      <w:r w:rsidR="000A6BEB" w:rsidRPr="007067CC">
        <w:rPr>
          <w:rFonts w:ascii="Arial" w:hAnsi="Arial" w:cs="Arial"/>
        </w:rPr>
        <w:t>analysis of variance tests</w:t>
      </w:r>
      <w:r w:rsidR="009566B6">
        <w:rPr>
          <w:rFonts w:ascii="Arial" w:hAnsi="Arial" w:cs="Arial"/>
        </w:rPr>
        <w:t xml:space="preserve"> </w:t>
      </w:r>
      <w:r w:rsidR="000A6BEB">
        <w:rPr>
          <w:rFonts w:ascii="Arial" w:hAnsi="Arial" w:cs="Arial"/>
        </w:rPr>
        <w:t xml:space="preserve">indicated that </w:t>
      </w:r>
      <w:r w:rsidR="00384D1E">
        <w:rPr>
          <w:rFonts w:ascii="Arial" w:hAnsi="Arial" w:cs="Arial"/>
        </w:rPr>
        <w:t xml:space="preserve">the choice of distance metric (e.g., </w:t>
      </w:r>
      <w:proofErr w:type="spellStart"/>
      <w:r w:rsidR="00A23C95">
        <w:rPr>
          <w:rFonts w:ascii="Arial" w:hAnsi="Arial" w:cs="Arial"/>
        </w:rPr>
        <w:t>M</w:t>
      </w:r>
      <w:r w:rsidR="00384D1E">
        <w:rPr>
          <w:rFonts w:ascii="Arial" w:hAnsi="Arial" w:cs="Arial"/>
        </w:rPr>
        <w:t>ahalanobis</w:t>
      </w:r>
      <w:proofErr w:type="spellEnd"/>
      <w:r w:rsidR="00384D1E">
        <w:rPr>
          <w:rFonts w:ascii="Arial" w:hAnsi="Arial" w:cs="Arial"/>
        </w:rPr>
        <w:t xml:space="preserve"> distance vs. propensity score-based distance) was significantly associated with the variability in effect estimates (P&lt;0.0001).  For each locus, multiple distinct distributions (&gt;1) were observed </w:t>
      </w:r>
      <w:r w:rsidR="000A6BEB">
        <w:rPr>
          <w:rFonts w:ascii="Arial" w:hAnsi="Arial" w:cs="Arial"/>
        </w:rPr>
        <w:t xml:space="preserve">in the </w:t>
      </w:r>
      <w:r w:rsidR="000A6BEB" w:rsidRPr="00E73B1D">
        <w:rPr>
          <w:rFonts w:ascii="Arial" w:hAnsi="Arial" w:cs="Arial"/>
        </w:rPr>
        <w:t xml:space="preserve">Anderson-Darling k-Sample tests </w:t>
      </w:r>
      <w:r w:rsidR="00384D1E">
        <w:rPr>
          <w:rFonts w:ascii="Arial" w:hAnsi="Arial" w:cs="Arial"/>
        </w:rPr>
        <w:t>when the matching scenarios were compared simultaneously (P&lt;0.0001). These results indicate the method by which exact case-control matching is accomplished in a GWAS can have significant ramifications on the resulting effect estimates. For example, s</w:t>
      </w:r>
      <w:r w:rsidR="00384D1E" w:rsidRPr="00190DBB">
        <w:rPr>
          <w:rFonts w:ascii="Arial" w:hAnsi="Arial" w:cs="Arial"/>
          <w:bCs/>
        </w:rPr>
        <w:t xml:space="preserve">everal of our </w:t>
      </w:r>
      <w:r w:rsidR="00384D1E">
        <w:rPr>
          <w:rFonts w:ascii="Arial" w:hAnsi="Arial" w:cs="Arial"/>
          <w:bCs/>
        </w:rPr>
        <w:t xml:space="preserve">regression-based </w:t>
      </w:r>
      <w:r w:rsidR="00384D1E" w:rsidRPr="00190DBB">
        <w:rPr>
          <w:rFonts w:ascii="Arial" w:hAnsi="Arial" w:cs="Arial"/>
          <w:bCs/>
        </w:rPr>
        <w:t xml:space="preserve">matching scenarios resulted in the </w:t>
      </w:r>
      <w:r w:rsidR="00384D1E" w:rsidRPr="00190DBB">
        <w:rPr>
          <w:rFonts w:ascii="Arial" w:hAnsi="Arial" w:cs="Arial"/>
          <w:bCs/>
          <w:i/>
          <w:iCs/>
        </w:rPr>
        <w:t>IFNL3</w:t>
      </w:r>
      <w:r w:rsidR="00384D1E" w:rsidRPr="00190DBB">
        <w:rPr>
          <w:rFonts w:ascii="Arial" w:hAnsi="Arial" w:cs="Arial"/>
          <w:bCs/>
        </w:rPr>
        <w:t xml:space="preserve"> locus being only suggestively associated with HCV clearance</w:t>
      </w:r>
      <w:r w:rsidR="00384D1E">
        <w:rPr>
          <w:rFonts w:ascii="Arial" w:hAnsi="Arial" w:cs="Arial"/>
          <w:b/>
        </w:rPr>
        <w:t xml:space="preserve"> (</w:t>
      </w:r>
      <w:r w:rsidR="00005ACF">
        <w:rPr>
          <w:rFonts w:ascii="Arial" w:hAnsi="Arial" w:cs="Arial"/>
          <w:b/>
        </w:rPr>
        <w:t>F</w:t>
      </w:r>
      <w:r w:rsidR="00384D1E">
        <w:rPr>
          <w:rFonts w:ascii="Arial" w:hAnsi="Arial" w:cs="Arial"/>
          <w:b/>
        </w:rPr>
        <w:t xml:space="preserve">igure </w:t>
      </w:r>
      <w:r w:rsidR="00005ACF">
        <w:rPr>
          <w:rFonts w:ascii="Arial" w:hAnsi="Arial" w:cs="Arial"/>
          <w:b/>
          <w:bCs/>
        </w:rPr>
        <w:t>S1</w:t>
      </w:r>
      <w:r w:rsidR="00A23C95">
        <w:rPr>
          <w:rFonts w:ascii="Arial" w:hAnsi="Arial" w:cs="Arial"/>
          <w:b/>
          <w:bCs/>
        </w:rPr>
        <w:t>7</w:t>
      </w:r>
      <w:r w:rsidR="00384D1E">
        <w:rPr>
          <w:rFonts w:ascii="Arial" w:hAnsi="Arial" w:cs="Arial"/>
          <w:b/>
        </w:rPr>
        <w:t>)</w:t>
      </w:r>
      <w:r w:rsidR="00384D1E" w:rsidRPr="00190DBB">
        <w:rPr>
          <w:rFonts w:ascii="Arial" w:hAnsi="Arial" w:cs="Arial"/>
          <w:bCs/>
        </w:rPr>
        <w:t xml:space="preserve">. </w:t>
      </w:r>
      <w:r w:rsidR="00384D1E">
        <w:rPr>
          <w:rFonts w:ascii="Arial" w:hAnsi="Arial" w:cs="Arial"/>
          <w:bCs/>
        </w:rPr>
        <w:t>W</w:t>
      </w:r>
      <w:r w:rsidR="00384D1E" w:rsidRPr="00190DBB">
        <w:rPr>
          <w:rFonts w:ascii="Arial" w:hAnsi="Arial" w:cs="Arial"/>
          <w:bCs/>
        </w:rPr>
        <w:t>e should note that the extreme deflation in the</w:t>
      </w:r>
      <w:r w:rsidR="009566B6">
        <w:rPr>
          <w:rFonts w:ascii="Arial" w:hAnsi="Arial" w:cs="Arial"/>
          <w:bCs/>
        </w:rPr>
        <w:t xml:space="preserve"> </w:t>
      </w:r>
      <w:r w:rsidR="00384D1E" w:rsidRPr="00190DBB">
        <w:rPr>
          <w:rFonts w:ascii="Arial" w:hAnsi="Arial" w:cs="Arial"/>
          <w:bCs/>
        </w:rPr>
        <w:t xml:space="preserve">effect estimates for </w:t>
      </w:r>
      <w:r w:rsidR="00384D1E" w:rsidRPr="00190DBB">
        <w:rPr>
          <w:rFonts w:ascii="Arial" w:hAnsi="Arial" w:cs="Arial"/>
          <w:bCs/>
          <w:i/>
          <w:iCs/>
        </w:rPr>
        <w:t>IFNL3</w:t>
      </w:r>
      <w:r w:rsidR="009566B6">
        <w:rPr>
          <w:rFonts w:ascii="Arial" w:hAnsi="Arial" w:cs="Arial"/>
          <w:bCs/>
          <w:i/>
          <w:iCs/>
        </w:rPr>
        <w:t xml:space="preserve"> </w:t>
      </w:r>
      <w:r w:rsidR="009566B6" w:rsidRPr="008F493A">
        <w:rPr>
          <w:rFonts w:ascii="Arial" w:hAnsi="Arial" w:cs="Arial"/>
          <w:bCs/>
        </w:rPr>
        <w:t>observed in the main GWAS</w:t>
      </w:r>
      <w:r w:rsidR="00384D1E" w:rsidRPr="00190DBB">
        <w:rPr>
          <w:rFonts w:ascii="Arial" w:hAnsi="Arial" w:cs="Arial"/>
          <w:bCs/>
        </w:rPr>
        <w:t xml:space="preserve"> was not </w:t>
      </w:r>
      <w:r w:rsidR="009566B6">
        <w:rPr>
          <w:rFonts w:ascii="Arial" w:hAnsi="Arial" w:cs="Arial"/>
          <w:bCs/>
        </w:rPr>
        <w:t>present</w:t>
      </w:r>
      <w:r w:rsidR="00384D1E" w:rsidRPr="00190DBB">
        <w:rPr>
          <w:rFonts w:ascii="Arial" w:hAnsi="Arial" w:cs="Arial"/>
          <w:bCs/>
        </w:rPr>
        <w:t xml:space="preserve"> when ancestry-associated PCs were re-estimated </w:t>
      </w:r>
      <w:r w:rsidR="00384D1E">
        <w:rPr>
          <w:rFonts w:ascii="Arial" w:hAnsi="Arial" w:cs="Arial"/>
          <w:bCs/>
        </w:rPr>
        <w:t>in</w:t>
      </w:r>
      <w:r w:rsidR="00384D1E" w:rsidRPr="00190DBB">
        <w:rPr>
          <w:rFonts w:ascii="Arial" w:hAnsi="Arial" w:cs="Arial"/>
          <w:bCs/>
        </w:rPr>
        <w:t xml:space="preserve"> each matched case-control scenario</w:t>
      </w:r>
      <w:r w:rsidR="00384D1E">
        <w:rPr>
          <w:rFonts w:ascii="Arial" w:hAnsi="Arial" w:cs="Arial"/>
          <w:bCs/>
        </w:rPr>
        <w:t xml:space="preserve">. </w:t>
      </w:r>
      <w:r w:rsidR="00384D1E" w:rsidRPr="00190DBB">
        <w:rPr>
          <w:rFonts w:ascii="Arial" w:hAnsi="Arial" w:cs="Arial"/>
          <w:bCs/>
        </w:rPr>
        <w:t xml:space="preserve">Indeed, for </w:t>
      </w:r>
      <w:r w:rsidR="004F19B3">
        <w:rPr>
          <w:rFonts w:ascii="Arial" w:hAnsi="Arial" w:cs="Arial"/>
          <w:bCs/>
        </w:rPr>
        <w:t xml:space="preserve">each </w:t>
      </w:r>
      <w:r w:rsidR="00384D1E" w:rsidRPr="00190DBB">
        <w:rPr>
          <w:rFonts w:ascii="Arial" w:hAnsi="Arial" w:cs="Arial"/>
          <w:bCs/>
        </w:rPr>
        <w:t xml:space="preserve">matched case-control GWAS in which the top twenty PCs were re-estimated and included as covariates, the observed effect size estimates </w:t>
      </w:r>
      <w:r w:rsidR="00384D1E">
        <w:rPr>
          <w:rFonts w:ascii="Arial" w:hAnsi="Arial" w:cs="Arial"/>
          <w:bCs/>
        </w:rPr>
        <w:t xml:space="preserve">for the known loci </w:t>
      </w:r>
      <w:r w:rsidR="003358E8">
        <w:rPr>
          <w:rFonts w:ascii="Arial" w:hAnsi="Arial" w:cs="Arial"/>
          <w:bCs/>
        </w:rPr>
        <w:t xml:space="preserve">were </w:t>
      </w:r>
      <w:proofErr w:type="gramStart"/>
      <w:r w:rsidR="003358E8">
        <w:rPr>
          <w:rFonts w:ascii="Arial" w:hAnsi="Arial" w:cs="Arial"/>
          <w:bCs/>
        </w:rPr>
        <w:t>similar to</w:t>
      </w:r>
      <w:proofErr w:type="gramEnd"/>
      <w:r w:rsidR="003358E8">
        <w:rPr>
          <w:rFonts w:ascii="Arial" w:hAnsi="Arial" w:cs="Arial"/>
          <w:bCs/>
        </w:rPr>
        <w:t xml:space="preserve"> those observed in the HCV clearance</w:t>
      </w:r>
      <w:r w:rsidR="00C369BD">
        <w:rPr>
          <w:rFonts w:ascii="Arial" w:hAnsi="Arial" w:cs="Arial"/>
          <w:bCs/>
        </w:rPr>
        <w:t xml:space="preserve"> vs. </w:t>
      </w:r>
      <w:r w:rsidR="003358E8">
        <w:rPr>
          <w:rFonts w:ascii="Arial" w:hAnsi="Arial" w:cs="Arial"/>
          <w:bCs/>
        </w:rPr>
        <w:t>ancestry</w:t>
      </w:r>
      <w:r w:rsidR="008105E2">
        <w:rPr>
          <w:rFonts w:ascii="Arial" w:hAnsi="Arial" w:cs="Arial"/>
          <w:bCs/>
        </w:rPr>
        <w:t>-</w:t>
      </w:r>
      <w:r w:rsidR="003358E8">
        <w:rPr>
          <w:rFonts w:ascii="Arial" w:hAnsi="Arial" w:cs="Arial"/>
          <w:bCs/>
        </w:rPr>
        <w:t>matched UKB controls</w:t>
      </w:r>
      <w:r w:rsidR="00384D1E" w:rsidRPr="00190DBB">
        <w:rPr>
          <w:rFonts w:ascii="Arial" w:hAnsi="Arial" w:cs="Arial"/>
          <w:bCs/>
        </w:rPr>
        <w:t xml:space="preserve"> GWAS results</w:t>
      </w:r>
      <w:r w:rsidR="00384D1E">
        <w:rPr>
          <w:rFonts w:ascii="Arial" w:hAnsi="Arial" w:cs="Arial"/>
          <w:bCs/>
        </w:rPr>
        <w:t xml:space="preserve"> (</w:t>
      </w:r>
      <w:r w:rsidR="00005ACF">
        <w:rPr>
          <w:rFonts w:ascii="Arial" w:hAnsi="Arial" w:cs="Arial"/>
          <w:b/>
        </w:rPr>
        <w:t>T</w:t>
      </w:r>
      <w:r w:rsidR="00384D1E" w:rsidRPr="00334BD3">
        <w:rPr>
          <w:rFonts w:ascii="Arial" w:hAnsi="Arial" w:cs="Arial"/>
          <w:b/>
        </w:rPr>
        <w:t>able</w:t>
      </w:r>
      <w:r w:rsidR="00384D1E">
        <w:rPr>
          <w:rFonts w:ascii="Arial" w:hAnsi="Arial" w:cs="Arial"/>
          <w:b/>
        </w:rPr>
        <w:t xml:space="preserve"> </w:t>
      </w:r>
      <w:r w:rsidR="00005ACF">
        <w:rPr>
          <w:rFonts w:ascii="Arial" w:hAnsi="Arial" w:cs="Arial"/>
          <w:b/>
        </w:rPr>
        <w:t>S</w:t>
      </w:r>
      <w:r w:rsidR="00384D1E">
        <w:rPr>
          <w:rFonts w:ascii="Arial" w:hAnsi="Arial" w:cs="Arial"/>
          <w:b/>
        </w:rPr>
        <w:t>3</w:t>
      </w:r>
      <w:r w:rsidR="00384D1E">
        <w:rPr>
          <w:rFonts w:ascii="Arial" w:hAnsi="Arial" w:cs="Arial"/>
          <w:bCs/>
        </w:rPr>
        <w:t>)</w:t>
      </w:r>
      <w:r w:rsidR="00384D1E" w:rsidRPr="00190DBB">
        <w:rPr>
          <w:rFonts w:ascii="Arial" w:hAnsi="Arial" w:cs="Arial"/>
          <w:bCs/>
        </w:rPr>
        <w:t>.</w:t>
      </w:r>
      <w:r w:rsidR="00384D1E">
        <w:rPr>
          <w:rFonts w:ascii="Arial" w:hAnsi="Arial" w:cs="Arial"/>
          <w:bCs/>
        </w:rPr>
        <w:t xml:space="preserve"> </w:t>
      </w:r>
    </w:p>
    <w:p w14:paraId="4E67CBB5" w14:textId="71107325" w:rsidR="00384D1E" w:rsidRDefault="00384D1E" w:rsidP="00DA24DB">
      <w:pPr>
        <w:spacing w:after="80" w:line="480" w:lineRule="auto"/>
        <w:rPr>
          <w:rFonts w:ascii="Arial" w:hAnsi="Arial" w:cs="Arial"/>
        </w:rPr>
      </w:pPr>
      <w:r>
        <w:rPr>
          <w:rFonts w:ascii="Arial" w:hAnsi="Arial" w:cs="Arial"/>
          <w:bCs/>
        </w:rPr>
        <w:lastRenderedPageBreak/>
        <w:t xml:space="preserve">In addition to findings related to the appropriateness of shared controls for GWAS of </w:t>
      </w:r>
      <w:r w:rsidR="00FA5B22">
        <w:rPr>
          <w:rFonts w:ascii="Arial" w:hAnsi="Arial" w:cs="Arial"/>
          <w:bCs/>
        </w:rPr>
        <w:t xml:space="preserve">infectious diseases </w:t>
      </w:r>
      <w:r>
        <w:rPr>
          <w:rFonts w:ascii="Arial" w:hAnsi="Arial" w:cs="Arial"/>
          <w:bCs/>
        </w:rPr>
        <w:t>related outcomes, the highly variable GWAS results observed across our</w:t>
      </w:r>
      <w:r w:rsidR="00FA5B22">
        <w:rPr>
          <w:rFonts w:ascii="Arial" w:hAnsi="Arial" w:cs="Arial"/>
          <w:bCs/>
        </w:rPr>
        <w:t xml:space="preserve"> alternative</w:t>
      </w:r>
      <w:r>
        <w:rPr>
          <w:rFonts w:ascii="Arial" w:hAnsi="Arial" w:cs="Arial"/>
          <w:bCs/>
        </w:rPr>
        <w:t xml:space="preserve"> matched case-control cohorts </w:t>
      </w:r>
      <w:r>
        <w:rPr>
          <w:rFonts w:ascii="Arial" w:hAnsi="Arial" w:cs="Arial"/>
        </w:rPr>
        <w:t>highlights the importance specific bipartite matching approaches have upon any eventual GWAS findings. These results also demonstrate the importance of re-estimating PCs for each GWAS, as genetic associations performed using globally estimated PCs were highly biased compared to the results obtained when using</w:t>
      </w:r>
      <w:r w:rsidR="00FA5B22">
        <w:rPr>
          <w:rFonts w:ascii="Arial" w:hAnsi="Arial" w:cs="Arial"/>
        </w:rPr>
        <w:t xml:space="preserve"> alternative</w:t>
      </w:r>
      <w:r>
        <w:rPr>
          <w:rFonts w:ascii="Arial" w:hAnsi="Arial" w:cs="Arial"/>
        </w:rPr>
        <w:t xml:space="preserve"> matched </w:t>
      </w:r>
      <w:r w:rsidR="00BC4ECD">
        <w:rPr>
          <w:rFonts w:ascii="Arial" w:hAnsi="Arial" w:cs="Arial"/>
        </w:rPr>
        <w:t xml:space="preserve">case-controls cohort </w:t>
      </w:r>
      <w:r>
        <w:rPr>
          <w:rFonts w:ascii="Arial" w:hAnsi="Arial" w:cs="Arial"/>
        </w:rPr>
        <w:t xml:space="preserve">derived PCs. </w:t>
      </w:r>
    </w:p>
    <w:p w14:paraId="7EFEC999" w14:textId="1F1E4BE7" w:rsidR="00384D1E" w:rsidRPr="008B5CEF" w:rsidRDefault="00384D1E" w:rsidP="00DA24DB">
      <w:pPr>
        <w:spacing w:after="80" w:line="480" w:lineRule="auto"/>
        <w:rPr>
          <w:rFonts w:ascii="Arial" w:hAnsi="Arial" w:cs="Arial"/>
          <w:i/>
          <w:iCs/>
          <w:u w:val="single"/>
        </w:rPr>
      </w:pPr>
      <w:r w:rsidRPr="008B5CEF">
        <w:rPr>
          <w:rFonts w:ascii="Arial" w:hAnsi="Arial" w:cs="Arial"/>
          <w:i/>
          <w:iCs/>
          <w:u w:val="single"/>
        </w:rPr>
        <w:t xml:space="preserve">Exploratory analysis </w:t>
      </w:r>
      <w:r w:rsidR="00764B42">
        <w:rPr>
          <w:rFonts w:ascii="Arial" w:hAnsi="Arial" w:cs="Arial"/>
          <w:i/>
          <w:iCs/>
          <w:u w:val="single"/>
        </w:rPr>
        <w:t>–</w:t>
      </w:r>
      <w:r w:rsidRPr="008B5CEF">
        <w:rPr>
          <w:rFonts w:ascii="Arial" w:hAnsi="Arial" w:cs="Arial"/>
          <w:i/>
          <w:iCs/>
          <w:u w:val="single"/>
        </w:rPr>
        <w:t xml:space="preserve"> Novel HCV Clearance-associated loci</w:t>
      </w:r>
      <w:r>
        <w:rPr>
          <w:rFonts w:ascii="Arial" w:hAnsi="Arial" w:cs="Arial"/>
          <w:i/>
          <w:iCs/>
          <w:u w:val="single"/>
        </w:rPr>
        <w:t>:</w:t>
      </w:r>
    </w:p>
    <w:p w14:paraId="0F88F389" w14:textId="3381D54E" w:rsidR="00384D1E" w:rsidRDefault="00384D1E" w:rsidP="00DA24DB">
      <w:pPr>
        <w:spacing w:after="80" w:line="480" w:lineRule="auto"/>
        <w:rPr>
          <w:rFonts w:ascii="Arial" w:hAnsi="Arial" w:cs="Arial"/>
        </w:rPr>
      </w:pPr>
      <w:r>
        <w:rPr>
          <w:rFonts w:ascii="Arial" w:hAnsi="Arial" w:cs="Arial"/>
        </w:rPr>
        <w:t xml:space="preserve">We observed </w:t>
      </w:r>
      <w:r w:rsidRPr="00A51A99">
        <w:rPr>
          <w:rFonts w:ascii="Arial" w:hAnsi="Arial" w:cs="Arial"/>
        </w:rPr>
        <w:t xml:space="preserve">significant </w:t>
      </w:r>
      <w:r w:rsidRPr="00AD20B8">
        <w:rPr>
          <w:rFonts w:ascii="Arial" w:hAnsi="Arial" w:cs="Arial"/>
        </w:rPr>
        <w:t xml:space="preserve">variability in the allele frequency for the top two HCV clearance associated </w:t>
      </w:r>
      <w:r w:rsidRPr="00AD20B8">
        <w:rPr>
          <w:rFonts w:ascii="Arial" w:hAnsi="Arial" w:cs="Arial"/>
          <w:i/>
          <w:iCs/>
        </w:rPr>
        <w:t>STX18</w:t>
      </w:r>
      <w:r w:rsidRPr="00AD20B8">
        <w:rPr>
          <w:rFonts w:ascii="Arial" w:hAnsi="Arial" w:cs="Arial"/>
        </w:rPr>
        <w:t xml:space="preserve"> markers across the 106 UKB-defined QC batches</w:t>
      </w:r>
      <w:r w:rsidRPr="00A51A99">
        <w:rPr>
          <w:rFonts w:ascii="Arial" w:hAnsi="Arial" w:cs="Arial"/>
        </w:rPr>
        <w:t xml:space="preserve"> (rs3935096: 5.58%-7.19%, rs58612183: 5.5%-7.16</w:t>
      </w:r>
      <w:r>
        <w:rPr>
          <w:rFonts w:ascii="Arial" w:hAnsi="Arial" w:cs="Arial"/>
        </w:rPr>
        <w:t>%)</w:t>
      </w:r>
      <w:r w:rsidRPr="00056B98">
        <w:rPr>
          <w:rFonts w:ascii="Arial" w:hAnsi="Arial" w:cs="Arial"/>
        </w:rPr>
        <w:t>,</w:t>
      </w:r>
      <w:r>
        <w:rPr>
          <w:rFonts w:ascii="Arial" w:hAnsi="Arial" w:cs="Arial"/>
        </w:rPr>
        <w:fldChar w:fldCharType="begin" w:fldLock="1"/>
      </w:r>
      <w:r w:rsidR="003827C7">
        <w:rPr>
          <w:rFonts w:ascii="Arial" w:hAnsi="Arial" w:cs="Arial"/>
        </w:rPr>
        <w:instrText>ADDIN CSL_CITATION {"citationItems":[{"id":"ITEM-1","itemData":{"DOI":"10.1038/s41586-018-0579-z","ISSN":"0028-0836","abstract":"The UK Biobank project is a prospective cohort study with deep genetic and phenotypic data collected on approximately 500,000 individuals from across the United Kingdom, aged between 40 and 69 at recruitment. The open resource is unique in its size and scope. A rich variety of phenotypic and health-related information is available on each participant, including biological measurements, lifestyle indicators, biomarkers in blood and urine, and imaging of the body and brain. Follow-up information is provided by linking health and medical records. Genome-wide genotype data have been collected on all participants, providing many opportunities for the discovery of new genetic associations and the genetic bases of complex traits. Here we describe the centralized analysis of the genetic data, including genotype quality, properties of population structure and relatedness of the genetic data, and efficient phasing and genotype imputation that increases the number of testable variants to around 96 million. Classical allelic variation at 11 human leukocyte antigen genes was imputed, resulting in the recovery of signals with known associations between human leukocyte antigen alleles and many diseases.","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O’Connell","given":"Jared","non-dropping-particle":"","parse-names":false,"suffix":""},{"dropping-particle":"","family":"Cortes","given":"Adrian","non-dropping-particle":"","parse-names":false,"suffix":""},{"dropping-particle":"","family":"Welsh","given":"Samantha","non-dropping-particle":"","parse-names":false,"suffix":""},{"dropping-particle":"","family":"Young","given":"Alan","non-dropping-particle":"","parse-names":false,"suffix":""},{"dropping-particle":"","family":"Effingham","given":"Mark","non-dropping-particle":"","parse-names":false,"suffix":""},{"dropping-particle":"","family":"McVean","given":"Gil","non-dropping-particle":"","parse-names":false,"suffix":""},{"dropping-particle":"","family":"Leslie","given":"Stephen","non-dropping-particle":"","parse-names":false,"suffix":""},{"dropping-particle":"","family":"Allen","given":"Naomi","non-dropping-particle":"","parse-names":false,"suffix":""},{"dropping-particle":"","family":"Donnelly","given":"Peter","non-dropping-particle":"","parse-names":false,"suffix":""},{"dropping-particle":"","family":"Marchini","given":"Jonathan","non-dropping-particle":"","parse-names":false,"suffix":""}],"container-title":"Nature","id":"ITEM-1","issue":"7726","issued":{"date-parts":[["2018","10","10"]]},"page":"203-209","title":"The UK Biobank resource with deep phenotyping and genomic data","type":"article-journal","volume":"562"},"uris":["http://www.mendeley.com/documents/?uuid=262a6042-9e4f-4aad-8b79-e8222fe70cdc"]}],"mendeley":{"formattedCitation":"&lt;sup&gt;6&lt;/sup&gt;","plainTextFormattedCitation":"6","previouslyFormattedCitation":"&lt;sup&gt;6&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6</w:t>
      </w:r>
      <w:r>
        <w:rPr>
          <w:rFonts w:ascii="Arial" w:hAnsi="Arial" w:cs="Arial"/>
        </w:rPr>
        <w:fldChar w:fldCharType="end"/>
      </w:r>
      <w:r w:rsidRPr="00056B98">
        <w:rPr>
          <w:rFonts w:ascii="Arial" w:hAnsi="Arial" w:cs="Arial"/>
        </w:rPr>
        <w:t xml:space="preserve"> with 6.6% of batches failing </w:t>
      </w:r>
      <w:r>
        <w:rPr>
          <w:rFonts w:ascii="Arial" w:hAnsi="Arial" w:cs="Arial"/>
        </w:rPr>
        <w:t xml:space="preserve">our </w:t>
      </w:r>
      <w:proofErr w:type="spellStart"/>
      <w:r w:rsidRPr="00056B98">
        <w:rPr>
          <w:rFonts w:ascii="Arial" w:hAnsi="Arial" w:cs="Arial"/>
        </w:rPr>
        <w:t>gnomAD</w:t>
      </w:r>
      <w:proofErr w:type="spellEnd"/>
      <w:r w:rsidRPr="00056B98">
        <w:rPr>
          <w:rFonts w:ascii="Arial" w:hAnsi="Arial" w:cs="Arial"/>
        </w:rPr>
        <w:t xml:space="preserve"> allele frequency</w:t>
      </w:r>
      <w:r>
        <w:rPr>
          <w:rFonts w:ascii="Arial" w:hAnsi="Arial" w:cs="Arial"/>
        </w:rPr>
        <w:t xml:space="preserve">-based </w:t>
      </w:r>
      <w:r w:rsidRPr="00056B98">
        <w:rPr>
          <w:rFonts w:ascii="Arial" w:hAnsi="Arial" w:cs="Arial"/>
        </w:rPr>
        <w:t>QC threshold</w:t>
      </w:r>
      <w:r>
        <w:rPr>
          <w:rFonts w:ascii="Arial" w:hAnsi="Arial" w:cs="Arial"/>
        </w:rPr>
        <w:t xml:space="preserve">. As the average MAF across all UKB batches did not fall outside the </w:t>
      </w:r>
      <w:proofErr w:type="spellStart"/>
      <w:r>
        <w:rPr>
          <w:rFonts w:ascii="Arial" w:hAnsi="Arial" w:cs="Arial"/>
        </w:rPr>
        <w:t>gnomAD</w:t>
      </w:r>
      <w:proofErr w:type="spellEnd"/>
      <w:r>
        <w:rPr>
          <w:rFonts w:ascii="Arial" w:hAnsi="Arial" w:cs="Arial"/>
        </w:rPr>
        <w:t xml:space="preserve">-derived MAF threshold for either of the top two HCV clearance associated markers within </w:t>
      </w:r>
      <w:r w:rsidRPr="008C68F4">
        <w:rPr>
          <w:rFonts w:ascii="Arial" w:hAnsi="Arial" w:cs="Arial"/>
          <w:i/>
          <w:iCs/>
        </w:rPr>
        <w:t>STX18</w:t>
      </w:r>
      <w:r>
        <w:rPr>
          <w:rFonts w:ascii="Arial" w:hAnsi="Arial" w:cs="Arial"/>
        </w:rPr>
        <w:t>, this locus was retained</w:t>
      </w:r>
      <w:r w:rsidRPr="00056B98">
        <w:rPr>
          <w:rFonts w:ascii="Arial" w:hAnsi="Arial" w:cs="Arial"/>
        </w:rPr>
        <w:t>.</w:t>
      </w:r>
      <w:r>
        <w:rPr>
          <w:rFonts w:ascii="Arial" w:hAnsi="Arial" w:cs="Arial"/>
        </w:rPr>
        <w:t xml:space="preserve"> </w:t>
      </w:r>
    </w:p>
    <w:p w14:paraId="13F3997A" w14:textId="1FF0F50A" w:rsidR="00384D1E" w:rsidRDefault="00764B42" w:rsidP="00DA24DB">
      <w:pPr>
        <w:spacing w:after="80" w:line="480" w:lineRule="auto"/>
        <w:rPr>
          <w:rFonts w:ascii="Arial" w:hAnsi="Arial" w:cs="Arial"/>
        </w:rPr>
      </w:pPr>
      <w:r>
        <w:rPr>
          <w:rFonts w:ascii="Arial" w:hAnsi="Arial" w:cs="Arial"/>
        </w:rPr>
        <w:t>We found that a</w:t>
      </w:r>
      <w:r w:rsidR="00FA5B22">
        <w:rPr>
          <w:rFonts w:ascii="Arial" w:hAnsi="Arial" w:cs="Arial"/>
        </w:rPr>
        <w:t xml:space="preserve">ssociation analysis of certain alternative </w:t>
      </w:r>
      <w:r w:rsidR="00384D1E">
        <w:rPr>
          <w:rFonts w:ascii="Arial" w:hAnsi="Arial" w:cs="Arial"/>
        </w:rPr>
        <w:t xml:space="preserve">matched case/control </w:t>
      </w:r>
      <w:r w:rsidR="00FA5B22">
        <w:rPr>
          <w:rFonts w:ascii="Arial" w:hAnsi="Arial" w:cs="Arial"/>
        </w:rPr>
        <w:t xml:space="preserve">cohorts </w:t>
      </w:r>
      <w:r>
        <w:rPr>
          <w:rFonts w:ascii="Arial" w:hAnsi="Arial" w:cs="Arial"/>
        </w:rPr>
        <w:t xml:space="preserve">obtained with </w:t>
      </w:r>
      <w:r w:rsidR="00384D1E">
        <w:rPr>
          <w:rFonts w:ascii="Arial" w:hAnsi="Arial" w:cs="Arial"/>
        </w:rPr>
        <w:t xml:space="preserve">the </w:t>
      </w:r>
      <w:r w:rsidR="00384D1E" w:rsidRPr="0002707B">
        <w:rPr>
          <w:rFonts w:ascii="Arial" w:hAnsi="Arial" w:cs="Arial"/>
        </w:rPr>
        <w:t>bipartite matching approaches</w:t>
      </w:r>
      <w:r w:rsidR="00384D1E">
        <w:rPr>
          <w:rFonts w:ascii="Arial" w:hAnsi="Arial" w:cs="Arial"/>
        </w:rPr>
        <w:t xml:space="preserve"> resulted in significantly less extreme effect sizes for the novel loci. </w:t>
      </w:r>
      <w:r w:rsidR="003A3C6C">
        <w:rPr>
          <w:rFonts w:ascii="Arial" w:hAnsi="Arial" w:cs="Arial"/>
        </w:rPr>
        <w:t xml:space="preserve">We </w:t>
      </w:r>
      <w:r>
        <w:rPr>
          <w:rFonts w:ascii="Arial" w:hAnsi="Arial" w:cs="Arial"/>
        </w:rPr>
        <w:t xml:space="preserve">also </w:t>
      </w:r>
      <w:r w:rsidR="003A3C6C">
        <w:rPr>
          <w:rFonts w:ascii="Arial" w:hAnsi="Arial" w:cs="Arial"/>
        </w:rPr>
        <w:t xml:space="preserve">observed that the matching method was another source of </w:t>
      </w:r>
      <w:r w:rsidR="00017602">
        <w:rPr>
          <w:rFonts w:ascii="Arial" w:hAnsi="Arial" w:cs="Arial"/>
        </w:rPr>
        <w:t>variability</w:t>
      </w:r>
      <w:r w:rsidR="003A3C6C">
        <w:rPr>
          <w:rFonts w:ascii="Arial" w:hAnsi="Arial" w:cs="Arial"/>
        </w:rPr>
        <w:t xml:space="preserve">; for example, </w:t>
      </w:r>
      <w:r w:rsidR="00384D1E">
        <w:rPr>
          <w:rFonts w:ascii="Arial" w:hAnsi="Arial" w:cs="Arial"/>
        </w:rPr>
        <w:t>the 1:1</w:t>
      </w:r>
      <w:r w:rsidR="00FA5B22">
        <w:rPr>
          <w:rFonts w:ascii="Arial" w:hAnsi="Arial" w:cs="Arial"/>
        </w:rPr>
        <w:t xml:space="preserve"> </w:t>
      </w:r>
      <w:proofErr w:type="spellStart"/>
      <w:r w:rsidR="009A5007">
        <w:rPr>
          <w:rFonts w:ascii="Arial" w:hAnsi="Arial" w:cs="Arial"/>
        </w:rPr>
        <w:t>M</w:t>
      </w:r>
      <w:r w:rsidR="00384D1E">
        <w:rPr>
          <w:rFonts w:ascii="Arial" w:hAnsi="Arial" w:cs="Arial"/>
        </w:rPr>
        <w:t>ahalanobis</w:t>
      </w:r>
      <w:proofErr w:type="spellEnd"/>
      <w:r w:rsidR="00384D1E">
        <w:rPr>
          <w:rFonts w:ascii="Arial" w:hAnsi="Arial" w:cs="Arial"/>
        </w:rPr>
        <w:t xml:space="preserve"> distance-based</w:t>
      </w:r>
      <w:r w:rsidR="00FA5B22">
        <w:rPr>
          <w:rFonts w:ascii="Arial" w:hAnsi="Arial" w:cs="Arial"/>
        </w:rPr>
        <w:t xml:space="preserve"> mat</w:t>
      </w:r>
      <w:r w:rsidR="003A3C6C">
        <w:rPr>
          <w:rFonts w:ascii="Arial" w:hAnsi="Arial" w:cs="Arial"/>
        </w:rPr>
        <w:t>ched</w:t>
      </w:r>
      <w:r w:rsidR="00384D1E">
        <w:rPr>
          <w:rFonts w:ascii="Arial" w:hAnsi="Arial" w:cs="Arial"/>
        </w:rPr>
        <w:t xml:space="preserve"> GWAS resulted in the deflation of the </w:t>
      </w:r>
      <w:r w:rsidR="00384D1E" w:rsidRPr="0072623B">
        <w:rPr>
          <w:rFonts w:ascii="Arial" w:hAnsi="Arial" w:cs="Arial"/>
          <w:i/>
          <w:iCs/>
        </w:rPr>
        <w:t>MIR3681HG</w:t>
      </w:r>
      <w:r w:rsidR="00384D1E">
        <w:rPr>
          <w:rFonts w:ascii="Arial" w:hAnsi="Arial" w:cs="Arial"/>
        </w:rPr>
        <w:t xml:space="preserve"> signal to values approximating the HCV clearance vs. HCV persistence GWAS estimates (</w:t>
      </w:r>
      <w:r w:rsidR="00767613" w:rsidRPr="00767613">
        <w:rPr>
          <w:rFonts w:ascii="Arial" w:hAnsi="Arial" w:cs="Arial"/>
        </w:rPr>
        <w:t>rs10803744</w:t>
      </w:r>
      <w:r w:rsidR="007B0DFD">
        <w:rPr>
          <w:rFonts w:ascii="Arial" w:hAnsi="Arial" w:cs="Arial"/>
        </w:rPr>
        <w:t xml:space="preserve"> with</w:t>
      </w:r>
      <w:r w:rsidR="00384D1E">
        <w:rPr>
          <w:rFonts w:ascii="Arial" w:hAnsi="Arial" w:cs="Arial"/>
        </w:rPr>
        <w:t xml:space="preserve"> OR=</w:t>
      </w:r>
      <w:r w:rsidR="007B0DFD">
        <w:rPr>
          <w:rFonts w:ascii="Arial" w:hAnsi="Arial" w:cs="Arial"/>
        </w:rPr>
        <w:t>1.44</w:t>
      </w:r>
      <w:r w:rsidR="00384D1E">
        <w:rPr>
          <w:rFonts w:ascii="Arial" w:hAnsi="Arial" w:cs="Arial"/>
        </w:rPr>
        <w:t>)</w:t>
      </w:r>
      <w:r w:rsidR="003A3C6C">
        <w:rPr>
          <w:rFonts w:ascii="Arial" w:hAnsi="Arial" w:cs="Arial"/>
        </w:rPr>
        <w:t xml:space="preserve"> and </w:t>
      </w:r>
      <w:r w:rsidR="00384D1E">
        <w:rPr>
          <w:rFonts w:ascii="Arial" w:hAnsi="Arial" w:cs="Arial"/>
        </w:rPr>
        <w:t>the 1:1 propensity score-based</w:t>
      </w:r>
      <w:r w:rsidR="003A3C6C">
        <w:rPr>
          <w:rFonts w:ascii="Arial" w:hAnsi="Arial" w:cs="Arial"/>
        </w:rPr>
        <w:t xml:space="preserve"> matched </w:t>
      </w:r>
      <w:r w:rsidR="00384D1E">
        <w:rPr>
          <w:rFonts w:ascii="Arial" w:hAnsi="Arial" w:cs="Arial"/>
        </w:rPr>
        <w:t xml:space="preserve">GWAS resulted in inflated effect estimates for the </w:t>
      </w:r>
      <w:r w:rsidR="00384D1E" w:rsidRPr="0072623B">
        <w:rPr>
          <w:rFonts w:ascii="Arial" w:hAnsi="Arial" w:cs="Arial"/>
          <w:i/>
          <w:iCs/>
        </w:rPr>
        <w:t>MIR3681HG</w:t>
      </w:r>
      <w:r w:rsidR="00384D1E">
        <w:rPr>
          <w:rFonts w:ascii="Arial" w:hAnsi="Arial" w:cs="Arial"/>
        </w:rPr>
        <w:t xml:space="preserve"> locus </w:t>
      </w:r>
      <w:r w:rsidR="003A3C6C">
        <w:rPr>
          <w:rFonts w:ascii="Arial" w:hAnsi="Arial" w:cs="Arial"/>
        </w:rPr>
        <w:t xml:space="preserve">which were larger </w:t>
      </w:r>
      <w:r w:rsidR="00384D1E">
        <w:rPr>
          <w:rFonts w:ascii="Arial" w:hAnsi="Arial" w:cs="Arial"/>
        </w:rPr>
        <w:t>than the GWAS involving all ancestry-matched UKB controls (</w:t>
      </w:r>
      <w:r w:rsidR="0029764E" w:rsidRPr="00767613">
        <w:rPr>
          <w:rFonts w:ascii="Arial" w:hAnsi="Arial" w:cs="Arial"/>
        </w:rPr>
        <w:t>rs10803744</w:t>
      </w:r>
      <w:r w:rsidR="0029764E">
        <w:rPr>
          <w:rFonts w:ascii="Arial" w:hAnsi="Arial" w:cs="Arial"/>
        </w:rPr>
        <w:t xml:space="preserve"> with OR=1.76</w:t>
      </w:r>
      <w:r w:rsidR="00384D1E">
        <w:rPr>
          <w:rFonts w:ascii="Arial" w:hAnsi="Arial" w:cs="Arial"/>
        </w:rPr>
        <w:t xml:space="preserve">) </w:t>
      </w:r>
      <w:r w:rsidR="00384D1E" w:rsidRPr="00F10170">
        <w:rPr>
          <w:rFonts w:ascii="Arial" w:hAnsi="Arial" w:cs="Arial"/>
        </w:rPr>
        <w:t>(</w:t>
      </w:r>
      <w:r w:rsidR="00717A0F">
        <w:rPr>
          <w:rFonts w:ascii="Arial" w:hAnsi="Arial" w:cs="Arial"/>
          <w:b/>
          <w:bCs/>
        </w:rPr>
        <w:t>T</w:t>
      </w:r>
      <w:r w:rsidR="00384D1E" w:rsidRPr="00F10170">
        <w:rPr>
          <w:rFonts w:ascii="Arial" w:hAnsi="Arial" w:cs="Arial"/>
          <w:b/>
          <w:bCs/>
        </w:rPr>
        <w:t xml:space="preserve">able </w:t>
      </w:r>
      <w:r w:rsidR="00717A0F">
        <w:rPr>
          <w:rFonts w:ascii="Arial" w:hAnsi="Arial" w:cs="Arial"/>
          <w:b/>
          <w:bCs/>
        </w:rPr>
        <w:t>S</w:t>
      </w:r>
      <w:r w:rsidR="00384D1E" w:rsidRPr="00F10170">
        <w:rPr>
          <w:rFonts w:ascii="Arial" w:hAnsi="Arial" w:cs="Arial"/>
          <w:b/>
          <w:bCs/>
        </w:rPr>
        <w:t>4</w:t>
      </w:r>
      <w:r w:rsidR="00384D1E" w:rsidRPr="009A1B42">
        <w:rPr>
          <w:rFonts w:ascii="Arial" w:hAnsi="Arial" w:cs="Arial"/>
        </w:rPr>
        <w:t>)</w:t>
      </w:r>
      <w:r w:rsidR="00384D1E" w:rsidRPr="00F10170">
        <w:rPr>
          <w:rFonts w:ascii="Arial" w:hAnsi="Arial" w:cs="Arial"/>
        </w:rPr>
        <w:t xml:space="preserve">. </w:t>
      </w:r>
      <w:r w:rsidR="00980473" w:rsidRPr="00980473">
        <w:rPr>
          <w:rFonts w:ascii="Arial" w:hAnsi="Arial" w:cs="Arial"/>
        </w:rPr>
        <w:t>Future work should determine whether certain distance-based matching schemes are more appropriate for subsampling-based efforts to identify matched common controls from biobank-scale cohorts</w:t>
      </w:r>
      <w:r w:rsidR="00196BC2">
        <w:rPr>
          <w:rFonts w:ascii="Arial" w:hAnsi="Arial" w:cs="Arial"/>
        </w:rPr>
        <w:t>.</w:t>
      </w:r>
    </w:p>
    <w:p w14:paraId="6338F3DD" w14:textId="6BF2B312" w:rsidR="000531F5" w:rsidRDefault="00384D1E" w:rsidP="000531F5">
      <w:pPr>
        <w:tabs>
          <w:tab w:val="left" w:pos="2350"/>
        </w:tabs>
        <w:spacing w:line="480" w:lineRule="auto"/>
        <w:rPr>
          <w:rStyle w:val="Strong"/>
          <w:rFonts w:ascii="Arial" w:hAnsi="Arial" w:cs="Arial"/>
          <w:b w:val="0"/>
          <w:bCs w:val="0"/>
        </w:rPr>
        <w:sectPr w:rsidR="000531F5" w:rsidSect="0059619F">
          <w:headerReference w:type="default" r:id="rId8"/>
          <w:footerReference w:type="default" r:id="rId9"/>
          <w:pgSz w:w="12240" w:h="15840"/>
          <w:pgMar w:top="1440" w:right="1440" w:bottom="1440" w:left="1440" w:header="720" w:footer="720" w:gutter="0"/>
          <w:lnNumType w:countBy="1" w:restart="continuous"/>
          <w:cols w:space="720"/>
          <w:docGrid w:linePitch="360"/>
        </w:sectPr>
      </w:pPr>
      <w:r w:rsidRPr="00DF0184">
        <w:rPr>
          <w:rFonts w:ascii="Arial" w:hAnsi="Arial" w:cs="Arial"/>
          <w:i/>
          <w:iCs/>
          <w:u w:val="single"/>
        </w:rPr>
        <w:lastRenderedPageBreak/>
        <w:t xml:space="preserve">Previous associations </w:t>
      </w:r>
      <w:r w:rsidR="00574D49">
        <w:rPr>
          <w:rFonts w:ascii="Arial" w:hAnsi="Arial" w:cs="Arial"/>
          <w:i/>
          <w:iCs/>
          <w:u w:val="single"/>
        </w:rPr>
        <w:t xml:space="preserve">of the HCV </w:t>
      </w:r>
      <w:r w:rsidRPr="00DF0184">
        <w:rPr>
          <w:rFonts w:ascii="Arial" w:hAnsi="Arial" w:cs="Arial"/>
          <w:i/>
          <w:iCs/>
          <w:u w:val="single"/>
        </w:rPr>
        <w:t>novel loci</w:t>
      </w:r>
      <w:r w:rsidR="00574D49">
        <w:rPr>
          <w:rFonts w:ascii="Arial" w:hAnsi="Arial" w:cs="Arial"/>
          <w:i/>
          <w:iCs/>
          <w:u w:val="single"/>
        </w:rPr>
        <w:t xml:space="preserve"> described in former GWAS using population-based controls</w:t>
      </w:r>
      <w:r>
        <w:rPr>
          <w:rFonts w:ascii="Arial" w:hAnsi="Arial" w:cs="Arial"/>
          <w:i/>
          <w:iCs/>
          <w:u w:val="single"/>
        </w:rPr>
        <w:t>:</w:t>
      </w:r>
      <w:r>
        <w:rPr>
          <w:rFonts w:ascii="Arial" w:hAnsi="Arial" w:cs="Arial"/>
        </w:rPr>
        <w:t xml:space="preserve"> </w:t>
      </w:r>
      <w:r w:rsidR="00CB430F">
        <w:rPr>
          <w:rFonts w:ascii="Arial" w:hAnsi="Arial" w:cs="Arial"/>
        </w:rPr>
        <w:t xml:space="preserve">Most </w:t>
      </w:r>
      <w:r>
        <w:rPr>
          <w:rFonts w:ascii="Arial" w:hAnsi="Arial" w:cs="Arial"/>
        </w:rPr>
        <w:t>previous</w:t>
      </w:r>
      <w:r w:rsidR="00CB430F">
        <w:rPr>
          <w:rFonts w:ascii="Arial" w:hAnsi="Arial" w:cs="Arial"/>
        </w:rPr>
        <w:t>ly</w:t>
      </w:r>
      <w:r>
        <w:rPr>
          <w:rFonts w:ascii="Arial" w:hAnsi="Arial" w:cs="Arial"/>
        </w:rPr>
        <w:t xml:space="preserve"> described associations within </w:t>
      </w:r>
      <w:r w:rsidRPr="0057118D">
        <w:rPr>
          <w:rFonts w:ascii="Arial" w:hAnsi="Arial" w:cs="Arial"/>
          <w:i/>
          <w:iCs/>
        </w:rPr>
        <w:t>STX18</w:t>
      </w:r>
      <w:r>
        <w:rPr>
          <w:rFonts w:ascii="Arial" w:hAnsi="Arial" w:cs="Arial"/>
        </w:rPr>
        <w:t xml:space="preserve"> have involved GWAS performed using population-based controls</w:t>
      </w:r>
      <w:r w:rsidR="00F76004">
        <w:rPr>
          <w:rFonts w:ascii="Arial" w:hAnsi="Arial" w:cs="Arial"/>
        </w:rPr>
        <w:t xml:space="preserve"> from different sources/biobanks</w:t>
      </w:r>
      <w:r>
        <w:rPr>
          <w:rFonts w:ascii="Arial" w:hAnsi="Arial" w:cs="Arial"/>
        </w:rPr>
        <w:t xml:space="preserve">. These associations have included: congenital heart disease (UKB and </w:t>
      </w:r>
      <w:proofErr w:type="spellStart"/>
      <w:r>
        <w:rPr>
          <w:rFonts w:ascii="Arial" w:hAnsi="Arial" w:cs="Arial"/>
        </w:rPr>
        <w:t>Wellcome</w:t>
      </w:r>
      <w:proofErr w:type="spellEnd"/>
      <w:r>
        <w:rPr>
          <w:rFonts w:ascii="Arial" w:hAnsi="Arial" w:cs="Arial"/>
        </w:rPr>
        <w:t xml:space="preserve"> Trust Case Control Consortium/</w:t>
      </w:r>
      <w:proofErr w:type="spellStart"/>
      <w:r>
        <w:rPr>
          <w:rFonts w:ascii="Arial" w:hAnsi="Arial" w:cs="Arial"/>
        </w:rPr>
        <w:t>TwinsUK</w:t>
      </w:r>
      <w:proofErr w:type="spellEnd"/>
      <w:r>
        <w:rPr>
          <w:rFonts w:ascii="Arial" w:hAnsi="Arial" w:cs="Arial"/>
        </w:rPr>
        <w:t xml:space="preserve"> controls),</w:t>
      </w:r>
      <w:r>
        <w:rPr>
          <w:rFonts w:ascii="Arial" w:hAnsi="Arial" w:cs="Arial"/>
        </w:rPr>
        <w:fldChar w:fldCharType="begin" w:fldLock="1"/>
      </w:r>
      <w:r w:rsidR="003827C7">
        <w:rPr>
          <w:rFonts w:ascii="Arial" w:hAnsi="Arial" w:cs="Arial"/>
        </w:rPr>
        <w:instrText xml:space="preserve">ADDIN CSL_CITATION {"citationItems":[{"id":"ITEM-1","itemData":{"DOI":"10.1038/ng.2637","ISSN":"1061-4036","PMID":"23708191","abstract":"We carried out a genome-wide association study (GWAS) of congenital heart disease (CHD). Our discovery cohort comprised 1,995 CHD cases and 5,159 controls and included affected individuals from each of the 3 major clinical CHD categories (with septal, obstructive and cyanotic defects). When all CHD phenotypes were considered together, no region achieved genome-wide significant association. However, a region on chromosome 4p16, adjacent to the MSX1 and STX18 genes, was associated (P = 9.5 × 10 -7) with the risk of ostium secundum atrial septal defect (ASD) in the discovery cohort (N = 340 cases), and this association was replicated in a further 417 ASD cases and 2,520 controls (replication P = 5.0 × 10 -5; odds ratio (OR) in replication cohort = 1.40, 95% confidence interval (CI) = 1.19-1.65; combined P = 2.6 × 10 -10). Genotype accounted for </w:instrText>
      </w:r>
      <w:r w:rsidR="003827C7">
        <w:rPr>
          <w:rFonts w:ascii="Cambria Math" w:hAnsi="Cambria Math" w:cs="Cambria Math"/>
        </w:rPr>
        <w:instrText>∼</w:instrText>
      </w:r>
      <w:r w:rsidR="003827C7">
        <w:rPr>
          <w:rFonts w:ascii="Arial" w:hAnsi="Arial" w:cs="Arial"/>
        </w:rPr>
        <w:instrText>9% of the population-attributable risk of ASD. © 2013 Nature America, Inc. All rights reserved.","author":[{"dropping-particle":"","family":"Cordell","given":"Heather J.","non-dropping-particle":"","parse-names":false,"suffix":""},{"dropping-particle":"","family":"Bentham","given":"Jamie","non-dropping-particle":"","parse-names":false,"suffix":""},{"dropping-particle":"","family":"Topf","given":"Ana","non-dropping-particle":"","parse-names":false,"suffix":""},{"dropping-particle":"","family":"Zelenika","given":"Diana","non-dropping-particle":"","parse-names":false,"suffix":""},{"dropping-particle":"","family":"Heath","given":"Simon","non-dropping-particle":"","parse-names":false,"suffix":""},{"dropping-particle":"","family":"Mamasoula","given":"Chrysovalanto","non-dropping-particle":"","parse-names":false,"suffix":""},{"dropping-particle":"","family":"Cosgrove","given":"Catherine","non-dropping-particle":"","parse-names":false,"suffix":""},{"dropping-particle":"","family":"Blue","given":"Gillian","non-dropping-particle":"","parse-names":false,"suffix":""},{"dropping-particle":"","family":"Granados-Riveron","given":"Javier","non-dropping-particle":"","parse-names":false,"suffix":""},{"dropping-particle":"","family":"Setchfield","given":"Kerry","non-dropping-particle":"","parse-names":false,"suffix":""},{"dropping-particle":"","family":"Thornborough","given":"Chris","non-dropping-particle":"","parse-names":false,"suffix":""},{"dropping-particle":"","family":"Breckpot","given":"Jeroen","non-dropping-particle":"","parse-names":false,"suffix":""},{"dropping-particle":"","family":"Soemedi","given":"Rachel","non-dropping-particle":"","parse-names":false,"suffix":""},{"dropping-particle":"","family":"Martin","given":"Ruairidh","non-dropping-particle":"","parse-names":false,"suffix":""},{"dropping-particle":"","family":"Rahman","given":"Thahira J.","non-dropping-particle":"","parse-names":false,"suffix":""},{"dropping-particle":"","family":"Hall","given":"Darroch","non-dropping-particle":"","parse-names":false,"suffix":""},{"dropping-particle":"","family":"Engelen","given":"Klaartje","non-dropping-particle":"van","parse-names":false,"suffix":""},{"dropping-particle":"","family":"Moorman","given":"Antoon F M","non-dropping-particle":"","parse-names":false,"suffix":""},{"dropping-particle":"","family":"Zwinderman","given":"Aelko H.","non-dropping-particle":"","parse-names":false,"suffix":""},{"dropping-particle":"","family":"Barnett","given":"Phil","non-dropping-particle":"","parse-names":false,"suffix":""},{"dropping-particle":"","family":"Koopmann","given":"Tamara T.","non-dropping-particle":"","parse-names":false,"suffix":""},{"dropping-particle":"","family":"Adriaens","given":"Michiel E.","non-dropping-particle":"","parse-names":false,"suffix":""},{"dropping-particle":"","family":"Varro","given":"Andras","non-dropping-particle":"","parse-names":false,"suffix":""},{"dropping-particle":"","family":"George","given":"Alfred L.","non-dropping-particle":"","parse-names":false,"suffix":""},{"dropping-particle":"","family":"Remedios","given":"Christobal","non-dropping-particle":"dos","parse-names":false,"suffix":""},{"dropping-particle":"","family":"Bishopric","given":"Nanette H.","non-dropping-particle":"","parse-names":false,"suffix":""},{"dropping-particle":"","family":"Bezzina","given":"Connie R.","non-dropping-particle":"","parse-names":false,"suffix":""},{"dropping-particle":"","family":"O'Sullivan","given":"John","non-dropping-particle":"","parse-names":false,"suffix":""},{"dropping-particle":"","family":"Gewillig","given":"Marc","non-dropping-particle":"","parse-names":false,"suffix":""},{"dropping-particle":"","family":"Bu'Lock","given":"Frances A.","non-dropping-particle":"","parse-names":false,"suffix":""},{"dropping-particle":"","family":"Winlaw","given":"David","non-dropping-particle":"","parse-names":false,"suffix":""},{"dropping-particle":"","family":"Bhattacharya","given":"Shoumo","non-dropping-particle":"","parse-names":false,"suffix":""},{"dropping-particle":"","family":"Devriendt","given":"Koen","non-dropping-particle":"","parse-names":false,"suffix":""},{"dropping-particle":"","family":"Brook","given":"J. David","non-dropping-particle":"","parse-names":false,"suffix":""},{"dropping-particle":"","family":"Mulder","given":"Barbara J M","non-dropping-particle":"","parse-names":false,"suffix":""},{"dropping-particle":"","family":"Mital","given":"Seema","non-dropping-particle":"","parse-names":false,"suffix":""},{"dropping-particle":"V.","family":"Postma","given":"Alex","non-dropping-particle":"","parse-names":false,"suffix":""},{"dropping-particle":"","family":"Lathrop","given":"G. Mark","non-dropping-particle":"","parse-names":false,"suffix":""},{"dropping-particle":"","family":"Farrall","given":"Martin","non-dropping-particle":"","parse-names":false,"suffix":""},{"dropping-particle":"","family":"Goodship","given":"Judith A.","non-dropping-particle":"","parse-names":false,"suffix":""},{"dropping-particle":"","family":"Keavney","given":"Bernard D.","non-dropping-particle":"","parse-names":false,"suffix":""}],"container-title":"Nature Genetics","id":"ITEM-1","issue":"7","issued":{"date-parts":[["2013","7","26"]]},"page":"822-824","title":"Genome-wide association study of multiple congenital heart disease phenotypes identifies a susceptibility locus for atrial septal defect at chromosome 4p16","type":"article-journal","volume":"45"},"uris":["http://www.mendeley.com/documents/?uuid=3de8a28e-cc49-427c-b730-41b40cb8b2e1"]}],"mendeley":{"formattedCitation":"&lt;sup&gt;12&lt;/sup&gt;","plainTextFormattedCitation":"12","previouslyFormattedCitation":"&lt;sup&gt;12&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12</w:t>
      </w:r>
      <w:r>
        <w:rPr>
          <w:rFonts w:ascii="Arial" w:hAnsi="Arial" w:cs="Arial"/>
        </w:rPr>
        <w:fldChar w:fldCharType="end"/>
      </w:r>
      <w:r>
        <w:rPr>
          <w:rFonts w:ascii="Arial" w:hAnsi="Arial" w:cs="Arial"/>
        </w:rPr>
        <w:t xml:space="preserve"> acute myeloid leukemia (HapMap controls),</w:t>
      </w:r>
      <w:r>
        <w:rPr>
          <w:rFonts w:ascii="Arial" w:hAnsi="Arial" w:cs="Arial"/>
        </w:rPr>
        <w:fldChar w:fldCharType="begin" w:fldLock="1"/>
      </w:r>
      <w:r w:rsidR="003827C7">
        <w:rPr>
          <w:rFonts w:ascii="Arial" w:hAnsi="Arial" w:cs="Arial"/>
        </w:rPr>
        <w:instrText>ADDIN CSL_CITATION {"citationItems":[{"id":"ITEM-1","itemData":{"DOI":"10.18632/oncotarget.13631","ISSN":"1949-2553","abstract":"Acute myeloid leukemia (AML) is a cancer of the myeloid line of blood cells, and generally considered to be caused by environment and genetic factors. In this study, we combined a genome-wide haplotype association study (GWHAS) and gene prioritization strategy to mine AML-related genetic affect factors and understand its pathogenesis. A total of 175 AML patients were downloaded from the public GEO database (GSE32462) and 218 matched Caucasian controls were from the HapMap Project. We first identified the linkage disequilibrium (LD) blocks and performed a GWHAS to scan AML-related haplotypes. Then we mapped these haplotypes to the corresponding genes as candidate. And finally, we prioritized all the AML candidate genes based on the similarity with 38 known AML susceptibility genes. The results showed that 1754 haplotypes were significant associated with AML (P &lt; 1E-5) and mapped to 591 candidate genes. After prioritizing all 591 AML candidate genes, we obtained four genes ranking at the front as AML risk genes: RUNX1, JAK1, PDGFRA, and FGFR2. Among them, RUNX1, JAK1 and PDGFRA had been confirmed as AML risk genes. In particular, we found that the gene FGFR2 was a novel AML susceptibility gene with a haplotype TT (rs7090018 and rs2912759) showed significant association with AML (P-value = 7.07E-06). In a word, our findings might provide a new perspective to understand the pathogenesis of AML.","author":[{"dropping-particle":"","family":"Lv","given":"Hongchao","non-dropping-particle":"","parse-names":false,"suffix":""},{"dropping-particle":"","family":"Zhang","given":"Mingming","non-dropping-particle":"","parse-names":false,"suffix":""},{"dropping-particle":"","family":"Shang","given":"Zhenwei","non-dropping-particle":"","parse-names":false,"suffix":""},{"dropping-particle":"","family":"Li","given":"Jin","non-dropping-particle":"","parse-names":false,"suffix":""},{"dropping-particle":"","family":"Zhang","given":"Shanshan","non-dropping-particle":"","parse-names":false,"suffix":""},{"dropping-particle":"","family":"Lian","given":"Duan","non-dropping-particle":"","parse-names":false,"suffix":""},{"dropping-particle":"","family":"Zhang","given":"Ruijie","non-dropping-particle":"","parse-names":false,"suffix":""}],"container-title":"Oncotarget","id":"ITEM-1","issue":"5","issued":{"date-parts":[["2017","1","31"]]},"page":"7891-7899","title":"Genome-wide haplotype association study identify the FGFR2 gene as a risk gene for Acute Myeloid Leukemia","type":"article-journal","volume":"8"},"uris":["http://www.mendeley.com/documents/?uuid=f190442a-8f20-464b-9c0d-b342e59c395b"]}],"mendeley":{"formattedCitation":"&lt;sup&gt;13&lt;/sup&gt;","plainTextFormattedCitation":"13","previouslyFormattedCitation":"&lt;sup&gt;13&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13</w:t>
      </w:r>
      <w:r>
        <w:rPr>
          <w:rFonts w:ascii="Arial" w:hAnsi="Arial" w:cs="Arial"/>
        </w:rPr>
        <w:fldChar w:fldCharType="end"/>
      </w:r>
      <w:r>
        <w:rPr>
          <w:rFonts w:ascii="Arial" w:hAnsi="Arial" w:cs="Arial"/>
        </w:rPr>
        <w:t xml:space="preserve"> and multiple allergic diseases (&gt;50% of controls from UKB)</w:t>
      </w:r>
      <w:r>
        <w:rPr>
          <w:rFonts w:ascii="Arial" w:hAnsi="Arial" w:cs="Arial"/>
        </w:rPr>
        <w:fldChar w:fldCharType="begin" w:fldLock="1"/>
      </w:r>
      <w:r w:rsidR="003827C7">
        <w:rPr>
          <w:rFonts w:ascii="Arial" w:hAnsi="Arial" w:cs="Arial"/>
        </w:rPr>
        <w:instrText>ADDIN CSL_CITATION {"citationItems":[{"id":"ITEM-1","itemData":{"DOI":"10.1038/ng.3985","ISSN":"1061-4036","author":[{"dropping-particle":"","family":"Ferreira","given":"Manuel A","non-dropping-particle":"","parse-names":false,"suffix":""},{"dropping-particle":"","family":"Vonk","given":"Judith M","non-dropping-particle":"","parse-names":false,"suffix":""},{"dropping-particle":"","family":"Baurecht","given":"Hansjörg","non-dropping-particle":"","parse-names":false,"suffix":""},{"dropping-particle":"","family":"Marenholz","given":"Ingo","non-dropping-particle":"","parse-names":false,"suffix":""},{"dropping-particle":"","family":"Tian","given":"Chao","non-dropping-particle":"","parse-names":false,"suffix":""},{"dropping-particle":"","family":"Hoffman","given":"Joshua D","non-dropping-particle":"","parse-names":false,"suffix":""},{"dropping-particle":"","family":"Helmer","given":"Quinta","non-dropping-particle":"","parse-names":false,"suffix":""},{"dropping-particle":"","family":"Tillander","given":"Annika","non-dropping-particle":"","parse-names":false,"suffix":""},{"dropping-particle":"","family":"Ullemar","given":"Vilhelmina","non-dropping-particle":"","parse-names":false,"suffix":""},{"dropping-particle":"","family":"Dongen","given":"Jenny","non-dropping-particle":"van","parse-names":false,"suffix":""},{"dropping-particle":"","family":"Lu","given":"Yi","non-dropping-particle":"","parse-names":false,"suffix":""},{"dropping-particle":"","family":"Rüschendorf","given":"Franz","non-dropping-particle":"","parse-names":false,"suffix":""},{"dropping-particle":"","family":"Esparza-Gordillo","given":"Jorge","non-dropping-particle":"","parse-names":false,"suffix":""},{"dropping-particle":"","family":"Medway","given":"Chris W","non-dropping-particle":"","parse-names":false,"suffix":""},{"dropping-particle":"","family":"Mountjoy","given":"Edward","non-dropping-particle":"","parse-names":false,"suffix":""},{"dropping-particle":"","family":"Burrows","given":"Kimberley","non-dropping-particle":"","parse-names":false,"suffix":""},{"dropping-particle":"","family":"Hummel","given":"Oliver","non-dropping-particle":"","parse-names":false,"suffix":""},{"dropping-particle":"","family":"Grosche","given":"Sarah","non-dropping-particle":"","parse-names":false,"suffix":""},{"dropping-particle":"","family":"Brumpton","given":"Ben M","non-dropping-particle":"","parse-names":false,"suffix":""},{"dropping-particle":"","family":"Witte","given":"John S","non-dropping-particle":"","parse-names":false,"suffix":""},{"dropping-particle":"","family":"Hottenga","given":"Jouke-Jan","non-dropping-particle":"","parse-names":false,"suffix":""},{"dropping-particle":"","family":"Willemsen","given":"Gonneke","non-dropping-particle":"","parse-names":false,"suffix":""},{"dropping-particle":"","family":"Zheng","given":"Jie","non-dropping-particle":"","parse-names":false,"suffix":""},{"dropping-particle":"","family":"Rodríguez","given":"Elke","non-dropping-particle":"","parse-names":false,"suffix":""},{"dropping-particle":"","family":"Hotze","given":"Melanie","non-dropping-particle":"","parse-names":false,"suffix":""},{"dropping-particle":"","family":"Franke","given":"Andre","non-dropping-particle":"","parse-names":false,"suffix":""},{"dropping-particle":"","family":"Revez","given":"Joana A","non-dropping-particle":"","parse-names":false,"suffix":""},{"dropping-particle":"","family":"Beesley","given":"Jonathan","non-dropping-particle":"","parse-names":false,"suffix":""},{"dropping-particle":"","family":"Matheson","given":"Melanie C","non-dropping-particle":"","parse-names":false,"suffix":""},{"dropping-particle":"","family":"Dharmage","given":"Shyamali C","non-dropping-particle":"","parse-names":false,"suffix":""},{"dropping-particle":"","family":"Bain","given":"Lisa M","non-dropping-particle":"","parse-names":false,"suffix":""},{"dropping-particle":"","family":"Fritsche","given":"Lars G","non-dropping-particle":"","parse-names":false,"suffix":""},{"dropping-particle":"","family":"Gabrielsen","given":"Maiken E","non-dropping-particle":"","parse-names":false,"suffix":""},{"dropping-particle":"","family":"Balliu","given":"Brunilda","non-dropping-particle":"","parse-names":false,"suffix":""},{"dropping-particle":"","family":"Nielsen","given":"Jonas B","non-dropping-particle":"","parse-names":false,"suffix":""},{"dropping-particle":"","family":"Zhou","given":"Wei","non-dropping-particle":"","parse-names":false,"suffix":""},{"dropping-particle":"","family":"Hveem","given":"Kristian","non-dropping-particle":"","parse-names":false,"suffix":""},{"dropping-particle":"","family":"Langhammer","given":"Arnulf","non-dropping-particle":"","parse-names":false,"suffix":""},{"dropping-particle":"","family":"Holmen","given":"Oddgeir L","non-dropping-particle":"","parse-names":false,"suffix":""},{"dropping-particle":"","family":"Løset","given":"Mari","non-dropping-particle":"","parse-names":false,"suffix":""},{"dropping-particle":"","family":"Abecasis","given":"Gonçalo R","non-dropping-particle":"","parse-names":false,"suffix":""},{"dropping-particle":"","family":"Willer","given":"Cristen J","non-dropping-particle":"","parse-names":false,"suffix":""},{"dropping-particle":"","family":"Arnold","given":"Andreas","non-dropping-particle":"","parse-names":false,"suffix":""},{"dropping-particle":"","family":"Homuth","given":"Georg","non-dropping-particle":"","parse-names":false,"suffix":""},{"dropping-particle":"","family":"Schmidt","given":"Carsten O","non-dropping-particle":"","parse-names":false,"suffix":""},{"dropping-particle":"","family":"Thompson","given":"Philip J","non-dropping-particle":"","parse-names":false,"suffix":""},{"dropping-particle":"","family":"Martin","given":"Nicholas G","non-dropping-particle":"","parse-names":false,"suffix":""},{"dropping-particle":"","family":"Duffy","given":"David L","non-dropping-particle":"","parse-names":false,"suffix":""},{"dropping-particle":"","family":"Novak","given":"Natalija","non-dropping-particle":"","parse-names":false,"suffix":""},{"dropping-particle":"","family":"Schulz","given":"Holger","non-dropping-particle":"","parse-names":false,"suffix":""},{"dropping-particle":"","family":"Karrasch","given":"Stefan","non-dropping-particle":"","parse-names":false,"suffix":""},{"dropping-particle":"","family":"Gieger","given":"Christian","non-dropping-particle":"","parse-names":false,"suffix":""},{"dropping-particle":"","family":"Strauch","given":"Konstantin","non-dropping-particle":"","parse-names":false,"suffix":""},{"dropping-particle":"","family":"Melles","given":"Ronald B","non-dropping-particle":"","parse-names":false,"suffix":""},{"dropping-particle":"","family":"Hinds","given":"David A","non-dropping-particle":"","parse-names":false,"suffix":""},{"dropping-particle":"","family":"Hübner","given":"Norbert","non-dropping-particle":"","parse-names":false,"suffix":""},{"dropping-particle":"","family":"Weidinger","given":"Stephan","non-dropping-particle":"","parse-names":false,"suffix":""},{"dropping-particle":"","family":"Magnusson","given":"Patrik K E","non-dropping-particle":"","parse-names":false,"suffix":""},{"dropping-particle":"","family":"Jansen","given":"Rick","non-dropping-particle":"","parse-names":false,"suffix":""},{"dropping-particle":"","family":"Jorgenson","given":"Eric","non-dropping-particle":"","parse-names":false,"suffix":""},{"dropping-particle":"","family":"Lee","given":"Young-Ae","non-dropping-particle":"","parse-names":false,"suffix":""},{"dropping-particle":"","family":"Boomsma","given":"Dorret I","non-dropping-particle":"","parse-names":false,"suffix":""},{"dropping-particle":"","family":"Almqvist","given":"Catarina","non-dropping-particle":"","parse-names":false,"suffix":""},{"dropping-particle":"","family":"Karlsson","given":"Robert","non-dropping-particle":"","parse-names":false,"suffix":""},{"dropping-particle":"","family":"Koppelman","given":"Gerard H","non-dropping-particle":"","parse-names":false,"suffix":""},{"dropping-particle":"","family":"Paternoster","given":"Lavinia","non-dropping-particle":"","parse-names":false,"suffix":""}],"container-title":"Nature Genetics","id":"ITEM-1","issue":"12","issued":{"date-parts":[["2017","12","30"]]},"page":"1752-1757","title":"Shared genetic origin of asthma, hay fever and eczema elucidates allergic disease biology","type":"article-journal","volume":"49"},"uris":["http://www.mendeley.com/documents/?uuid=49d04ec6-0082-477e-b376-21e258148b14"]}],"mendeley":{"formattedCitation":"&lt;sup&gt;14&lt;/sup&gt;","plainTextFormattedCitation":"14","previouslyFormattedCitation":"&lt;sup&gt;14&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14</w:t>
      </w:r>
      <w:r>
        <w:rPr>
          <w:rFonts w:ascii="Arial" w:hAnsi="Arial" w:cs="Arial"/>
        </w:rPr>
        <w:fldChar w:fldCharType="end"/>
      </w:r>
      <w:r>
        <w:rPr>
          <w:rFonts w:ascii="Arial" w:hAnsi="Arial" w:cs="Arial"/>
        </w:rPr>
        <w:t xml:space="preserve"> as well as suggestive associations with COVID-19 susceptibility (UKB controls) and COVID-19-associated pneumonia (23andMe controls).</w:t>
      </w:r>
      <w:r>
        <w:rPr>
          <w:rFonts w:ascii="Arial" w:hAnsi="Arial" w:cs="Arial"/>
        </w:rPr>
        <w:fldChar w:fldCharType="begin" w:fldLock="1"/>
      </w:r>
      <w:r w:rsidR="003827C7">
        <w:rPr>
          <w:rFonts w:ascii="Arial" w:hAnsi="Arial" w:cs="Arial"/>
        </w:rPr>
        <w:instrText>ADDIN CSL_CITATION {"citationItems":[{"id":"ITEM-1","itemData":{"DOI":"10.1038/s41588-021-00854-7","ISSN":"1061-4036","PMID":"33888907","abstract":"COVID-19 presents with a wide range of severity, from asymptomatic in some individuals to fatal in others. Based on a study of 1,051,032 23andMe research participants, we report genetic and nongenetic associations with testing positive for SARS-CoV-2, respiratory symptoms and hospitalization. Using trans-ancestry genome-wide association studies, we identified a strong association between blood type and COVID-19 diagnosis, as well as a gene-rich locus on chromosome 3p21.31 that is more strongly associated with outcome severity. Hospitalization risk factors include advancing age, male sex, obesity, lower socioeconomic status, non-European ancestry and preexisting cardiometabolic conditions. While non-European ancestry was a significant risk factor for hospitalization after adjusting for sociodemographics and preexisting health conditions, we did not find evidence that these two primary genetic associations explain risk differences between populations for severe COVID-19 outcomes.","author":[{"dropping-particle":"","family":"Shelton","given":"Janie F.","non-dropping-particle":"","parse-names":false,"suffix":""},{"dropping-particle":"","family":"Shastri","given":"Anjali J.","non-dropping-particle":"","parse-names":false,"suffix":""},{"dropping-particle":"","family":"Ye","given":"Chelsea","non-dropping-particle":"","parse-names":false,"suffix":""},{"dropping-particle":"","family":"Weldon","given":"Catherine H.","non-dropping-particle":"","parse-names":false,"suffix":""},{"dropping-particle":"","family":"Filshtein-Sonmez","given":"Teresa","non-dropping-particle":"","parse-names":false,"suffix":""},{"dropping-particle":"","family":"Coker","given":"Daniella","non-dropping-particle":"","parse-names":false,"suffix":""},{"dropping-particle":"","family":"Symons","given":"Antony","non-dropping-particle":"","parse-names":false,"suffix":""},{"dropping-particle":"","family":"Esparza-Gordillo","given":"Jorge","non-dropping-particle":"","parse-names":false,"suffix":""},{"dropping-particle":"","family":"Chubb","given":"Adrian","non-dropping-particle":"","parse-names":false,"suffix":""},{"dropping-particle":"","family":"Fitch","given":"Alison","non-dropping-particle":"","parse-names":false,"suffix":""},{"dropping-particle":"","family":"Kung","given":"Alison","non-dropping-particle":"","parse-names":false,"suffix":""},{"dropping-particle":"","family":"Altman","given":"Amanda","non-dropping-particle":"","parse-names":false,"suffix":""},{"dropping-particle":"","family":"Kill","given":"Andy","non-dropping-particle":"","parse-names":false,"suffix":""},{"dropping-particle":"","family":"Tan","given":"Jason","non-dropping-particle":"","parse-names":false,"suffix":""},{"dropping-particle":"","family":"Pollard","given":"Jeff","non-dropping-particle":"","parse-names":false,"suffix":""},{"dropping-particle":"","family":"McCreight","given":"Jey","non-dropping-particle":"","parse-names":false,"suffix":""},{"dropping-particle":"","family":"Bielenberg","given":"Jess","non-dropping-particle":"","parse-names":false,"suffix":""},{"dropping-particle":"","family":"Matthews","given":"John","non-dropping-particle":"","parse-names":false,"suffix":""},{"dropping-particle":"","family":"Lee","given":"Johnny","non-dropping-particle":"","parse-names":false,"suffix":""},{"dropping-particle":"","family":"Tran","given":"Lindsey","non-dropping-particle":"","parse-names":false,"suffix":""},{"dropping-particle":"","family":"Agee","given":"Michelle","non-dropping-particle":"","parse-names":false,"suffix":""},{"dropping-particle":"","family":"Royce","given":"Monica","non-dropping-particle":"","parse-names":false,"suffix":""},{"dropping-particle":"","family":"Tang","given":"Nate","non-dropping-particle":"","parse-names":false,"suffix":""},{"dropping-particle":"","family":"Gandhi","given":"Pooja","non-dropping-particle":"","parse-names":false,"suffix":""},{"dropping-particle":"","family":"D’Amore","given":"Raffaello","non-dropping-particle":"","parse-names":false,"suffix":""},{"dropping-particle":"","family":"Tennen","given":"Ruth","non-dropping-particle":"","parse-names":false,"suffix":""},{"dropping-particle":"","family":"Dvorak","given":"Scott","non-dropping-particle":"","parse-names":false,"suffix":""},{"dropping-particle":"","family":"Hadly","given":"Scott","non-dropping-particle":"","parse-names":false,"suffix":""},{"dropping-particle":"","family":"Park","given":"Sungmin","non-dropping-particle":"","parse-names":false,"suffix":""},{"dropping-particle":"","family":"Morrow","given":"Taylor","non-dropping-particle":"","parse-names":false,"suffix":""},{"dropping-particle":"","family":"Le","given":"Trung","non-dropping-particle":"","parse-names":false,"suffix":""},{"dropping-particle":"","family":"Zheng","given":"Yiwen","non-dropping-particle":"","parse-names":false,"suffix":""},{"dropping-particle":"","family":"Aslibekyan","given":"Stella","non-dropping-particle":"","parse-names":false,"suffix":""},{"dropping-particle":"","family":"Auton","given":"Adam","non-dropping-particle":"","parse-names":false,"suffix":""}],"container-title":"Nature Genetics","id":"ITEM-1","issue":"6","issued":{"date-parts":[["2021","6","22"]]},"page":"801-808","title":"Trans-ancestry analysis reveals genetic and nongenetic associations with COVID-19 susceptibility and severity","type":"article-journal","volume":"53"},"uris":["http://www.mendeley.com/documents/?uuid=e502fa59-0fc1-46e0-9f33-b175c237aa0c"]},{"id":"ITEM-2","itemData":{"DOI":"10.1101/2021.06.08.21258507","author":[{"dropping-particle":"","family":"Florian Thibord, Melissa V. Chan, Ming-Huei Chen","given":"Andrew D. Johnson","non-dropping-particle":"","parse-names":false,"suffix":""}],"container-title":"medRxiv","id":"ITEM-2","issued":{"date-parts":[["2021"]]},"note":"Take note of any changes in reporting/analysis/ANYTHING starting from the end of their previous version - Feb 24\n\nsummarizes the results of 612 GWAS derived from snapshots of the UKB-COVID-19 releases","title":"A year of Covid-19 GWAS results from the GRASP portal reveals potential SARS-CoV-2 modifiers v2","type":"article-journal"},"uris":["http://www.mendeley.com/documents/?uuid=8a9a12fb-1241-4b44-a869-40475504706e"]}],"mendeley":{"formattedCitation":"&lt;sup&gt;15,16&lt;/sup&gt;","plainTextFormattedCitation":"15,16","previouslyFormattedCitation":"&lt;sup&gt;15,16&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15,16</w:t>
      </w:r>
      <w:r>
        <w:rPr>
          <w:rFonts w:ascii="Arial" w:hAnsi="Arial" w:cs="Arial"/>
        </w:rPr>
        <w:fldChar w:fldCharType="end"/>
      </w:r>
      <w:r>
        <w:rPr>
          <w:rFonts w:ascii="Arial" w:hAnsi="Arial" w:cs="Arial"/>
        </w:rPr>
        <w:t xml:space="preserve"> </w:t>
      </w:r>
      <w:r w:rsidR="00574D49">
        <w:rPr>
          <w:rFonts w:ascii="Arial" w:hAnsi="Arial" w:cs="Arial"/>
        </w:rPr>
        <w:t xml:space="preserve">Similarly, </w:t>
      </w:r>
      <w:r>
        <w:rPr>
          <w:rFonts w:ascii="Arial" w:hAnsi="Arial" w:cs="Arial"/>
        </w:rPr>
        <w:t xml:space="preserve">UKB-specific signals for </w:t>
      </w:r>
      <w:r w:rsidRPr="00B01587">
        <w:rPr>
          <w:rFonts w:ascii="Arial" w:hAnsi="Arial" w:cs="Arial"/>
          <w:i/>
          <w:iCs/>
        </w:rPr>
        <w:t>MIR3681HG</w:t>
      </w:r>
      <w:r>
        <w:rPr>
          <w:rFonts w:ascii="Arial" w:hAnsi="Arial" w:cs="Arial"/>
        </w:rPr>
        <w:t xml:space="preserve"> include associations with total/bioavailable testosterone levels in UKB women of European ancestry,</w:t>
      </w:r>
      <w:r>
        <w:rPr>
          <w:rFonts w:ascii="Arial" w:hAnsi="Arial" w:cs="Arial"/>
        </w:rPr>
        <w:fldChar w:fldCharType="begin" w:fldLock="1"/>
      </w:r>
      <w:r w:rsidR="003827C7">
        <w:rPr>
          <w:rFonts w:ascii="Arial" w:hAnsi="Arial" w:cs="Arial"/>
        </w:rPr>
        <w:instrText>ADDIN CSL_CITATION {"citationItems":[{"id":"ITEM-1","itemData":{"DOI":"10.1038/s41591-020-0751-5","ISSN":"1078-8956","PMID":"32042192","abstract":"Testosterone supplementation is commonly used for its effects on sexual function, bone health and body composition, yet its effects on disease outcomes are unknown. To better understand this, we identified genetic determinants of testosterone levels and related sex hormone traits in 425,097 UK Biobank study participants. Using 2,571 genome-wide significant associations, we demonstrate that the genetic determinants of testosterone levels are substantially different between sexes and that genetically higher testosterone is harmful for metabolic diseases in women but beneficial in men. For example, a genetically determined 1 s.d. higher testosterone increases the risks of type 2 diabetes (odds ratio (OR) = 1.37 (95% confidence interval (95% CI): 1.22–1.53)) and polycystic ovary syndrome (OR = 1.51 (95% CI: 1.33–1.72)) in women, but reduces type 2 diabetes risk in men (OR = 0.86 (95% CI: 0.76–0.98)). We also show adverse effects of higher testosterone on breast and endometrial cancers in women and prostate cancer in men. Our findings provide insights into the disease impacts of testosterone and highlight the importance of sex-specific genetic analyses.","author":[{"dropping-particle":"","family":"Ruth","given":"Katherine S.","non-dropping-particle":"","parse-names":false,"suffix":""},{"dropping-particle":"","family":"Day","given":"Felix R.","non-dropping-particle":"","parse-names":false,"suffix":""},{"dropping-particle":"","family":"Tyrrell","given":"Jessica","non-dropping-particle":"","parse-names":false,"suffix":""},{"dropping-particle":"","family":"Thompson","given":"Deborah J.","non-dropping-particle":"","parse-names":false,"suffix":""},{"dropping-particle":"","family":"Wood","given":"Andrew R.","non-dropping-particle":"","parse-names":false,"suffix":""},{"dropping-particle":"","family":"Mahajan","given":"Anubha","non-dropping-particle":"","parse-names":false,"suffix":""},{"dropping-particle":"","family":"Beaumont","given":"Robin N.","non-dropping-particle":"","parse-names":false,"suffix":""},{"dropping-particle":"","family":"Wittemans","given":"Laura","non-dropping-particle":"","parse-names":false,"suffix":""},{"dropping-particle":"","family":"Martin","given":"Susan","non-dropping-particle":"","parse-names":false,"suffix":""},{"dropping-particle":"","family":"Busch","given":"Alexander S.","non-dropping-particle":"","parse-names":false,"suffix":""},{"dropping-particle":"","family":"Erzurumluoglu","given":"A. Mesut","non-dropping-particle":"","parse-names":false,"suffix":""},{"dropping-particle":"","family":"Hollis","given":"Benjamin","non-dropping-particle":"","parse-names":false,"suffix":""},{"dropping-particle":"","family":"O’Mara","given":"Tracy A.","non-dropping-particle":"","parse-names":false,"suffix":""},{"dropping-particle":"","family":"McCarthy","given":"Mark I.","non-dropping-particle":"","parse-names":false,"suffix":""},{"dropping-particle":"","family":"Langenberg","given":"Claudia","non-dropping-particle":"","parse-names":false,"suffix":""},{"dropping-particle":"","family":"Easton","given":"Douglas F.","non-dropping-particle":"","parse-names":false,"suffix":""},{"dropping-particle":"","family":"Wareham","given":"Nicholas J.","non-dropping-particle":"","parse-names":false,"suffix":""},{"dropping-particle":"","family":"Burgess","given":"Stephen","non-dropping-particle":"","parse-names":false,"suffix":""},{"dropping-particle":"","family":"Murray","given":"Anna","non-dropping-particle":"","parse-names":false,"suffix":""},{"dropping-particle":"","family":"Ong","given":"Ken K.","non-dropping-particle":"","parse-names":false,"suffix":""},{"dropping-particle":"","family":"Frayling","given":"Timothy M.","non-dropping-particle":"","parse-names":false,"suffix":""},{"dropping-particle":"","family":"Perry","given":"John R. B.","non-dropping-particle":"","parse-names":false,"suffix":""}],"container-title":"Nature Medicine","id":"ITEM-1","issue":"2","issued":{"date-parts":[["2020","2","10"]]},"page":"252-258","publisher":"Springer US","title":"Using human genetics to understand the disease impacts of testosterone in men and women","type":"article-journal","volume":"26"},"uris":["http://www.mendeley.com/documents/?uuid=41d5fe6e-6bab-4bb8-83b5-2e5e03bc6989"]}],"mendeley":{"formattedCitation":"&lt;sup&gt;17&lt;/sup&gt;","plainTextFormattedCitation":"17","previouslyFormattedCitation":"&lt;sup&gt;17&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17</w:t>
      </w:r>
      <w:r>
        <w:rPr>
          <w:rFonts w:ascii="Arial" w:hAnsi="Arial" w:cs="Arial"/>
        </w:rPr>
        <w:fldChar w:fldCharType="end"/>
      </w:r>
      <w:r>
        <w:rPr>
          <w:rFonts w:ascii="Arial" w:hAnsi="Arial" w:cs="Arial"/>
        </w:rPr>
        <w:t xml:space="preserve"> autoimmune thyroid disease when using European UKB controls,</w:t>
      </w:r>
      <w:r>
        <w:rPr>
          <w:rFonts w:ascii="Arial" w:hAnsi="Arial" w:cs="Arial"/>
        </w:rPr>
        <w:fldChar w:fldCharType="begin" w:fldLock="1"/>
      </w:r>
      <w:r w:rsidR="003827C7">
        <w:rPr>
          <w:rFonts w:ascii="Arial" w:hAnsi="Arial" w:cs="Arial"/>
        </w:rPr>
        <w:instrText>ADDIN CSL_CITATION {"citationItems":[{"id":"ITEM-1","itemData":{"DOI":"10.1038/s41586-020-2436-0","ISSN":"0028-0836","PMID":"32581359","abstract":"Autoimmune thyroid disease is the most common autoimmune disease and is highly heritable1. Here, by using a genome-wide association study of 30,234 cases and 725,172 controls from Iceland and the UK Biobank, we find 99 sequence variants at 93 loci, of which 84 variants are previously unreported2–7. A low-frequency (1.36%) intronic variant in FLT3 (rs76428106-C) has the largest effect on risk of autoimmune thyroid disease (odds ratio (OR) = 1.46, P = 2.37 × 10−24). rs76428106-C is also associated with systemic lupus erythematosus (OR = 1.90, P = 6.46 × 10−4), rheumatoid factor and/or anti-CCP-positive rheumatoid arthritis (OR = 1.41, P = 4.31 × 10−4) and coeliac disease (OR = 1.62, P = 1.20 × 10−4). FLT3 encodes fms-related tyrosine kinase 3, a receptor that regulates haematopoietic progenitor and dendritic cells. RNA sequencing revealed that rs76428106-C generates a cryptic splice site, which introduces a stop codon in 30% of transcripts that are predicted to encode a truncated protein, which lacks its tyrosine kinase domains. Each copy of rs76428106-C doubles the plasma levels of the FTL3 ligand. Activating somatic mutations in FLT3 are associated with acute myeloid leukaemia8 with a poor prognosis and rs76428106-C also predisposes individuals to acute myeloid leukaemia (OR = 1.90, P = 5.40 × 10−3). Thus, a predicted loss-of-function germline mutation in FLT3 causes a reduction in full-length FLT3, with a compensatory increase in the levels of its ligand and an increased disease risk, similar to that of a gain-of-function mutation.","author":[{"dropping-particle":"","family":"Saevarsdottir","given":"Saedis","non-dropping-particle":"","parse-names":false,"suffix":""},{"dropping-particle":"","family":"Olafsdottir","given":"Thorunn A.","non-dropping-particle":"","parse-names":false,"suffix":""},{"dropping-particle":"V.","family":"Ivarsdottir","given":"Erna","non-dropping-particle":"","parse-names":false,"suffix":""},{"dropping-particle":"","family":"Halldorsson","given":"Gisli H.","non-dropping-particle":"","parse-names":false,"suffix":""},{"dropping-particle":"","family":"Gunnarsdottir","given":"Kristbjorg","non-dropping-particle":"","parse-names":false,"suffix":""},{"dropping-particle":"","family":"Sigurdsson","given":"Asgeir","non-dropping-particle":"","parse-names":false,"suffix":""},{"dropping-particle":"","family":"Johannesson","given":"Ari","non-dropping-particle":"","parse-names":false,"suffix":""},{"dropping-particle":"","family":"Sigurdsson","given":"Jon K.","non-dropping-particle":"","parse-names":false,"suffix":""},{"dropping-particle":"","family":"Juliusdottir","given":"Thorhildur","non-dropping-particle":"","parse-names":false,"suffix":""},{"dropping-particle":"","family":"Lund","given":"Sigrun H.","non-dropping-particle":"","parse-names":false,"suffix":""},{"dropping-particle":"","family":"Arnthorsson","given":"Asgeir O.","non-dropping-particle":"","parse-names":false,"suffix":""},{"dropping-particle":"","family":"Styrmisdottir","given":"Edda L.","non-dropping-particle":"","parse-names":false,"suffix":""},{"dropping-particle":"","family":"Gudmundsson","given":"Julius","non-dropping-particle":"","parse-names":false,"suffix":""},{"dropping-particle":"","family":"Grondal","given":"Gerdur M.","non-dropping-particle":"","parse-names":false,"suffix":""},{"dropping-particle":"","family":"Steinsson","given":"Kristjan","non-dropping-particle":"","parse-names":false,"suffix":""},{"dropping-particle":"","family":"Alfredsson","given":"Lars","non-dropping-particle":"","parse-names":false,"suffix":""},{"dropping-particle":"","family":"Askling","given":"Johan","non-dropping-particle":"","parse-names":false,"suffix":""},{"dropping-particle":"","family":"Benediktsson","given":"Rafn","non-dropping-particle":"","parse-names":false,"suffix":""},{"dropping-particle":"","family":"Bjarnason","given":"Ragnar","non-dropping-particle":"","parse-names":false,"suffix":""},{"dropping-particle":"","family":"Geirsson","given":"Arni J.","non-dropping-particle":"","parse-names":false,"suffix":""},{"dropping-particle":"","family":"Gudbjornsson","given":"Bjorn","non-dropping-particle":"","parse-names":false,"suffix":""},{"dropping-particle":"","family":"Gudjonsson","given":"Hallgrimur","non-dropping-particle":"","parse-names":false,"suffix":""},{"dropping-particle":"","family":"Hjaltason","given":"Haukur","non-dropping-particle":"","parse-names":false,"suffix":""},{"dropping-particle":"","family":"Hreidarsson","given":"Astradur B.","non-dropping-particle":"","parse-names":false,"suffix":""},{"dropping-particle":"","family":"Klareskog","given":"Lars","non-dropping-particle":"","parse-names":false,"suffix":""},{"dropping-particle":"","family":"Kockum","given":"Ingrid","non-dropping-particle":"","parse-names":false,"suffix":""},{"dropping-particle":"","family":"Kristjansdottir","given":"Helga","non-dropping-particle":"","parse-names":false,"suffix":""},{"dropping-particle":"","family":"Love","given":"Thorvardur J.","non-dropping-particle":"","parse-names":false,"suffix":""},{"dropping-particle":"","family":"Ludviksson","given":"Bjorn R.","non-dropping-particle":"","parse-names":false,"suffix":""},{"dropping-particle":"","family":"Olsson","given":"Tomas","non-dropping-particle":"","parse-names":false,"suffix":""},{"dropping-particle":"","family":"Onundarson","given":"Pall T.","non-dropping-particle":"","parse-names":false,"suffix":""},{"dropping-particle":"","family":"Orvar","given":"Kjartan B.","non-dropping-particle":"","parse-names":false,"suffix":""},{"dropping-particle":"","family":"Padyukov","given":"Leonid","non-dropping-particle":"","parse-names":false,"suffix":""},{"dropping-particle":"","family":"Sigurgeirsson","given":"Bardur","non-dropping-particle":"","parse-names":false,"suffix":""},{"dropping-particle":"","family":"Tragante","given":"Vinicius","non-dropping-particle":"","parse-names":false,"suffix":""},{"dropping-particle":"","family":"Bjarnadottir","given":"Kristbjorg","non-dropping-particle":"","parse-names":false,"suffix":""},{"dropping-particle":"","family":"Rafnar","given":"Thorunn","non-dropping-particle":"","parse-names":false,"suffix":""},{"dropping-particle":"","family":"Masson","given":"Gisli","non-dropping-particle":"","parse-names":false,"suffix":""},{"dropping-particle":"","family":"Sulem","given":"Patrick","non-dropping-particle":"","parse-names":false,"suffix":""},{"dropping-particle":"","family":"Gudbjartsson","given":"Daniel F.","non-dropping-particle":"","parse-names":false,"suffix":""},{"dropping-particle":"","family":"Melsted","given":"Pall","non-dropping-particle":"","parse-names":false,"suffix":""},{"dropping-particle":"","family":"Thorleifsson","given":"Gudmar","non-dropping-particle":"","parse-names":false,"suffix":""},{"dropping-particle":"","family":"Norddahl","given":"Gudmundur L.","non-dropping-particle":"","parse-names":false,"suffix":""},{"dropping-particle":"","family":"Thorsteinsdottir","given":"Unnur","non-dropping-particle":"","parse-names":false,"suffix":""},{"dropping-particle":"","family":"Jonsdottir","given":"Ingileif","non-dropping-particle":"","parse-names":false,"suffix":""},{"dropping-particle":"","family":"Stefansson","given":"Kari","non-dropping-particle":"","parse-names":false,"suffix":""}],"container-title":"Nature","id":"ITEM-1","issue":"7822","issued":{"date-parts":[["2020","8","27"]]},"page":"619-623","publisher":"Springer US","title":"FLT3 stop mutation increases FLT3 ligand level and risk of autoimmune thyroid disease","type":"article-journal","volume":"584"},"uris":["http://www.mendeley.com/documents/?uuid=1ea0fba0-8c76-4788-bdc0-22df9df04463"]}],"mendeley":{"formattedCitation":"&lt;sup&gt;18&lt;/sup&gt;","plainTextFormattedCitation":"18","previouslyFormattedCitation":"&lt;sup&gt;18&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18</w:t>
      </w:r>
      <w:r>
        <w:rPr>
          <w:rFonts w:ascii="Arial" w:hAnsi="Arial" w:cs="Arial"/>
        </w:rPr>
        <w:fldChar w:fldCharType="end"/>
      </w:r>
      <w:r w:rsidRPr="002C51F0">
        <w:rPr>
          <w:rFonts w:ascii="Arial" w:hAnsi="Arial" w:cs="Arial"/>
        </w:rPr>
        <w:t xml:space="preserve"> </w:t>
      </w:r>
      <w:r>
        <w:rPr>
          <w:rFonts w:ascii="Arial" w:hAnsi="Arial" w:cs="Arial"/>
        </w:rPr>
        <w:t>medication use among European UKB participants,</w:t>
      </w:r>
      <w:r>
        <w:rPr>
          <w:rFonts w:ascii="Arial" w:hAnsi="Arial" w:cs="Arial"/>
        </w:rPr>
        <w:fldChar w:fldCharType="begin" w:fldLock="1"/>
      </w:r>
      <w:r w:rsidR="003827C7">
        <w:rPr>
          <w:rFonts w:ascii="Arial" w:hAnsi="Arial" w:cs="Arial"/>
        </w:rPr>
        <w:instrText>ADDIN CSL_CITATION {"citationItems":[{"id":"ITEM-1","itemData":{"DOI":"10.1038/s41467-019-09572-5","ISSN":"2041-1723","PMID":"31015401","abstract":"Genome-wide association studies (GWASs) of medication use may contribute to understanding of disease etiology, could generate new leads relevant for drug discovery and can be used to quantify future risk of medication taking. Here, we conduct GWASs of self-reported medication use from 23 medication categories in approximately 320,000 individuals from the UK Biobank. A total of 505 independent genetic loci that meet stringent criteria (P &lt; 10 −8 /23) for statistical significance are identified. We investigate the implications of these GWAS findings in relation to biological mechanism, potential drug target identification and genetic risk stratification of disease. Amongst the medication-associated genes are 16 known therapeutic-effect target genes for medications from 9 categories. Two of the medication classes studied are for disorders that have not previously been subject to large GWAS (hypothyroidism and gastro-oesophageal reflux disease).","author":[{"dropping-particle":"","family":"Wu","given":"Yeda","non-dropping-particle":"","parse-names":false,"suffix":""},{"dropping-particle":"","family":"Byrne","given":"Enda M.","non-dropping-particle":"","parse-names":false,"suffix":""},{"dropping-particle":"","family":"Zheng","given":"Zhili","non-dropping-particle":"","parse-names":false,"suffix":""},{"dropping-particle":"","family":"Kemper","given":"Kathryn E.","non-dropping-particle":"","parse-names":false,"suffix":""},{"dropping-particle":"","family":"Yengo","given":"Loic","non-dropping-particle":"","parse-names":false,"suffix":""},{"dropping-particle":"","family":"Mallett","given":"Andrew J.","non-dropping-particle":"","parse-names":false,"suffix":""},{"dropping-particle":"","family":"Yang","given":"Jian","non-dropping-particle":"","parse-names":false,"suffix":""},{"dropping-particle":"","family":"Visscher","given":"Peter M.","non-dropping-particle":"","parse-names":false,"suffix":""},{"dropping-particle":"","family":"Wray","given":"Naomi R.","non-dropping-particle":"","parse-names":false,"suffix":""}],"container-title":"Nature Communications","id":"ITEM-1","issue":"1","issued":{"date-parts":[["2019","12","23"]]},"page":"1891","publisher":"Springer US","title":"Genome-wide association study of medication-use and associated disease in the UK Biobank","type":"article-journal","volume":"10"},"uris":["http://www.mendeley.com/documents/?uuid=a35d108b-a454-428e-b20c-ade1e64625ff"]}],"mendeley":{"formattedCitation":"&lt;sup&gt;19&lt;/sup&gt;","plainTextFormattedCitation":"19","previouslyFormattedCitation":"&lt;sup&gt;19&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19</w:t>
      </w:r>
      <w:r>
        <w:rPr>
          <w:rFonts w:ascii="Arial" w:hAnsi="Arial" w:cs="Arial"/>
        </w:rPr>
        <w:fldChar w:fldCharType="end"/>
      </w:r>
      <w:r>
        <w:rPr>
          <w:rFonts w:ascii="Arial" w:hAnsi="Arial" w:cs="Arial"/>
        </w:rPr>
        <w:t xml:space="preserve"> body mass index (BMI) among European UKB participants,</w:t>
      </w:r>
      <w:r>
        <w:rPr>
          <w:rFonts w:ascii="Arial" w:hAnsi="Arial" w:cs="Arial"/>
        </w:rPr>
        <w:fldChar w:fldCharType="begin" w:fldLock="1"/>
      </w:r>
      <w:r w:rsidR="003827C7">
        <w:rPr>
          <w:rFonts w:ascii="Arial" w:hAnsi="Arial" w:cs="Arial"/>
        </w:rPr>
        <w:instrText>ADDIN CSL_CITATION {"citationItems":[{"id":"ITEM-1","itemData":{"DOI":"10.1016/j.jaci.2019.09.035","ISSN":"00916749","PMID":"31669095","abstract":"Background: Clinical and epidemiologic studies have shown that obesity is associated with asthma and that these associations differ by asthma subtype. Little is known about the shared genetic components between obesity and asthma. Objective: We sought to identify shared genetic associations between obesity-related traits and asthma subtypes in adults. Methods: A cross-trait genome-wide association study (GWAS) was performed using 457,822 subjects of European ancestry from the UK Biobank. Experimental evidence to support the role of genes significantly associated with both obesity-related traits and asthma through a GWAS was sought by using results from obese versus lean mouse RNA sequencing and RT-PCR experiments. Results: We found a substantial positive genetic correlation between body mass index and later-onset asthma defined by asthma age of onset at 16 years or greater (Rg = .0.25, P = .9.56 × 10−22). Mendelian randomization analysis provided strong evidence in support of body mass index causally increasing asthma risk. Cross-trait meta-analysis identified 34 shared loci among 3 obesity-related traits and 2 asthma subtypes. GWAS functional analyses identified potential causal relationships between the shared loci and Genotype-Tissue Expression (GTEx) quantitative trait loci and shared immune- and cell differentiation–related pathways between obesity and asthma. Finally, RNA sequencing data from lungs of obese versus control mice found that 2 genes (acyl-coenzyme A oxidase-like [ACOXL] and myosin light chain 6 [MYL6]) from the cross-trait meta-analysis were differentially expressed, and these findings were validated by using RT-PCR in an independent set of mice. Conclusions: Our work identified shared genetic components between obesity-related traits and specific asthma subtypes, reinforcing the hypothesis that obesity causally increases the risk of asthma and identifying molecular pathways that might underlie both obesity and asthma.","author":[{"dropping-particle":"","family":"Zhu","given":"Zhaozhong","non-dropping-particle":"","parse-names":false,"suffix":""},{"dropping-particle":"","family":"Guo","given":"Yanjun","non-dropping-particle":"","parse-names":false,"suffix":""},{"dropping-particle":"","family":"Shi","given":"Huwenbo","non-dropping-particle":"","parse-names":false,"suffix":""},{"dropping-particle":"","family":"Liu","given":"Cong-Lin","non-dropping-particle":"","parse-names":false,"suffix":""},{"dropping-particle":"","family":"Panganiban","given":"Ronald Allan","non-dropping-particle":"","parse-names":false,"suffix":""},{"dropping-particle":"","family":"Chung","given":"Wonil","non-dropping-particle":"","parse-names":false,"suffix":""},{"dropping-particle":"","family":"O'Connor","given":"Luke J.","non-dropping-particle":"","parse-names":false,"suffix":""},{"dropping-particle":"","family":"Himes","given":"Blanca E.","non-dropping-particle":"","parse-names":false,"suffix":""},{"dropping-particle":"","family":"Gazal","given":"Steven","non-dropping-particle":"","parse-names":false,"suffix":""},{"dropping-particle":"","family":"Hasegawa","given":"Kohei","non-dropping-particle":"","parse-names":false,"suffix":""},{"dropping-particle":"","family":"Camargo","given":"Carlos A.","non-dropping-particle":"","parse-names":false,"suffix":""},{"dropping-particle":"","family":"Qi","given":"Lu","non-dropping-particle":"","parse-names":false,"suffix":""},{"dropping-particle":"","family":"Moffatt","given":"Miriam F.","non-dropping-particle":"","parse-names":false,"suffix":""},{"dropping-particle":"","family":"Hu","given":"Frank B.","non-dropping-particle":"","parse-names":false,"suffix":""},{"dropping-particle":"","family":"Lu","given":"Quan","non-dropping-particle":"","parse-names":false,"suffix":""},{"dropping-particle":"","family":"Cookson","given":"William O.C.","non-dropping-particle":"","parse-names":false,"suffix":""},{"dropping-particle":"","family":"Liang","given":"Liming","non-dropping-particle":"","parse-names":false,"suffix":""}],"container-title":"Journal of Allergy and Clinical Immunology","id":"ITEM-1","issue":"2","issued":{"date-parts":[["2020","2"]]},"page":"537-549","publisher":"Elsevier Ltd","title":"Shared genetic and experimental links between obesity-related traits and asthma subtypes in UK Biobank","type":"article-journal","volume":"145"},"uris":["http://www.mendeley.com/documents/?uuid=f7a979c2-688d-4394-8333-1f12b89ecbf8"]}],"mendeley":{"formattedCitation":"&lt;sup&gt;20&lt;/sup&gt;","plainTextFormattedCitation":"20","previouslyFormattedCitation":"&lt;sup&gt;20&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20</w:t>
      </w:r>
      <w:r>
        <w:rPr>
          <w:rFonts w:ascii="Arial" w:hAnsi="Arial" w:cs="Arial"/>
        </w:rPr>
        <w:fldChar w:fldCharType="end"/>
      </w:r>
      <w:r>
        <w:rPr>
          <w:rFonts w:ascii="Arial" w:hAnsi="Arial" w:cs="Arial"/>
        </w:rPr>
        <w:t xml:space="preserve"> height of all UKB participants,</w:t>
      </w:r>
      <w:r>
        <w:rPr>
          <w:rFonts w:ascii="Arial" w:hAnsi="Arial" w:cs="Arial"/>
        </w:rPr>
        <w:fldChar w:fldCharType="begin" w:fldLock="1"/>
      </w:r>
      <w:r w:rsidR="003827C7">
        <w:rPr>
          <w:rFonts w:ascii="Arial" w:hAnsi="Arial" w:cs="Arial"/>
        </w:rPr>
        <w:instrText>ADDIN CSL_CITATION {"citationItems":[{"id":"ITEM-1","itemData":{"DOI":"10.1016/j.ajhg.2018.11.008","ISSN":"00029297","PMID":"30595370","abstract":"Functional genomics data has the potential to increase GWAS power by identifying SNPs that have a higher prior probability of association. Here, we introduce a method that leverages polygenic functional enrichment to incorporate coding, conserved, regulatory, and LD-related genomic annotations into association analyses. We show via simulations with real genotypes that the method, functionally informed novel discovery of risk loci (FINDOR), correctly controls the false-positive rate at null loci and attains a 9%–38% increase in the number of independent associations detected at causal loci, depending on trait polygenicity and sample size. We applied FINDOR to 27 independent complex traits and diseases from the interim UK Biobank release (average N = 130K). Averaged across traits, we attained a 13% increase in genome-wide significant loci detected (including a 20% increase for disease traits) compared to unweighted raw p values that do not use functional data. We replicated the additional loci in independent UK Biobank and non-UK Biobank data, yielding a highly statistically significant replication slope (0.66–0.69) in each case. Finally, we applied FINDOR to the full UK Biobank release (average N = 416K), attaining smaller relative improvements (consistent with simulations) but larger absolute improvements, detecting an additional 583 GWAS loci. In conclusion, leveraging functional enrichment using our method robustly increases GWAS power.","author":[{"dropping-particle":"","family":"Kichaev","given":"Gleb","non-dropping-particle":"","parse-names":false,"suffix":""},{"dropping-particle":"","family":"Bhatia","given":"Gaurav","non-dropping-particle":"","parse-names":false,"suffix":""},{"dropping-particle":"","family":"Loh","given":"Po-Ru","non-dropping-particle":"","parse-names":false,"suffix":""},{"dropping-particle":"","family":"Gazal","given":"Steven","non-dropping-particle":"","parse-names":false,"suffix":""},{"dropping-particle":"","family":"Burch","given":"Kathryn","non-dropping-particle":"","parse-names":false,"suffix":""},{"dropping-particle":"","family":"Freund","given":"Malika K.","non-dropping-particle":"","parse-names":false,"suffix":""},{"dropping-particle":"","family":"Schoech","given":"Armin","non-dropping-particle":"","parse-names":false,"suffix":""},{"dropping-particle":"","family":"Pasaniuc","given":"Bogdan","non-dropping-particle":"","parse-names":false,"suffix":""},{"dropping-particle":"","family":"Price","given":"Alkes L.","non-dropping-particle":"","parse-names":false,"suffix":""}],"container-title":"The American Journal of Human Genetics","id":"ITEM-1","issue":"1","issued":{"date-parts":[["2019","1"]]},"page":"65-75","publisher":"ElsevierCompany.","title":"Leveraging Polygenic Functional Enrichment to Improve GWAS Power","type":"article-journal","volume":"104"},"uris":["http://www.mendeley.com/documents/?uuid=1a7d0fcc-7787-4855-ac6b-717057e3d001"]}],"mendeley":{"formattedCitation":"&lt;sup&gt;21&lt;/sup&gt;","plainTextFormattedCitation":"21","previouslyFormattedCitation":"&lt;sup&gt;21&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21</w:t>
      </w:r>
      <w:r>
        <w:rPr>
          <w:rFonts w:ascii="Arial" w:hAnsi="Arial" w:cs="Arial"/>
        </w:rPr>
        <w:fldChar w:fldCharType="end"/>
      </w:r>
      <w:r>
        <w:rPr>
          <w:rFonts w:ascii="Arial" w:hAnsi="Arial" w:cs="Arial"/>
        </w:rPr>
        <w:t xml:space="preserve"> and educational attainment in a meta-analysis involving UKB controls.</w:t>
      </w:r>
      <w:r>
        <w:rPr>
          <w:rFonts w:ascii="Arial" w:hAnsi="Arial" w:cs="Arial"/>
        </w:rPr>
        <w:fldChar w:fldCharType="begin" w:fldLock="1"/>
      </w:r>
      <w:r w:rsidR="003827C7">
        <w:rPr>
          <w:rFonts w:ascii="Arial" w:hAnsi="Arial" w:cs="Arial"/>
        </w:rPr>
        <w:instrText>ADDIN CSL_CITATION {"citationItems":[{"id":"ITEM-1","itemData":{"DOI":"10.1038/s41588-018-0147-3","ISBN":"4158801801473","ISSN":"1061-4036","PMID":"30038396","abstract":"Here we conducted a large-scale genetic association analysis of educational attainment in a sample of approximately 1.1 million individuals and identify 1,271 independent genome-wide-significant SNPs. For the SNPs taken together, we found evidence of heterogeneous effects across environments. The SNPs implicate genes involved in brain-development processes and neuron-to-neuron communication. In a separate analysis of the X chromosome, we identify 10 independent genome-wide-significant SNPs and estimate a SNP heritability of around 0.3% in both men and women, consistent with partial dosage compensation. A joint (multi-phenotype) analysis of educational attainment and three related cognitive phenotypes generates polygenic scores that explain 11–13% of the variance in educational attainment and 7–10% of the variance in cognitive performance. This prediction accuracy substantially increases the utility of polygenic scores as tools in research.","author":[{"dropping-particle":"","family":"Lee","given":"James J.","non-dropping-particle":"","parse-names":false,"suffix":""},{"dropping-particle":"","family":"Wedow","given":"Robbee","non-dropping-particle":"","parse-names":false,"suffix":""},{"dropping-particle":"","family":"Okbay","given":"Aysu","non-dropping-particle":"","parse-names":false,"suffix":""},{"dropping-particle":"","family":"Kong","given":"Edward","non-dropping-particle":"","parse-names":false,"suffix":""},{"dropping-particle":"","family":"Maghzian","given":"Omeed","non-dropping-particle":"","parse-names":false,"suffix":""},{"dropping-particle":"","family":"Zacher","given":"Meghan","non-dropping-particle":"","parse-names":false,"suffix":""},{"dropping-particle":"","family":"Nguyen-Viet","given":"Tuan Anh","non-dropping-particle":"","parse-names":false,"suffix":""},{"dropping-particle":"","family":"Bowers","given":"Peter","non-dropping-particle":"","parse-names":false,"suffix":""},{"dropping-particle":"","family":"Sidorenko","given":"Julia","non-dropping-particle":"","parse-names":false,"suffix":""},{"dropping-particle":"","family":"Karlsson Linnér","given":"Richard","non-dropping-particle":"","parse-names":false,"suffix":""},{"dropping-particle":"","family":"Fontana","given":"Mark Alan","non-dropping-particle":"","parse-names":false,"suffix":""},{"dropping-particle":"","family":"Kundu","given":"Tushar","non-dropping-particle":"","parse-names":false,"suffix":""},{"dropping-particle":"","family":"Lee","given":"Chanwook","non-dropping-particle":"","parse-names":false,"suffix":""},{"dropping-particle":"","family":"Li","given":"Hui","non-dropping-particle":"","parse-names":false,"suffix":""},{"dropping-particle":"","family":"Li","given":"Ruoxi","non-dropping-particle":"","parse-names":false,"suffix":""},{"dropping-particle":"","family":"Royer","given":"Rebecca","non-dropping-particle":"","parse-names":false,"suffix":""},{"dropping-particle":"","family":"Timshel","given":"Pascal N.","non-dropping-particle":"","parse-names":false,"suffix":""},{"dropping-particle":"","family":"Walters","given":"Raymond K.","non-dropping-particle":"","parse-names":false,"suffix":""},{"dropping-particle":"","family":"Willoughby","given":"Emily A.","non-dropping-particle":"","parse-names":false,"suffix":""},{"dropping-particle":"","family":"Yengo","given":"Loïc","non-dropping-particle":"","parse-names":false,"suffix":""},{"dropping-particle":"","family":"Alver","given":"Maris","non-dropping-particle":"","parse-names":false,"suffix":""},{"dropping-particle":"","family":"Bao","given":"Yanchun","non-dropping-particle":"","parse-names":false,"suffix":""},{"dropping-particle":"","family":"Clark","given":"David W.","non-dropping-particle":"","parse-names":false,"suffix":""},{"dropping-particle":"","family":"Day","given":"Felix R.","non-dropping-particle":"","parse-names":false,"suffix":""},{"dropping-particle":"","family":"Furlotte","given":"Nicholas A.","non-dropping-particle":"","parse-names":false,"suffix":""},{"dropping-particle":"","family":"Joshi","given":"Peter K.","non-dropping-particle":"","parse-names":false,"suffix":""},{"dropping-particle":"","family":"Kemper","given":"Kathryn E.","non-dropping-particle":"","parse-names":false,"suffix":""},{"dropping-particle":"","family":"Kleinman","given":"Aaron","non-dropping-particle":"","parse-names":false,"suffix":""},{"dropping-particle":"","family":"Langenberg","given":"Claudia","non-dropping-particle":"","parse-names":false,"suffix":""},{"dropping-particle":"","family":"Mägi","given":"Reedik","non-dropping-particle":"","parse-names":false,"suffix":""},{"dropping-particle":"","family":"Trampush","given":"Joey W.","non-dropping-particle":"","parse-names":false,"suffix":""},{"dropping-particle":"","family":"Verma","given":"Shefali Setia","non-dropping-particle":"","parse-names":false,"suffix":""},{"dropping-particle":"","family":"Wu","given":"Yang","non-dropping-particle":"","parse-names":false,"suffix":""},{"dropping-particle":"","family":"Lam","given":"Max","non-dropping-particle":"","parse-names":false,"suffix":""},{"dropping-particle":"","family":"Zhao","given":"Jing Hua","non-dropping-particle":"","parse-names":false,"suffix":""},{"dropping-particle":"","family":"Zheng","given":"Zhili","non-dropping-particle":"","parse-names":false,"suffix":""},{"dropping-particle":"","family":"Boardman","given":"Jason D.","non-dropping-particle":"","parse-names":false,"suffix":""},{"dropping-particle":"","family":"Campbell","given":"Harry","non-dropping-particle":"","parse-names":false,"suffix":""},{"dropping-particle":"","family":"Freese","given":"Jeremy","non-dropping-particle":"","parse-names":false,"suffix":""},{"dropping-particle":"","family":"Harris","given":"Kathleen Mullan","non-dropping-particle":"","parse-names":false,"suffix":""},{"dropping-particle":"","family":"Hayward","given":"Caroline","non-dropping-particle":"","parse-names":false,"suffix":""},{"dropping-particle":"","family":"Herd","given":"Pamela","non-dropping-particle":"","parse-names":false,"suffix":""},{"dropping-particle":"","family":"Kumari","given":"Meena","non-dropping-particle":"","parse-names":false,"suffix":""},{"dropping-particle":"","family":"Lencz","given":"Todd","non-dropping-particle":"","parse-names":false,"suffix":""},{"dropping-particle":"","family":"Luan","given":"Jian’an","non-dropping-particle":"","parse-names":false,"suffix":""},{"dropping-particle":"","family":"Malhotra","given":"Anil K.","non-dropping-particle":"","parse-names":false,"suffix":""},{"dropping-particle":"","family":"Metspalu","given":"Andres","non-dropping-particle":"","parse-names":false,"suffix":""},{"dropping-particle":"","family":"Milani","given":"Lili","non-dropping-particle":"","parse-names":false,"suffix":""},{"dropping-particle":"","family":"Ong","given":"Ken K.","non-dropping-particle":"","parse-names":false,"suffix":""},{"dropping-particle":"","family":"Perry","given":"John R. B.","non-dropping-particle":"","parse-names":false,"suffix":""},{"dropping-particle":"","family":"Porteous","given":"David J.","non-dropping-particle":"","parse-names":false,"suffix":""},{"dropping-particle":"","family":"Ritchie","given":"Marylyn D.","non-dropping-particle":"","parse-names":false,"suffix":""},{"dropping-particle":"","family":"Smart","given":"Melissa C.","non-dropping-particle":"","parse-names":false,"suffix":""},{"dropping-particle":"","family":"Smith","given":"Blair H.","non-dropping-particle":"","parse-names":false,"suffix":""},{"dropping-particle":"","family":"Tung","given":"Joyce Y.","non-dropping-particle":"","parse-names":false,"suffix":""},{"dropping-particle":"","family":"Wareham","given":"Nicholas J.","non-dropping-particle":"","parse-names":false,"suffix":""},{"dropping-particle":"","family":"Wilson","given":"James F.","non-dropping-particle":"","parse-names":false,"suffix":""},{"dropping-particle":"","family":"Beauchamp","given":"Jonathan P.","non-dropping-particle":"","parse-names":false,"suffix":""},{"dropping-particle":"","family":"Conley","given":"Dalton C.","non-dropping-particle":"","parse-names":false,"suffix":""},{"dropping-particle":"","family":"Esko","given":"Tõnu","non-dropping-particle":"","parse-names":false,"suffix":""},{"dropping-particle":"","family":"Lehrer","given":"Steven F.","non-dropping-particle":"","parse-names":false,"suffix":""},{"dropping-particle":"","family":"Magnusson","given":"Patrik K. E.","non-dropping-particle":"","parse-names":false,"suffix":""},{"dropping-particle":"","family":"Oskarsson","given":"Sven","non-dropping-particle":"","parse-names":false,"suffix":""},{"dropping-particle":"","family":"Pers","given":"Tune H.","non-dropping-particle":"","parse-names":false,"suffix":""},{"dropping-particle":"","family":"Robinson","given":"Matthew R.","non-dropping-particle":"","parse-names":false,"suffix":""},{"dropping-particle":"","family":"Thom","given":"Kevin","non-dropping-particle":"","parse-names":false,"suffix":""},{"dropping-particle":"","family":"Watson","given":"Chelsea","non-dropping-particle":"","parse-names":false,"suffix":""},{"dropping-particle":"","family":"Chabris","given":"Christopher F.","non-dropping-particle":"","parse-names":false,"suffix":""},{"dropping-particle":"","family":"Meyer","given":"Michelle N.","non-dropping-particle":"","parse-names":false,"suffix":""},{"dropping-particle":"","family":"Laibson","given":"David I.","non-dropping-particle":"","parse-names":false,"suffix":""},{"dropping-particle":"","family":"Yang","given":"Jian","non-dropping-particle":"","parse-names":false,"suffix":""},{"dropping-particle":"","family":"Johannesson","given":"Magnus","non-dropping-particle":"","parse-names":false,"suffix":""},{"dropping-particle":"","family":"Koellinger","given":"Philipp D.","non-dropping-particle":"","parse-names":false,"suffix":""},{"dropping-particle":"","family":"Turley","given":"Patrick","non-dropping-particle":"","parse-names":false,"suffix":""},{"dropping-particle":"","family":"Visscher","given":"Peter M.","non-dropping-particle":"","parse-names":false,"suffix":""},{"dropping-particle":"","family":"Benjamin","given":"Daniel J.","non-dropping-particle":"","parse-names":false,"suffix":""},{"dropping-particle":"","family":"Cesarini","given":"David","non-dropping-particle":"","parse-names":false,"suffix":""}],"container-title":"Nature Genetics","id":"ITEM-1","issue":"8","issued":{"date-parts":[["2018","8","23"]]},"page":"1112-1121","title":"Gene discovery and polygenic prediction from a genome-wide association study of educational attainment in 1.1 million individuals","type":"article-journal","volume":"50"},"uris":["http://www.mendeley.com/documents/?uuid=12c9514a-1b20-405d-a6db-3c298f156fff"]}],"mendeley":{"formattedCitation":"&lt;sup&gt;22&lt;/sup&gt;","plainTextFormattedCitation":"22","previouslyFormattedCitation":"&lt;sup&gt;22&lt;/sup&gt;"},"properties":{"noteIndex":0},"schema":"https://github.com/citation-style-language/schema/raw/master/csl-citation.json"}</w:instrText>
      </w:r>
      <w:r>
        <w:rPr>
          <w:rFonts w:ascii="Arial" w:hAnsi="Arial" w:cs="Arial"/>
        </w:rPr>
        <w:fldChar w:fldCharType="separate"/>
      </w:r>
      <w:r w:rsidR="00462373" w:rsidRPr="00462373">
        <w:rPr>
          <w:rFonts w:ascii="Arial" w:hAnsi="Arial" w:cs="Arial"/>
          <w:noProof/>
          <w:vertAlign w:val="superscript"/>
        </w:rPr>
        <w:t>22</w:t>
      </w:r>
      <w:r>
        <w:rPr>
          <w:rFonts w:ascii="Arial" w:hAnsi="Arial" w:cs="Arial"/>
        </w:rPr>
        <w:fldChar w:fldCharType="end"/>
      </w:r>
      <w:r>
        <w:rPr>
          <w:rFonts w:ascii="Arial" w:hAnsi="Arial" w:cs="Arial"/>
        </w:rPr>
        <w:t xml:space="preserve"> Similar to the </w:t>
      </w:r>
      <w:r w:rsidRPr="00835377">
        <w:rPr>
          <w:rFonts w:ascii="Arial" w:hAnsi="Arial" w:cs="Arial"/>
          <w:i/>
          <w:iCs/>
        </w:rPr>
        <w:t>MIR3681</w:t>
      </w:r>
      <w:r w:rsidR="00574D49">
        <w:rPr>
          <w:rFonts w:ascii="Arial" w:hAnsi="Arial" w:cs="Arial"/>
          <w:i/>
          <w:iCs/>
        </w:rPr>
        <w:t>HG</w:t>
      </w:r>
      <w:r>
        <w:rPr>
          <w:rFonts w:ascii="Arial" w:hAnsi="Arial" w:cs="Arial"/>
        </w:rPr>
        <w:t xml:space="preserve"> COVID-19 association, a</w:t>
      </w:r>
      <w:r w:rsidRPr="004B2E15">
        <w:rPr>
          <w:rFonts w:ascii="Arial" w:hAnsi="Arial" w:cs="Arial"/>
        </w:rPr>
        <w:t xml:space="preserve">nother locus with a similar significance pattern was observed in </w:t>
      </w:r>
      <w:r w:rsidRPr="004B2E15">
        <w:rPr>
          <w:rFonts w:ascii="Arial" w:hAnsi="Arial" w:cs="Arial"/>
          <w:i/>
          <w:iCs/>
        </w:rPr>
        <w:t>LINGO2</w:t>
      </w:r>
      <w:r w:rsidR="00F76004">
        <w:rPr>
          <w:rFonts w:ascii="Arial" w:hAnsi="Arial" w:cs="Arial"/>
        </w:rPr>
        <w:t xml:space="preserve"> which was </w:t>
      </w:r>
      <w:r w:rsidR="00F76004" w:rsidRPr="004B2E15">
        <w:rPr>
          <w:rFonts w:ascii="Arial" w:hAnsi="Arial" w:cs="Arial"/>
        </w:rPr>
        <w:t xml:space="preserve">genome-wide significant </w:t>
      </w:r>
      <w:r w:rsidR="00F76004">
        <w:rPr>
          <w:rFonts w:ascii="Arial" w:hAnsi="Arial" w:cs="Arial"/>
        </w:rPr>
        <w:t xml:space="preserve">only in the analysis of a </w:t>
      </w:r>
      <w:r w:rsidR="00F76004" w:rsidRPr="004B2E15">
        <w:rPr>
          <w:rFonts w:ascii="Arial" w:hAnsi="Arial" w:cs="Arial"/>
        </w:rPr>
        <w:t xml:space="preserve">single COVID-19 UKB data freeze </w:t>
      </w:r>
      <w:r w:rsidR="00F76004">
        <w:rPr>
          <w:rFonts w:ascii="Arial" w:hAnsi="Arial" w:cs="Arial"/>
        </w:rPr>
        <w:t xml:space="preserve">and not present in further analyses </w:t>
      </w:r>
      <w:r w:rsidR="00F76004" w:rsidRPr="004B2E15">
        <w:rPr>
          <w:rFonts w:ascii="Arial" w:hAnsi="Arial" w:cs="Arial"/>
        </w:rPr>
        <w:t>despite increasing case numbers in later freezes</w:t>
      </w:r>
      <w:r w:rsidR="00F76004">
        <w:rPr>
          <w:rFonts w:ascii="Arial" w:hAnsi="Arial" w:cs="Arial"/>
        </w:rPr>
        <w:t xml:space="preserve">. This </w:t>
      </w:r>
      <w:r w:rsidR="00F76004" w:rsidRPr="00AD20B8">
        <w:rPr>
          <w:rFonts w:ascii="Arial" w:hAnsi="Arial" w:cs="Arial"/>
        </w:rPr>
        <w:t xml:space="preserve">locus </w:t>
      </w:r>
      <w:r w:rsidRPr="00AD20B8">
        <w:rPr>
          <w:rFonts w:ascii="Arial" w:hAnsi="Arial" w:cs="Arial"/>
        </w:rPr>
        <w:t xml:space="preserve">was suggestively associated with HCV clearance when using </w:t>
      </w:r>
      <w:r w:rsidR="00F76004" w:rsidRPr="00AD20B8">
        <w:rPr>
          <w:rFonts w:ascii="Arial" w:hAnsi="Arial" w:cs="Arial"/>
        </w:rPr>
        <w:t xml:space="preserve">ancestry matched </w:t>
      </w:r>
      <w:r w:rsidRPr="00AD20B8">
        <w:rPr>
          <w:rFonts w:ascii="Arial" w:hAnsi="Arial" w:cs="Arial"/>
        </w:rPr>
        <w:t xml:space="preserve">UKB controls (top marker within </w:t>
      </w:r>
      <w:r w:rsidRPr="00AD20B8">
        <w:rPr>
          <w:rFonts w:ascii="Arial" w:hAnsi="Arial" w:cs="Arial"/>
          <w:i/>
          <w:iCs/>
        </w:rPr>
        <w:t>LINGO2</w:t>
      </w:r>
      <w:r w:rsidR="00AD20B8">
        <w:rPr>
          <w:rFonts w:ascii="Arial" w:hAnsi="Arial" w:cs="Arial"/>
        </w:rPr>
        <w:t xml:space="preserve"> was</w:t>
      </w:r>
      <w:r w:rsidR="00AD20B8" w:rsidRPr="00651FAC">
        <w:t xml:space="preserve"> </w:t>
      </w:r>
      <w:r w:rsidR="00651FAC" w:rsidRPr="00651FAC">
        <w:rPr>
          <w:rFonts w:ascii="Arial" w:hAnsi="Arial" w:cs="Arial"/>
        </w:rPr>
        <w:t>rs10123736</w:t>
      </w:r>
      <w:r w:rsidR="00651FAC">
        <w:rPr>
          <w:rFonts w:ascii="Arial" w:hAnsi="Arial" w:cs="Arial"/>
        </w:rPr>
        <w:t>,</w:t>
      </w:r>
      <w:r w:rsidRPr="004B2E15">
        <w:rPr>
          <w:rFonts w:ascii="Arial" w:hAnsi="Arial" w:cs="Arial"/>
        </w:rPr>
        <w:t xml:space="preserve"> </w:t>
      </w:r>
      <w:r w:rsidR="00B42D21">
        <w:rPr>
          <w:rFonts w:ascii="Arial" w:hAnsi="Arial" w:cs="Arial"/>
        </w:rPr>
        <w:t xml:space="preserve">OR=1.34, </w:t>
      </w:r>
      <w:r w:rsidRPr="00717A0F">
        <w:rPr>
          <w:rFonts w:ascii="Arial" w:hAnsi="Arial" w:cs="Arial"/>
        </w:rPr>
        <w:t>P=</w:t>
      </w:r>
      <w:r w:rsidRPr="00717A0F">
        <w:rPr>
          <w:rStyle w:val="Strong"/>
          <w:rFonts w:ascii="Arial" w:hAnsi="Arial" w:cs="Arial"/>
          <w:b w:val="0"/>
          <w:bCs w:val="0"/>
        </w:rPr>
        <w:t>7.62x10</w:t>
      </w:r>
      <w:r w:rsidRPr="00717A0F">
        <w:rPr>
          <w:rStyle w:val="Strong"/>
          <w:rFonts w:ascii="Arial" w:hAnsi="Arial" w:cs="Arial"/>
          <w:b w:val="0"/>
          <w:bCs w:val="0"/>
          <w:vertAlign w:val="superscript"/>
        </w:rPr>
        <w:t>-6</w:t>
      </w:r>
      <w:r w:rsidRPr="00717A0F">
        <w:rPr>
          <w:rStyle w:val="Strong"/>
          <w:rFonts w:ascii="Arial" w:hAnsi="Arial" w:cs="Arial"/>
          <w:b w:val="0"/>
          <w:bCs w:val="0"/>
        </w:rPr>
        <w:t>) but not in the HCV clearance vs. persistence GWAS (</w:t>
      </w:r>
      <w:r w:rsidR="00B60173">
        <w:rPr>
          <w:rStyle w:val="Strong"/>
          <w:rFonts w:ascii="Arial" w:hAnsi="Arial" w:cs="Arial"/>
          <w:b w:val="0"/>
          <w:bCs w:val="0"/>
        </w:rPr>
        <w:t>OR=</w:t>
      </w:r>
      <w:r w:rsidR="00B42D21">
        <w:rPr>
          <w:rStyle w:val="Strong"/>
          <w:rFonts w:ascii="Arial" w:hAnsi="Arial" w:cs="Arial"/>
          <w:b w:val="0"/>
          <w:bCs w:val="0"/>
        </w:rPr>
        <w:t xml:space="preserve">1.36, </w:t>
      </w:r>
      <w:r w:rsidRPr="00717A0F">
        <w:rPr>
          <w:rStyle w:val="Strong"/>
          <w:rFonts w:ascii="Arial" w:hAnsi="Arial" w:cs="Arial"/>
          <w:b w:val="0"/>
          <w:bCs w:val="0"/>
        </w:rPr>
        <w:t>P=1.</w:t>
      </w:r>
      <w:r w:rsidR="00B42D21">
        <w:rPr>
          <w:rStyle w:val="Strong"/>
          <w:rFonts w:ascii="Arial" w:hAnsi="Arial" w:cs="Arial"/>
          <w:b w:val="0"/>
          <w:bCs w:val="0"/>
        </w:rPr>
        <w:t>29</w:t>
      </w:r>
      <w:r w:rsidR="00B42D21" w:rsidRPr="00717A0F">
        <w:rPr>
          <w:rStyle w:val="Strong"/>
          <w:rFonts w:ascii="Arial" w:hAnsi="Arial" w:cs="Arial"/>
          <w:b w:val="0"/>
          <w:bCs w:val="0"/>
        </w:rPr>
        <w:t>x10</w:t>
      </w:r>
      <w:r w:rsidRPr="00717A0F">
        <w:rPr>
          <w:rStyle w:val="Strong"/>
          <w:rFonts w:ascii="Arial" w:hAnsi="Arial" w:cs="Arial"/>
          <w:b w:val="0"/>
          <w:bCs w:val="0"/>
          <w:vertAlign w:val="superscript"/>
        </w:rPr>
        <w:t>-4</w:t>
      </w:r>
      <w:r w:rsidRPr="00717A0F">
        <w:rPr>
          <w:rStyle w:val="Strong"/>
          <w:rFonts w:ascii="Arial" w:hAnsi="Arial" w:cs="Arial"/>
          <w:b w:val="0"/>
          <w:bCs w:val="0"/>
        </w:rPr>
        <w:t>).</w:t>
      </w:r>
    </w:p>
    <w:p w14:paraId="705CF5BD" w14:textId="3C5B7C86" w:rsidR="00462373" w:rsidRPr="0059619F" w:rsidRDefault="003A4B73" w:rsidP="00DA24DB">
      <w:pPr>
        <w:spacing w:line="480" w:lineRule="auto"/>
        <w:rPr>
          <w:rFonts w:ascii="Arial" w:hAnsi="Arial" w:cs="Arial"/>
          <w:b/>
          <w:bCs/>
          <w:i/>
          <w:iCs/>
          <w:u w:val="single"/>
        </w:rPr>
      </w:pPr>
      <w:r w:rsidRPr="0059619F">
        <w:rPr>
          <w:rFonts w:ascii="Arial" w:hAnsi="Arial" w:cs="Arial"/>
          <w:b/>
          <w:bCs/>
          <w:i/>
          <w:iCs/>
          <w:u w:val="single"/>
        </w:rPr>
        <w:lastRenderedPageBreak/>
        <w:t>References</w:t>
      </w:r>
    </w:p>
    <w:p w14:paraId="23599CF0" w14:textId="52FF672B" w:rsidR="003827C7" w:rsidRPr="003827C7" w:rsidRDefault="00462373" w:rsidP="003827C7">
      <w:pPr>
        <w:widowControl w:val="0"/>
        <w:autoSpaceDE w:val="0"/>
        <w:autoSpaceDN w:val="0"/>
        <w:adjustRightInd w:val="0"/>
        <w:spacing w:line="480" w:lineRule="auto"/>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3827C7" w:rsidRPr="003827C7">
        <w:rPr>
          <w:rFonts w:ascii="Arial" w:hAnsi="Arial" w:cs="Arial"/>
          <w:noProof/>
          <w:szCs w:val="24"/>
        </w:rPr>
        <w:t xml:space="preserve">1. Balduzzi, S., Rücker, G., and Schwarzer, G. (2019). How to perform a meta-analysis with R: a practical tutorial. Evid. Based. Ment. Health </w:t>
      </w:r>
      <w:r w:rsidR="003827C7" w:rsidRPr="003827C7">
        <w:rPr>
          <w:rFonts w:ascii="Arial" w:hAnsi="Arial" w:cs="Arial"/>
          <w:i/>
          <w:iCs/>
          <w:noProof/>
          <w:szCs w:val="24"/>
        </w:rPr>
        <w:t>22</w:t>
      </w:r>
      <w:r w:rsidR="003827C7" w:rsidRPr="003827C7">
        <w:rPr>
          <w:rFonts w:ascii="Arial" w:hAnsi="Arial" w:cs="Arial"/>
          <w:noProof/>
          <w:szCs w:val="24"/>
        </w:rPr>
        <w:t>, 153–160.</w:t>
      </w:r>
    </w:p>
    <w:p w14:paraId="3FE66367"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2. Higgins, J.P.T., and Thompson, S.G. (2002). Quantifying heterogeneity in a meta-analysis. Stat. Med. </w:t>
      </w:r>
      <w:r w:rsidRPr="003827C7">
        <w:rPr>
          <w:rFonts w:ascii="Arial" w:hAnsi="Arial" w:cs="Arial"/>
          <w:i/>
          <w:iCs/>
          <w:noProof/>
          <w:szCs w:val="24"/>
        </w:rPr>
        <w:t>21</w:t>
      </w:r>
      <w:r w:rsidRPr="003827C7">
        <w:rPr>
          <w:rFonts w:ascii="Arial" w:hAnsi="Arial" w:cs="Arial"/>
          <w:noProof/>
          <w:szCs w:val="24"/>
        </w:rPr>
        <w:t>, 1539–1558.</w:t>
      </w:r>
    </w:p>
    <w:p w14:paraId="04803373"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3. Viechtbauer, W. (2005). Bias and Efficiency of Meta-Analytic Variance Estimators in the Random-Effects Model. J. Educ. Behav. Stat. </w:t>
      </w:r>
      <w:r w:rsidRPr="003827C7">
        <w:rPr>
          <w:rFonts w:ascii="Arial" w:hAnsi="Arial" w:cs="Arial"/>
          <w:i/>
          <w:iCs/>
          <w:noProof/>
          <w:szCs w:val="24"/>
        </w:rPr>
        <w:t>30</w:t>
      </w:r>
      <w:r w:rsidRPr="003827C7">
        <w:rPr>
          <w:rFonts w:ascii="Arial" w:hAnsi="Arial" w:cs="Arial"/>
          <w:noProof/>
          <w:szCs w:val="24"/>
        </w:rPr>
        <w:t>, 261–293.</w:t>
      </w:r>
    </w:p>
    <w:p w14:paraId="45426BC3"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4. Schwarzer, G., Carpenter, J.R., and Rücker, G. (2015). Meta-Analysis with R (Cham: Springer International Publishing).</w:t>
      </w:r>
    </w:p>
    <w:p w14:paraId="202CFF65"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5. Meyer, H. V (2021). plinkQC: Genotype quality control in genetic association studies.</w:t>
      </w:r>
    </w:p>
    <w:p w14:paraId="794E7A37"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6. Bycroft, C., Freeman, C., Petkova, D., Band, G., Elliott, L.T., Sharp, K., Motyer, A., Vukcevic, D., Delaneau, O., O’Connell, J., et al. (2018). The UK Biobank resource with deep phenotyping and genomic data. Nature </w:t>
      </w:r>
      <w:r w:rsidRPr="003827C7">
        <w:rPr>
          <w:rFonts w:ascii="Arial" w:hAnsi="Arial" w:cs="Arial"/>
          <w:i/>
          <w:iCs/>
          <w:noProof/>
          <w:szCs w:val="24"/>
        </w:rPr>
        <w:t>562</w:t>
      </w:r>
      <w:r w:rsidRPr="003827C7">
        <w:rPr>
          <w:rFonts w:ascii="Arial" w:hAnsi="Arial" w:cs="Arial"/>
          <w:noProof/>
          <w:szCs w:val="24"/>
        </w:rPr>
        <w:t>, 203–209.</w:t>
      </w:r>
    </w:p>
    <w:p w14:paraId="52B3767B"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7. Hansen, B.B., and Klopfer, S.O. (2006). Optimal Full Matching and Related Designs via Network Flows. J. Comput. Graph. Stat. </w:t>
      </w:r>
      <w:r w:rsidRPr="003827C7">
        <w:rPr>
          <w:rFonts w:ascii="Arial" w:hAnsi="Arial" w:cs="Arial"/>
          <w:i/>
          <w:iCs/>
          <w:noProof/>
          <w:szCs w:val="24"/>
        </w:rPr>
        <w:t>15</w:t>
      </w:r>
      <w:r w:rsidRPr="003827C7">
        <w:rPr>
          <w:rFonts w:ascii="Arial" w:hAnsi="Arial" w:cs="Arial"/>
          <w:noProof/>
          <w:szCs w:val="24"/>
        </w:rPr>
        <w:t>, 609–627.</w:t>
      </w:r>
    </w:p>
    <w:p w14:paraId="49D5391B"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8. Manichaikul, A., Mychaleckyj, J.C., Rich, S.S., Daly, K., Sale, M., and Chen, W.-M. (2010). Robust relationship inference in genome-wide association studies. Bioinformatics </w:t>
      </w:r>
      <w:r w:rsidRPr="003827C7">
        <w:rPr>
          <w:rFonts w:ascii="Arial" w:hAnsi="Arial" w:cs="Arial"/>
          <w:i/>
          <w:iCs/>
          <w:noProof/>
          <w:szCs w:val="24"/>
        </w:rPr>
        <w:t>26</w:t>
      </w:r>
      <w:r w:rsidRPr="003827C7">
        <w:rPr>
          <w:rFonts w:ascii="Arial" w:hAnsi="Arial" w:cs="Arial"/>
          <w:noProof/>
          <w:szCs w:val="24"/>
        </w:rPr>
        <w:t>, 2867–2873.</w:t>
      </w:r>
    </w:p>
    <w:p w14:paraId="13FC9448"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9. Chang, C.C., Chow, C.C., Tellier, L.C., Vattikuti, S., Purcell, S.M., and Lee, J.J. (2015). Second-generation PLINK: rising to the challenge of larger and richer datasets. Gigascience </w:t>
      </w:r>
      <w:r w:rsidRPr="003827C7">
        <w:rPr>
          <w:rFonts w:ascii="Arial" w:hAnsi="Arial" w:cs="Arial"/>
          <w:i/>
          <w:iCs/>
          <w:noProof/>
          <w:szCs w:val="24"/>
        </w:rPr>
        <w:t>4</w:t>
      </w:r>
      <w:r w:rsidRPr="003827C7">
        <w:rPr>
          <w:rFonts w:ascii="Arial" w:hAnsi="Arial" w:cs="Arial"/>
          <w:noProof/>
          <w:szCs w:val="24"/>
        </w:rPr>
        <w:t>, 7.</w:t>
      </w:r>
    </w:p>
    <w:p w14:paraId="5BD14EF8"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10. Purcell, S., Neale, B., Todd-Brown, K., Thomas, L., Ferreira, M.A.R., Bender, D., Maller, J., </w:t>
      </w:r>
      <w:r w:rsidRPr="003827C7">
        <w:rPr>
          <w:rFonts w:ascii="Arial" w:hAnsi="Arial" w:cs="Arial"/>
          <w:noProof/>
          <w:szCs w:val="24"/>
        </w:rPr>
        <w:lastRenderedPageBreak/>
        <w:t xml:space="preserve">Sklar, P., De Bakker, P.I.W., Daly, M.J., et al. (2007). PLINK: A tool set for whole-genome association and population-based linkage analyses. Am. J. Hum. Genet. </w:t>
      </w:r>
      <w:r w:rsidRPr="003827C7">
        <w:rPr>
          <w:rFonts w:ascii="Arial" w:hAnsi="Arial" w:cs="Arial"/>
          <w:i/>
          <w:iCs/>
          <w:noProof/>
          <w:szCs w:val="24"/>
        </w:rPr>
        <w:t>81</w:t>
      </w:r>
      <w:r w:rsidRPr="003827C7">
        <w:rPr>
          <w:rFonts w:ascii="Arial" w:hAnsi="Arial" w:cs="Arial"/>
          <w:noProof/>
          <w:szCs w:val="24"/>
        </w:rPr>
        <w:t>, 559–575.</w:t>
      </w:r>
    </w:p>
    <w:p w14:paraId="07CF5E82"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11. Baumgartner, W., WeiB, P., and Schindler, H. (1998). A Nonparametric Test for the General Two-Sample Problem. Biometrics </w:t>
      </w:r>
      <w:r w:rsidRPr="003827C7">
        <w:rPr>
          <w:rFonts w:ascii="Arial" w:hAnsi="Arial" w:cs="Arial"/>
          <w:i/>
          <w:iCs/>
          <w:noProof/>
          <w:szCs w:val="24"/>
        </w:rPr>
        <w:t>54</w:t>
      </w:r>
      <w:r w:rsidRPr="003827C7">
        <w:rPr>
          <w:rFonts w:ascii="Arial" w:hAnsi="Arial" w:cs="Arial"/>
          <w:noProof/>
          <w:szCs w:val="24"/>
        </w:rPr>
        <w:t>, 1129.</w:t>
      </w:r>
    </w:p>
    <w:p w14:paraId="39694F9C"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12. Cordell, H.J., Bentham, J., Topf, A., Zelenika, D., Heath, S., Mamasoula, C., Cosgrove, C., Blue, G., Granados-Riveron, J., Setchfield, K., et al. (2013). Genome-wide association study of multiple congenital heart disease phenotypes identifies a susceptibility locus for atrial septal defect at chromosome 4p16. Nat. Genet. </w:t>
      </w:r>
      <w:r w:rsidRPr="003827C7">
        <w:rPr>
          <w:rFonts w:ascii="Arial" w:hAnsi="Arial" w:cs="Arial"/>
          <w:i/>
          <w:iCs/>
          <w:noProof/>
          <w:szCs w:val="24"/>
        </w:rPr>
        <w:t>45</w:t>
      </w:r>
      <w:r w:rsidRPr="003827C7">
        <w:rPr>
          <w:rFonts w:ascii="Arial" w:hAnsi="Arial" w:cs="Arial"/>
          <w:noProof/>
          <w:szCs w:val="24"/>
        </w:rPr>
        <w:t>, 822–824.</w:t>
      </w:r>
    </w:p>
    <w:p w14:paraId="181FD7DC"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13. Lv, H., Zhang, M., Shang, Z., Li, J., Zhang, S., Lian, D., and Zhang, R. (2017). Genome-wide haplotype association study identify the FGFR2 gene as a risk gene for Acute Myeloid Leukemia. Oncotarget </w:t>
      </w:r>
      <w:r w:rsidRPr="003827C7">
        <w:rPr>
          <w:rFonts w:ascii="Arial" w:hAnsi="Arial" w:cs="Arial"/>
          <w:i/>
          <w:iCs/>
          <w:noProof/>
          <w:szCs w:val="24"/>
        </w:rPr>
        <w:t>8</w:t>
      </w:r>
      <w:r w:rsidRPr="003827C7">
        <w:rPr>
          <w:rFonts w:ascii="Arial" w:hAnsi="Arial" w:cs="Arial"/>
          <w:noProof/>
          <w:szCs w:val="24"/>
        </w:rPr>
        <w:t>, 7891–7899.</w:t>
      </w:r>
    </w:p>
    <w:p w14:paraId="18A8D1A4"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14. Ferreira, M.A., Vonk, J.M., Baurecht, H., Marenholz, I., Tian, C., Hoffman, J.D., Helmer, Q., Tillander, A., Ullemar, V., van Dongen, J., et al. (2017). Shared genetic origin of asthma, hay fever and eczema elucidates allergic disease biology. Nat. Genet. </w:t>
      </w:r>
      <w:r w:rsidRPr="003827C7">
        <w:rPr>
          <w:rFonts w:ascii="Arial" w:hAnsi="Arial" w:cs="Arial"/>
          <w:i/>
          <w:iCs/>
          <w:noProof/>
          <w:szCs w:val="24"/>
        </w:rPr>
        <w:t>49</w:t>
      </w:r>
      <w:r w:rsidRPr="003827C7">
        <w:rPr>
          <w:rFonts w:ascii="Arial" w:hAnsi="Arial" w:cs="Arial"/>
          <w:noProof/>
          <w:szCs w:val="24"/>
        </w:rPr>
        <w:t>, 1752–1757.</w:t>
      </w:r>
    </w:p>
    <w:p w14:paraId="1F7F3554"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15. Shelton, J.F., Shastri, A.J., Ye, C., Weldon, C.H., Filshtein-Sonmez, T., Coker, D., Symons, A., Esparza-Gordillo, J., Chubb, A., Fitch, A., et al. (2021). Trans-ancestry analysis reveals genetic and nongenetic associations with COVID-19 susceptibility and severity. Nat. Genet. </w:t>
      </w:r>
      <w:r w:rsidRPr="003827C7">
        <w:rPr>
          <w:rFonts w:ascii="Arial" w:hAnsi="Arial" w:cs="Arial"/>
          <w:i/>
          <w:iCs/>
          <w:noProof/>
          <w:szCs w:val="24"/>
        </w:rPr>
        <w:t>53</w:t>
      </w:r>
      <w:r w:rsidRPr="003827C7">
        <w:rPr>
          <w:rFonts w:ascii="Arial" w:hAnsi="Arial" w:cs="Arial"/>
          <w:noProof/>
          <w:szCs w:val="24"/>
        </w:rPr>
        <w:t>, 801–808.</w:t>
      </w:r>
    </w:p>
    <w:p w14:paraId="6E2DAC8F"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16. Florian Thibord, Melissa V. Chan, Ming-Huei Chen, A.D.J. (2021). A year of Covid-19 GWAS results from the GRASP portal reveals potential SARS-CoV-2 modifiers v2. MedRxiv.</w:t>
      </w:r>
    </w:p>
    <w:p w14:paraId="6941CA01"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17. Ruth, K.S., Day, F.R., Tyrrell, J., Thompson, D.J., Wood, A.R., Mahajan, A., Beaumont, R.N., Wittemans, L., Martin, S., Busch, A.S., et al. (2020). Using human genetics to understand the disease impacts of testosterone in men and women. Nat. Med. </w:t>
      </w:r>
      <w:r w:rsidRPr="003827C7">
        <w:rPr>
          <w:rFonts w:ascii="Arial" w:hAnsi="Arial" w:cs="Arial"/>
          <w:i/>
          <w:iCs/>
          <w:noProof/>
          <w:szCs w:val="24"/>
        </w:rPr>
        <w:t>26</w:t>
      </w:r>
      <w:r w:rsidRPr="003827C7">
        <w:rPr>
          <w:rFonts w:ascii="Arial" w:hAnsi="Arial" w:cs="Arial"/>
          <w:noProof/>
          <w:szCs w:val="24"/>
        </w:rPr>
        <w:t>, 252–258.</w:t>
      </w:r>
    </w:p>
    <w:p w14:paraId="1BEF8379"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lastRenderedPageBreak/>
        <w:t xml:space="preserve">18. Saevarsdottir, S., Olafsdottir, T.A., Ivarsdottir, E. V., Halldorsson, G.H., Gunnarsdottir, K., Sigurdsson, A., Johannesson, A., Sigurdsson, J.K., Juliusdottir, T., Lund, S.H., et al. (2020). FLT3 stop mutation increases FLT3 ligand level and risk of autoimmune thyroid disease. Nature </w:t>
      </w:r>
      <w:r w:rsidRPr="003827C7">
        <w:rPr>
          <w:rFonts w:ascii="Arial" w:hAnsi="Arial" w:cs="Arial"/>
          <w:i/>
          <w:iCs/>
          <w:noProof/>
          <w:szCs w:val="24"/>
        </w:rPr>
        <w:t>584</w:t>
      </w:r>
      <w:r w:rsidRPr="003827C7">
        <w:rPr>
          <w:rFonts w:ascii="Arial" w:hAnsi="Arial" w:cs="Arial"/>
          <w:noProof/>
          <w:szCs w:val="24"/>
        </w:rPr>
        <w:t>, 619–623.</w:t>
      </w:r>
    </w:p>
    <w:p w14:paraId="4E937D24"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19. Wu, Y., Byrne, E.M., Zheng, Z., Kemper, K.E., Yengo, L., Mallett, A.J., Yang, J., Visscher, P.M., and Wray, N.R. (2019). Genome-wide association study of medication-use and associated disease in the UK Biobank. Nat. Commun. </w:t>
      </w:r>
      <w:r w:rsidRPr="003827C7">
        <w:rPr>
          <w:rFonts w:ascii="Arial" w:hAnsi="Arial" w:cs="Arial"/>
          <w:i/>
          <w:iCs/>
          <w:noProof/>
          <w:szCs w:val="24"/>
        </w:rPr>
        <w:t>10</w:t>
      </w:r>
      <w:r w:rsidRPr="003827C7">
        <w:rPr>
          <w:rFonts w:ascii="Arial" w:hAnsi="Arial" w:cs="Arial"/>
          <w:noProof/>
          <w:szCs w:val="24"/>
        </w:rPr>
        <w:t>, 1891.</w:t>
      </w:r>
    </w:p>
    <w:p w14:paraId="0B34B329"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20. Zhu, Z., Guo, Y., Shi, H., Liu, C.-L., Panganiban, R.A., Chung, W., O’Connor, L.J., Himes, B.E., Gazal, S., Hasegawa, K., et al. (2020). Shared genetic and experimental links between obesity-related traits and asthma subtypes in UK Biobank. J. Allergy Clin. Immunol. </w:t>
      </w:r>
      <w:r w:rsidRPr="003827C7">
        <w:rPr>
          <w:rFonts w:ascii="Arial" w:hAnsi="Arial" w:cs="Arial"/>
          <w:i/>
          <w:iCs/>
          <w:noProof/>
          <w:szCs w:val="24"/>
        </w:rPr>
        <w:t>145</w:t>
      </w:r>
      <w:r w:rsidRPr="003827C7">
        <w:rPr>
          <w:rFonts w:ascii="Arial" w:hAnsi="Arial" w:cs="Arial"/>
          <w:noProof/>
          <w:szCs w:val="24"/>
        </w:rPr>
        <w:t>, 537–549.</w:t>
      </w:r>
    </w:p>
    <w:p w14:paraId="7FC9E0A4" w14:textId="77777777" w:rsidR="003827C7" w:rsidRPr="003827C7" w:rsidRDefault="003827C7" w:rsidP="003827C7">
      <w:pPr>
        <w:widowControl w:val="0"/>
        <w:autoSpaceDE w:val="0"/>
        <w:autoSpaceDN w:val="0"/>
        <w:adjustRightInd w:val="0"/>
        <w:spacing w:line="480" w:lineRule="auto"/>
        <w:rPr>
          <w:rFonts w:ascii="Arial" w:hAnsi="Arial" w:cs="Arial"/>
          <w:noProof/>
          <w:szCs w:val="24"/>
        </w:rPr>
      </w:pPr>
      <w:r w:rsidRPr="003827C7">
        <w:rPr>
          <w:rFonts w:ascii="Arial" w:hAnsi="Arial" w:cs="Arial"/>
          <w:noProof/>
          <w:szCs w:val="24"/>
        </w:rPr>
        <w:t xml:space="preserve">21. Kichaev, G., Bhatia, G., Loh, P.-R., Gazal, S., Burch, K., Freund, M.K., Schoech, A., Pasaniuc, B., and Price, A.L. (2019). Leveraging Polygenic Functional Enrichment to Improve GWAS Power. Am. J. Hum. Genet. </w:t>
      </w:r>
      <w:r w:rsidRPr="003827C7">
        <w:rPr>
          <w:rFonts w:ascii="Arial" w:hAnsi="Arial" w:cs="Arial"/>
          <w:i/>
          <w:iCs/>
          <w:noProof/>
          <w:szCs w:val="24"/>
        </w:rPr>
        <w:t>104</w:t>
      </w:r>
      <w:r w:rsidRPr="003827C7">
        <w:rPr>
          <w:rFonts w:ascii="Arial" w:hAnsi="Arial" w:cs="Arial"/>
          <w:noProof/>
          <w:szCs w:val="24"/>
        </w:rPr>
        <w:t>, 65–75.</w:t>
      </w:r>
    </w:p>
    <w:p w14:paraId="35D3F709" w14:textId="5201B2CD" w:rsidR="00462373" w:rsidRPr="00462373" w:rsidRDefault="003827C7" w:rsidP="008D5576">
      <w:pPr>
        <w:widowControl w:val="0"/>
        <w:autoSpaceDE w:val="0"/>
        <w:autoSpaceDN w:val="0"/>
        <w:adjustRightInd w:val="0"/>
        <w:spacing w:line="480" w:lineRule="auto"/>
        <w:rPr>
          <w:rFonts w:ascii="Arial" w:hAnsi="Arial" w:cs="Arial"/>
        </w:rPr>
      </w:pPr>
      <w:r w:rsidRPr="003827C7">
        <w:rPr>
          <w:rFonts w:ascii="Arial" w:hAnsi="Arial" w:cs="Arial"/>
          <w:noProof/>
          <w:szCs w:val="24"/>
        </w:rPr>
        <w:t xml:space="preserve">22. Lee, J.J., Wedow, R., Okbay, A., Kong, E., Maghzian, O., Zacher, M., Nguyen-Viet, T.A., Bowers, P., Sidorenko, J., Karlsson Linnér, R., et al. (2018). Gene discovery and polygenic prediction from a genome-wide association study of educational attainment in 1.1 million individuals. Nat. Genet. </w:t>
      </w:r>
      <w:r w:rsidRPr="003827C7">
        <w:rPr>
          <w:rFonts w:ascii="Arial" w:hAnsi="Arial" w:cs="Arial"/>
          <w:i/>
          <w:iCs/>
          <w:noProof/>
          <w:szCs w:val="24"/>
        </w:rPr>
        <w:t>50</w:t>
      </w:r>
      <w:r w:rsidRPr="003827C7">
        <w:rPr>
          <w:rFonts w:ascii="Arial" w:hAnsi="Arial" w:cs="Arial"/>
          <w:noProof/>
          <w:szCs w:val="24"/>
        </w:rPr>
        <w:t>, 1112–1121.</w:t>
      </w:r>
      <w:r w:rsidR="00462373">
        <w:rPr>
          <w:rFonts w:ascii="Arial" w:hAnsi="Arial" w:cs="Arial"/>
        </w:rPr>
        <w:fldChar w:fldCharType="end"/>
      </w:r>
    </w:p>
    <w:sectPr w:rsidR="00462373" w:rsidRPr="00462373" w:rsidSect="0059619F">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061D" w14:textId="77777777" w:rsidR="00477090" w:rsidRDefault="00477090" w:rsidP="00384D1E">
      <w:pPr>
        <w:spacing w:after="0" w:line="240" w:lineRule="auto"/>
      </w:pPr>
      <w:r>
        <w:separator/>
      </w:r>
    </w:p>
  </w:endnote>
  <w:endnote w:type="continuationSeparator" w:id="0">
    <w:p w14:paraId="463639E8" w14:textId="77777777" w:rsidR="00477090" w:rsidRDefault="00477090" w:rsidP="0038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45521571"/>
      <w:docPartObj>
        <w:docPartGallery w:val="Page Numbers (Bottom of Page)"/>
        <w:docPartUnique/>
      </w:docPartObj>
    </w:sdtPr>
    <w:sdtEndPr>
      <w:rPr>
        <w:noProof/>
      </w:rPr>
    </w:sdtEndPr>
    <w:sdtContent>
      <w:p w14:paraId="5E8B4A9F" w14:textId="77777777" w:rsidR="00236C0F" w:rsidRPr="00236C0F" w:rsidRDefault="00384D1E">
        <w:pPr>
          <w:pStyle w:val="Footer"/>
          <w:jc w:val="right"/>
          <w:rPr>
            <w:rFonts w:ascii="Arial" w:hAnsi="Arial" w:cs="Arial"/>
            <w:sz w:val="20"/>
            <w:szCs w:val="20"/>
          </w:rPr>
        </w:pPr>
        <w:r w:rsidRPr="00236C0F">
          <w:rPr>
            <w:rFonts w:ascii="Arial" w:hAnsi="Arial" w:cs="Arial"/>
            <w:sz w:val="20"/>
            <w:szCs w:val="20"/>
          </w:rPr>
          <w:fldChar w:fldCharType="begin"/>
        </w:r>
        <w:r w:rsidRPr="00236C0F">
          <w:rPr>
            <w:rFonts w:ascii="Arial" w:hAnsi="Arial" w:cs="Arial"/>
            <w:sz w:val="20"/>
            <w:szCs w:val="20"/>
          </w:rPr>
          <w:instrText xml:space="preserve"> PAGE   \* MERGEFORMAT </w:instrText>
        </w:r>
        <w:r w:rsidRPr="00236C0F">
          <w:rPr>
            <w:rFonts w:ascii="Arial" w:hAnsi="Arial" w:cs="Arial"/>
            <w:sz w:val="20"/>
            <w:szCs w:val="20"/>
          </w:rPr>
          <w:fldChar w:fldCharType="separate"/>
        </w:r>
        <w:r w:rsidRPr="00236C0F">
          <w:rPr>
            <w:rFonts w:ascii="Arial" w:hAnsi="Arial" w:cs="Arial"/>
            <w:noProof/>
            <w:sz w:val="20"/>
            <w:szCs w:val="20"/>
          </w:rPr>
          <w:t>2</w:t>
        </w:r>
        <w:r w:rsidRPr="00236C0F">
          <w:rPr>
            <w:rFonts w:ascii="Arial" w:hAnsi="Arial" w:cs="Arial"/>
            <w:noProof/>
            <w:sz w:val="20"/>
            <w:szCs w:val="20"/>
          </w:rPr>
          <w:fldChar w:fldCharType="end"/>
        </w:r>
      </w:p>
    </w:sdtContent>
  </w:sdt>
  <w:p w14:paraId="20BA9CB7" w14:textId="77777777" w:rsidR="00236C0F" w:rsidRDefault="008D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ADCC" w14:textId="77777777" w:rsidR="00477090" w:rsidRDefault="00477090" w:rsidP="00384D1E">
      <w:pPr>
        <w:spacing w:after="0" w:line="240" w:lineRule="auto"/>
      </w:pPr>
      <w:r>
        <w:separator/>
      </w:r>
    </w:p>
  </w:footnote>
  <w:footnote w:type="continuationSeparator" w:id="0">
    <w:p w14:paraId="17020591" w14:textId="77777777" w:rsidR="00477090" w:rsidRDefault="00477090" w:rsidP="00384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1DB1" w14:textId="0FE815BD" w:rsidR="00B5648A" w:rsidRDefault="00384D1E" w:rsidP="00384D1E">
    <w:pPr>
      <w:pStyle w:val="Header"/>
      <w:tabs>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6516"/>
    <w:multiLevelType w:val="hybridMultilevel"/>
    <w:tmpl w:val="2EF0F8F0"/>
    <w:lvl w:ilvl="0" w:tplc="2EC0D0B4">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372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1E"/>
    <w:rsid w:val="00005ACF"/>
    <w:rsid w:val="00017602"/>
    <w:rsid w:val="00021657"/>
    <w:rsid w:val="000531F5"/>
    <w:rsid w:val="000906D1"/>
    <w:rsid w:val="00094C57"/>
    <w:rsid w:val="000A46F7"/>
    <w:rsid w:val="000A6BEB"/>
    <w:rsid w:val="00101633"/>
    <w:rsid w:val="001143D1"/>
    <w:rsid w:val="001377B7"/>
    <w:rsid w:val="00156D59"/>
    <w:rsid w:val="00185C87"/>
    <w:rsid w:val="00196BC2"/>
    <w:rsid w:val="001A4325"/>
    <w:rsid w:val="001D2C5F"/>
    <w:rsid w:val="001E3DD0"/>
    <w:rsid w:val="00200DC9"/>
    <w:rsid w:val="002074E3"/>
    <w:rsid w:val="00213F08"/>
    <w:rsid w:val="002230DB"/>
    <w:rsid w:val="00255AB4"/>
    <w:rsid w:val="002962D4"/>
    <w:rsid w:val="0029764E"/>
    <w:rsid w:val="002A0E3D"/>
    <w:rsid w:val="002B3A7F"/>
    <w:rsid w:val="002E2CB3"/>
    <w:rsid w:val="00304DB7"/>
    <w:rsid w:val="00316EAB"/>
    <w:rsid w:val="00332972"/>
    <w:rsid w:val="003358E8"/>
    <w:rsid w:val="00341A35"/>
    <w:rsid w:val="0036434E"/>
    <w:rsid w:val="00367A9D"/>
    <w:rsid w:val="003753F7"/>
    <w:rsid w:val="003827C7"/>
    <w:rsid w:val="00384D1E"/>
    <w:rsid w:val="003A3C6C"/>
    <w:rsid w:val="003A4B73"/>
    <w:rsid w:val="003C642C"/>
    <w:rsid w:val="003F7FF4"/>
    <w:rsid w:val="00412121"/>
    <w:rsid w:val="004141E4"/>
    <w:rsid w:val="00462373"/>
    <w:rsid w:val="00477090"/>
    <w:rsid w:val="004908B1"/>
    <w:rsid w:val="00493D97"/>
    <w:rsid w:val="00495453"/>
    <w:rsid w:val="004E1A6B"/>
    <w:rsid w:val="004E4521"/>
    <w:rsid w:val="004F19B3"/>
    <w:rsid w:val="004F486B"/>
    <w:rsid w:val="00574D49"/>
    <w:rsid w:val="0059619F"/>
    <w:rsid w:val="005A1877"/>
    <w:rsid w:val="006419A2"/>
    <w:rsid w:val="00641E56"/>
    <w:rsid w:val="00651FAC"/>
    <w:rsid w:val="00675919"/>
    <w:rsid w:val="00675AF5"/>
    <w:rsid w:val="006B30F8"/>
    <w:rsid w:val="006D3D92"/>
    <w:rsid w:val="006D5CC1"/>
    <w:rsid w:val="006F4EA0"/>
    <w:rsid w:val="007168F6"/>
    <w:rsid w:val="00717A0F"/>
    <w:rsid w:val="00722DD7"/>
    <w:rsid w:val="00764B42"/>
    <w:rsid w:val="00767613"/>
    <w:rsid w:val="0077073D"/>
    <w:rsid w:val="00776C54"/>
    <w:rsid w:val="00793789"/>
    <w:rsid w:val="007B0DFD"/>
    <w:rsid w:val="007D5AA7"/>
    <w:rsid w:val="008105E2"/>
    <w:rsid w:val="008340CB"/>
    <w:rsid w:val="00835E73"/>
    <w:rsid w:val="008A4965"/>
    <w:rsid w:val="008D5576"/>
    <w:rsid w:val="008F493A"/>
    <w:rsid w:val="00900EB3"/>
    <w:rsid w:val="00911F17"/>
    <w:rsid w:val="00912CD9"/>
    <w:rsid w:val="0091523D"/>
    <w:rsid w:val="009566B6"/>
    <w:rsid w:val="00980473"/>
    <w:rsid w:val="0099014A"/>
    <w:rsid w:val="009A5007"/>
    <w:rsid w:val="009C1222"/>
    <w:rsid w:val="009C5E52"/>
    <w:rsid w:val="009D5AE4"/>
    <w:rsid w:val="009E47A8"/>
    <w:rsid w:val="00A07758"/>
    <w:rsid w:val="00A23C95"/>
    <w:rsid w:val="00A24E8B"/>
    <w:rsid w:val="00A25805"/>
    <w:rsid w:val="00A30F12"/>
    <w:rsid w:val="00A51A99"/>
    <w:rsid w:val="00A51C5A"/>
    <w:rsid w:val="00A93277"/>
    <w:rsid w:val="00AD20B8"/>
    <w:rsid w:val="00B127B7"/>
    <w:rsid w:val="00B17DF9"/>
    <w:rsid w:val="00B350C0"/>
    <w:rsid w:val="00B42D21"/>
    <w:rsid w:val="00B43FF5"/>
    <w:rsid w:val="00B60173"/>
    <w:rsid w:val="00B84766"/>
    <w:rsid w:val="00B856AB"/>
    <w:rsid w:val="00BB05E7"/>
    <w:rsid w:val="00BB7310"/>
    <w:rsid w:val="00BC4ECD"/>
    <w:rsid w:val="00BF24CA"/>
    <w:rsid w:val="00C30669"/>
    <w:rsid w:val="00C369BD"/>
    <w:rsid w:val="00C45F5A"/>
    <w:rsid w:val="00C5339A"/>
    <w:rsid w:val="00C67FB4"/>
    <w:rsid w:val="00C77278"/>
    <w:rsid w:val="00C9176A"/>
    <w:rsid w:val="00CA2C97"/>
    <w:rsid w:val="00CB430F"/>
    <w:rsid w:val="00CC1105"/>
    <w:rsid w:val="00CC6358"/>
    <w:rsid w:val="00CE6551"/>
    <w:rsid w:val="00CF2411"/>
    <w:rsid w:val="00D06FFB"/>
    <w:rsid w:val="00D81D60"/>
    <w:rsid w:val="00D83962"/>
    <w:rsid w:val="00DA24DB"/>
    <w:rsid w:val="00DB33C8"/>
    <w:rsid w:val="00DF7BD0"/>
    <w:rsid w:val="00E11643"/>
    <w:rsid w:val="00E22723"/>
    <w:rsid w:val="00E548D4"/>
    <w:rsid w:val="00E71C77"/>
    <w:rsid w:val="00E75845"/>
    <w:rsid w:val="00E95959"/>
    <w:rsid w:val="00ED2442"/>
    <w:rsid w:val="00EE397B"/>
    <w:rsid w:val="00F138B4"/>
    <w:rsid w:val="00F31246"/>
    <w:rsid w:val="00F36C7E"/>
    <w:rsid w:val="00F41826"/>
    <w:rsid w:val="00F509E6"/>
    <w:rsid w:val="00F679F4"/>
    <w:rsid w:val="00F71358"/>
    <w:rsid w:val="00F76004"/>
    <w:rsid w:val="00F90FE9"/>
    <w:rsid w:val="00F921E7"/>
    <w:rsid w:val="00F965A3"/>
    <w:rsid w:val="00FA5B22"/>
    <w:rsid w:val="00FB73D2"/>
    <w:rsid w:val="00FC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A1AE3"/>
  <w15:chartTrackingRefBased/>
  <w15:docId w15:val="{42F17A03-F91B-4026-8925-0275484B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D1E"/>
    <w:pPr>
      <w:ind w:left="720"/>
      <w:contextualSpacing/>
    </w:pPr>
  </w:style>
  <w:style w:type="paragraph" w:styleId="Header">
    <w:name w:val="header"/>
    <w:basedOn w:val="Normal"/>
    <w:link w:val="HeaderChar"/>
    <w:uiPriority w:val="99"/>
    <w:unhideWhenUsed/>
    <w:rsid w:val="0038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D1E"/>
  </w:style>
  <w:style w:type="paragraph" w:styleId="Footer">
    <w:name w:val="footer"/>
    <w:basedOn w:val="Normal"/>
    <w:link w:val="FooterChar"/>
    <w:uiPriority w:val="99"/>
    <w:unhideWhenUsed/>
    <w:rsid w:val="0038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D1E"/>
  </w:style>
  <w:style w:type="character" w:styleId="Strong">
    <w:name w:val="Strong"/>
    <w:basedOn w:val="DefaultParagraphFont"/>
    <w:uiPriority w:val="22"/>
    <w:qFormat/>
    <w:rsid w:val="00384D1E"/>
    <w:rPr>
      <w:b/>
      <w:bCs/>
    </w:rPr>
  </w:style>
  <w:style w:type="character" w:customStyle="1" w:styleId="cf01">
    <w:name w:val="cf01"/>
    <w:basedOn w:val="DefaultParagraphFont"/>
    <w:rsid w:val="00384D1E"/>
    <w:rPr>
      <w:rFonts w:ascii="Segoe UI" w:hAnsi="Segoe UI" w:cs="Segoe UI" w:hint="default"/>
      <w:sz w:val="18"/>
      <w:szCs w:val="18"/>
    </w:rPr>
  </w:style>
  <w:style w:type="paragraph" w:styleId="Revision">
    <w:name w:val="Revision"/>
    <w:hidden/>
    <w:uiPriority w:val="99"/>
    <w:semiHidden/>
    <w:rsid w:val="004908B1"/>
    <w:pPr>
      <w:spacing w:after="0" w:line="240" w:lineRule="auto"/>
    </w:pPr>
  </w:style>
  <w:style w:type="character" w:styleId="CommentReference">
    <w:name w:val="annotation reference"/>
    <w:basedOn w:val="DefaultParagraphFont"/>
    <w:uiPriority w:val="99"/>
    <w:semiHidden/>
    <w:unhideWhenUsed/>
    <w:rsid w:val="00200DC9"/>
    <w:rPr>
      <w:sz w:val="16"/>
      <w:szCs w:val="16"/>
    </w:rPr>
  </w:style>
  <w:style w:type="paragraph" w:styleId="CommentText">
    <w:name w:val="annotation text"/>
    <w:basedOn w:val="Normal"/>
    <w:link w:val="CommentTextChar"/>
    <w:uiPriority w:val="99"/>
    <w:unhideWhenUsed/>
    <w:rsid w:val="00200DC9"/>
    <w:pPr>
      <w:spacing w:line="240" w:lineRule="auto"/>
    </w:pPr>
    <w:rPr>
      <w:sz w:val="20"/>
      <w:szCs w:val="20"/>
    </w:rPr>
  </w:style>
  <w:style w:type="character" w:customStyle="1" w:styleId="CommentTextChar">
    <w:name w:val="Comment Text Char"/>
    <w:basedOn w:val="DefaultParagraphFont"/>
    <w:link w:val="CommentText"/>
    <w:uiPriority w:val="99"/>
    <w:rsid w:val="00200DC9"/>
    <w:rPr>
      <w:sz w:val="20"/>
      <w:szCs w:val="20"/>
    </w:rPr>
  </w:style>
  <w:style w:type="paragraph" w:styleId="CommentSubject">
    <w:name w:val="annotation subject"/>
    <w:basedOn w:val="CommentText"/>
    <w:next w:val="CommentText"/>
    <w:link w:val="CommentSubjectChar"/>
    <w:uiPriority w:val="99"/>
    <w:semiHidden/>
    <w:unhideWhenUsed/>
    <w:rsid w:val="00200DC9"/>
    <w:rPr>
      <w:b/>
      <w:bCs/>
    </w:rPr>
  </w:style>
  <w:style w:type="character" w:customStyle="1" w:styleId="CommentSubjectChar">
    <w:name w:val="Comment Subject Char"/>
    <w:basedOn w:val="CommentTextChar"/>
    <w:link w:val="CommentSubject"/>
    <w:uiPriority w:val="99"/>
    <w:semiHidden/>
    <w:rsid w:val="00200DC9"/>
    <w:rPr>
      <w:b/>
      <w:bCs/>
      <w:sz w:val="20"/>
      <w:szCs w:val="20"/>
    </w:rPr>
  </w:style>
  <w:style w:type="character" w:styleId="LineNumber">
    <w:name w:val="line number"/>
    <w:basedOn w:val="DefaultParagraphFont"/>
    <w:uiPriority w:val="99"/>
    <w:semiHidden/>
    <w:unhideWhenUsed/>
    <w:rsid w:val="0059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75B0-8A1D-4E05-8C1C-5BD9E648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16831</Words>
  <Characters>95943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duchen</dc:creator>
  <cp:keywords/>
  <dc:description/>
  <cp:lastModifiedBy>Dylan Duchen</cp:lastModifiedBy>
  <cp:revision>82</cp:revision>
  <dcterms:created xsi:type="dcterms:W3CDTF">2022-05-05T19:11:00Z</dcterms:created>
  <dcterms:modified xsi:type="dcterms:W3CDTF">2022-06-12T17:32:00Z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b200c73d-430a-3e50-a022-cbcb607d2e93</vt:lpwstr>
  </property>
  <property fmtid="{D5CDD505-2E9C-101B-9397-08002B2CF9AE}" pid="4" name="Mendeley Citation Style_1">
    <vt:lpwstr>http://www.zotero.org/styles/the-american-journal-of-human-genetics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http://www.zotero.org/styles/the-american-journal-of-human-genetics</vt:lpwstr>
  </property>
  <property fmtid="{D5CDD505-2E9C-101B-9397-08002B2CF9AE}" pid="24" name="Mendeley Recent Style Name 9_1">
    <vt:lpwstr>The American Journal of Human Genetics</vt:lpwstr>
  </property>
</Properties>
</file>