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796"/>
        <w:gridCol w:w="796"/>
        <w:gridCol w:w="796"/>
        <w:gridCol w:w="796"/>
        <w:gridCol w:w="684"/>
        <w:gridCol w:w="220"/>
        <w:gridCol w:w="684"/>
        <w:gridCol w:w="796"/>
        <w:gridCol w:w="796"/>
        <w:gridCol w:w="796"/>
        <w:gridCol w:w="796"/>
        <w:gridCol w:w="684"/>
      </w:tblGrid>
      <w:tr w:rsidR="00536EF6" w:rsidRPr="00BB5B1E" w:rsidTr="005F626A">
        <w:trPr>
          <w:trHeight w:val="300"/>
        </w:trPr>
        <w:tc>
          <w:tcPr>
            <w:tcW w:w="4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BB5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Antibodies</w:t>
            </w:r>
            <w:proofErr w:type="spellEnd"/>
            <w:r w:rsidRPr="00BB5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BB5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neutralising</w:t>
            </w:r>
            <w:proofErr w:type="spellEnd"/>
            <w:r w:rsidRPr="00BB5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BB5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orthopoxviruses</w:t>
            </w:r>
            <w:proofErr w:type="spellEnd"/>
          </w:p>
        </w:tc>
        <w:tc>
          <w:tcPr>
            <w:tcW w:w="2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Proportion of positive participants</w:t>
            </w:r>
          </w:p>
        </w:tc>
      </w:tr>
      <w:tr w:rsidR="00536EF6" w:rsidRPr="00BB5B1E" w:rsidTr="005F626A">
        <w:trPr>
          <w:trHeight w:val="168"/>
        </w:trPr>
        <w:tc>
          <w:tcPr>
            <w:tcW w:w="64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536EF6" w:rsidRPr="00BB5B1E" w:rsidTr="005F626A">
        <w:trPr>
          <w:trHeight w:val="300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1940's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1950's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1960's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1970's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1980's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1940's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1950's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1960's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1970's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1980's</w:t>
            </w:r>
          </w:p>
        </w:tc>
      </w:tr>
      <w:tr w:rsidR="00536EF6" w:rsidRPr="00BB5B1E" w:rsidTr="005F626A">
        <w:trPr>
          <w:trHeight w:val="288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1950's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0,856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DBDB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1950's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0,733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DBDB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536EF6" w:rsidRPr="00BB5B1E" w:rsidTr="005F626A">
        <w:trPr>
          <w:trHeight w:val="288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1960's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0,082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E2EFDA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0,039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DBDB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1960's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0,131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0,113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DBDB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536EF6" w:rsidRPr="00BB5B1E" w:rsidTr="005F626A">
        <w:trPr>
          <w:trHeight w:val="288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1970's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A9D08E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&lt;0,0001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A9D08E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&lt;0,0001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A9D08E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&lt;0,0001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DBDB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1970's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A9D08E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&lt;0,0001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A9D08E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&lt;0,0001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A9D08E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&lt;0,0001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DBDBDB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536EF6" w:rsidRPr="00BB5B1E" w:rsidTr="005F626A">
        <w:trPr>
          <w:trHeight w:val="288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1980's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A9D08E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&lt;0,0001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A9D08E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&lt;0,0001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A9D08E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&lt;0,0001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A9D08E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&lt;0,0001</w:t>
            </w:r>
          </w:p>
        </w:tc>
        <w:tc>
          <w:tcPr>
            <w:tcW w:w="6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1980's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A9D08E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&lt;0,0001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A9D08E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&lt;0,0001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A9D08E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&lt;0,0001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000000" w:fill="A9D08E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&lt;0,0001</w:t>
            </w:r>
          </w:p>
        </w:tc>
        <w:tc>
          <w:tcPr>
            <w:tcW w:w="6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536EF6" w:rsidRPr="00BB5B1E" w:rsidTr="005F626A">
        <w:trPr>
          <w:trHeight w:val="3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1990's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nil"/>
              <w:bottom w:val="single" w:sz="8" w:space="0" w:color="auto"/>
              <w:right w:val="single" w:sz="8" w:space="0" w:color="FFFFFF" w:themeColor="background1"/>
            </w:tcBorders>
            <w:shd w:val="clear" w:color="000000" w:fill="A9D08E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&lt;0,0001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000000" w:fill="A9D08E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&lt;0,0001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000000" w:fill="A9D08E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&lt;0,0001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000000" w:fill="C6E0B4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0,0002</w:t>
            </w:r>
          </w:p>
        </w:tc>
        <w:tc>
          <w:tcPr>
            <w:tcW w:w="6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0,535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1990's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nil"/>
              <w:bottom w:val="single" w:sz="8" w:space="0" w:color="auto"/>
              <w:right w:val="single" w:sz="8" w:space="0" w:color="FFFFFF" w:themeColor="background1"/>
            </w:tcBorders>
            <w:shd w:val="clear" w:color="000000" w:fill="A9D08E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&lt;0,0001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000000" w:fill="A9D08E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&lt;0,0001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000000" w:fill="A9D08E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&lt;0,0001</w:t>
            </w:r>
          </w:p>
        </w:tc>
        <w:tc>
          <w:tcPr>
            <w:tcW w:w="7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000000" w:fill="A9D08E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&lt;0,0001</w:t>
            </w:r>
          </w:p>
        </w:tc>
        <w:tc>
          <w:tcPr>
            <w:tcW w:w="6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EF6" w:rsidRPr="00BB5B1E" w:rsidRDefault="00536EF6" w:rsidP="005F6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B5B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0,334</w:t>
            </w:r>
          </w:p>
        </w:tc>
      </w:tr>
    </w:tbl>
    <w:p w:rsidR="00BC07CA" w:rsidRDefault="00BC07CA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36EF6" w:rsidRPr="00527D8F" w:rsidRDefault="00536EF6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527D8F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Supplemental Table 1: </w:t>
      </w:r>
      <w:r w:rsidRPr="00527D8F">
        <w:rPr>
          <w:rFonts w:ascii="Times New Roman" w:hAnsi="Times New Roman" w:cs="Times New Roman"/>
          <w:sz w:val="24"/>
          <w:szCs w:val="24"/>
          <w:lang w:val="en-GB"/>
        </w:rPr>
        <w:t xml:space="preserve">p-values associated to Figure 1a. </w:t>
      </w:r>
      <w:proofErr w:type="gramStart"/>
      <w:r w:rsidRPr="00527D8F">
        <w:rPr>
          <w:rFonts w:ascii="Times New Roman" w:hAnsi="Times New Roman" w:cs="Times New Roman"/>
          <w:sz w:val="24"/>
          <w:szCs w:val="24"/>
          <w:lang w:val="en-GB"/>
        </w:rPr>
        <w:t>and</w:t>
      </w:r>
      <w:proofErr w:type="gramEnd"/>
      <w:r w:rsidRPr="00527D8F">
        <w:rPr>
          <w:rFonts w:ascii="Times New Roman" w:hAnsi="Times New Roman" w:cs="Times New Roman"/>
          <w:sz w:val="24"/>
          <w:szCs w:val="24"/>
          <w:lang w:val="en-GB"/>
        </w:rPr>
        <w:t xml:space="preserve"> 1b. Comparison of ONT and proportion of positive between decades of birth using a Mann-Whitney test. </w:t>
      </w:r>
    </w:p>
    <w:p w:rsidR="005F626A" w:rsidRDefault="005F626A">
      <w:pPr>
        <w:rPr>
          <w:rFonts w:ascii="Times New Roman" w:hAnsi="Times New Roman" w:cs="Times New Roman"/>
          <w:lang w:val="en-GB"/>
        </w:rPr>
      </w:pPr>
    </w:p>
    <w:p w:rsidR="005F626A" w:rsidRDefault="005F626A">
      <w:pPr>
        <w:rPr>
          <w:rFonts w:ascii="Times New Roman" w:hAnsi="Times New Roman" w:cs="Times New Roman"/>
          <w:lang w:val="en-GB"/>
        </w:rPr>
      </w:pPr>
    </w:p>
    <w:p w:rsidR="005F626A" w:rsidRDefault="00A3119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3403092" cy="3508248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emental Figure 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092" cy="350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26A" w:rsidRPr="00527D8F" w:rsidRDefault="005F626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27D8F">
        <w:rPr>
          <w:rFonts w:ascii="Times New Roman" w:hAnsi="Times New Roman" w:cs="Times New Roman"/>
          <w:b/>
          <w:sz w:val="24"/>
          <w:szCs w:val="24"/>
          <w:lang w:val="en-GB"/>
        </w:rPr>
        <w:t>Supplemental Figure 1</w:t>
      </w:r>
      <w:r w:rsidRPr="00527D8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527D8F">
        <w:rPr>
          <w:rFonts w:ascii="Times New Roman" w:hAnsi="Times New Roman" w:cs="Times New Roman"/>
          <w:sz w:val="24"/>
          <w:szCs w:val="24"/>
          <w:lang w:val="en-GB"/>
        </w:rPr>
        <w:t>seroprevalence</w:t>
      </w:r>
      <w:proofErr w:type="spellEnd"/>
      <w:r w:rsidRPr="00527D8F">
        <w:rPr>
          <w:rFonts w:ascii="Times New Roman" w:hAnsi="Times New Roman" w:cs="Times New Roman"/>
          <w:sz w:val="24"/>
          <w:szCs w:val="24"/>
          <w:lang w:val="en-GB"/>
        </w:rPr>
        <w:t xml:space="preserve"> in Mali using a threshold titre at 20 (ThT20). The numbers in each group are as follows: 29 for participants born before 1960, 34 for those born in the 1960s, 46 for those born in the 1970s, </w:t>
      </w:r>
      <w:proofErr w:type="gramStart"/>
      <w:r w:rsidRPr="00527D8F">
        <w:rPr>
          <w:rFonts w:ascii="Times New Roman" w:hAnsi="Times New Roman" w:cs="Times New Roman"/>
          <w:sz w:val="24"/>
          <w:szCs w:val="24"/>
          <w:lang w:val="en-GB"/>
        </w:rPr>
        <w:t>74</w:t>
      </w:r>
      <w:proofErr w:type="gramEnd"/>
      <w:r w:rsidRPr="00527D8F">
        <w:rPr>
          <w:rFonts w:ascii="Times New Roman" w:hAnsi="Times New Roman" w:cs="Times New Roman"/>
          <w:sz w:val="24"/>
          <w:szCs w:val="24"/>
          <w:lang w:val="en-GB"/>
        </w:rPr>
        <w:t xml:space="preserve"> for those born in the 1980s and 72 for those born after 1990.</w:t>
      </w:r>
      <w:r w:rsidR="00527D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sectPr w:rsidR="005F626A" w:rsidRPr="00527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F6"/>
    <w:rsid w:val="001424D4"/>
    <w:rsid w:val="00527D8F"/>
    <w:rsid w:val="00536EF6"/>
    <w:rsid w:val="005F626A"/>
    <w:rsid w:val="00A3119C"/>
    <w:rsid w:val="00A519C7"/>
    <w:rsid w:val="00BC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950F"/>
  <w15:chartTrackingRefBased/>
  <w15:docId w15:val="{47663C9F-AF99-4012-82F7-CA4A5016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EF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UMR190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luciani</dc:creator>
  <cp:keywords/>
  <dc:description/>
  <cp:lastModifiedBy>lea luciani</cp:lastModifiedBy>
  <cp:revision>4</cp:revision>
  <dcterms:created xsi:type="dcterms:W3CDTF">2022-07-01T07:50:00Z</dcterms:created>
  <dcterms:modified xsi:type="dcterms:W3CDTF">2022-07-06T07:41:00Z</dcterms:modified>
</cp:coreProperties>
</file>