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C8AED" w14:textId="697FFE57" w:rsidR="002A7D05" w:rsidRDefault="00A5575E">
      <w:pPr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Supplementary </w:t>
      </w:r>
      <w:r w:rsidR="001A2D2E">
        <w:rPr>
          <w:rFonts w:ascii="Montserrat" w:eastAsia="Montserrat" w:hAnsi="Montserrat" w:cs="Montserrat"/>
          <w:sz w:val="28"/>
          <w:szCs w:val="28"/>
        </w:rPr>
        <w:t>Figures</w:t>
      </w:r>
    </w:p>
    <w:p w14:paraId="4CBA841F" w14:textId="77777777" w:rsidR="00C8016E" w:rsidRDefault="00C8016E">
      <w:pPr>
        <w:rPr>
          <w:b/>
        </w:rPr>
      </w:pPr>
    </w:p>
    <w:p w14:paraId="54BAB513" w14:textId="0DEAFF0D" w:rsidR="002A7D05" w:rsidRDefault="001A2D2E">
      <w:pPr>
        <w:rPr>
          <w:b/>
        </w:rPr>
      </w:pPr>
      <w:r>
        <w:rPr>
          <w:b/>
        </w:rPr>
        <w:t>Supplementary Figure 1</w:t>
      </w:r>
      <w:r w:rsidR="00A5575E">
        <w:rPr>
          <w:b/>
        </w:rPr>
        <w:t xml:space="preserve">. Overview of variant preprocessing pipeline </w:t>
      </w:r>
    </w:p>
    <w:p w14:paraId="19C180EE" w14:textId="77777777" w:rsidR="002A7D05" w:rsidRDefault="00A5575E">
      <w:r>
        <w:t xml:space="preserve">(A) Flowchart of the steps implemented in the variant preprocessing pipeline. Steps include: 1) extract variants from multiple GWAS datasets of an outcome of interest, 2) remove variants that do not pass a Bonferroni p-value from the largest GWAS dataset of the outcome, 3) find proxy variants for variants that are multi-allelic, ambiguous, or have low trait counts, 4) LD-prune to ensure independent signals and 5) align variants to risk increasing alleles of the outcome of interest. (B) Flowchart of trait preprocessing. Steps include: 1) filter trait GWAS by minimum sample size, 2) filter trait GWAS by a minimum Bonferroni p-value across the selected variants, 3) filter by correlation between traits and 4) generate a variant by trait association matrix.  </w:t>
      </w:r>
    </w:p>
    <w:p w14:paraId="2F7BFAEF" w14:textId="77777777" w:rsidR="002A7D05" w:rsidRDefault="00A5575E">
      <w:pPr>
        <w:rPr>
          <w:b/>
        </w:rPr>
      </w:pPr>
      <w:r>
        <w:br w:type="page"/>
      </w:r>
    </w:p>
    <w:p w14:paraId="42567FCF" w14:textId="77777777" w:rsidR="002A7D05" w:rsidRDefault="002A7D05">
      <w:pPr>
        <w:rPr>
          <w:b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5"/>
        <w:gridCol w:w="255"/>
      </w:tblGrid>
      <w:tr w:rsidR="002A7D05" w14:paraId="05BBD0FD" w14:textId="77777777"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21200" w14:textId="026FAC20" w:rsidR="002A7D05" w:rsidRPr="001A2D2E" w:rsidRDefault="001A2D2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1A2D2E">
              <w:rPr>
                <w:b/>
                <w:sz w:val="28"/>
                <w:szCs w:val="28"/>
              </w:rPr>
              <w:t>a</w:t>
            </w:r>
          </w:p>
          <w:p w14:paraId="32294FC2" w14:textId="77777777" w:rsidR="002A7D05" w:rsidRDefault="00A5575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AF83A40" wp14:editId="5FDF814A">
                  <wp:extent cx="5133975" cy="7643277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7643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A36F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114D3089" w14:textId="77777777" w:rsidR="002A7D05" w:rsidRDefault="002A7D05">
      <w:pPr>
        <w:rPr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5"/>
        <w:gridCol w:w="285"/>
      </w:tblGrid>
      <w:tr w:rsidR="002A7D05" w14:paraId="6C34A7BA" w14:textId="77777777">
        <w:tc>
          <w:tcPr>
            <w:tcW w:w="9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BB34" w14:textId="363E0529" w:rsidR="002A7D05" w:rsidRPr="001A2D2E" w:rsidRDefault="001A2D2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1A2D2E">
              <w:rPr>
                <w:b/>
                <w:sz w:val="28"/>
                <w:szCs w:val="28"/>
              </w:rPr>
              <w:t>b</w:t>
            </w:r>
          </w:p>
          <w:p w14:paraId="4959A603" w14:textId="77777777" w:rsidR="002A7D05" w:rsidRDefault="00A5575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C6FDE22" wp14:editId="0AA9878F">
                  <wp:extent cx="4010025" cy="474345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 t="-1452" b="-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474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429F0E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8706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3B136D67" w14:textId="77777777" w:rsidR="002A7D05" w:rsidRDefault="002A7D05">
      <w:pPr>
        <w:widowControl w:val="0"/>
        <w:spacing w:line="240" w:lineRule="auto"/>
      </w:pPr>
    </w:p>
    <w:p w14:paraId="7358D25F" w14:textId="77777777" w:rsidR="002A7D05" w:rsidRDefault="002A7D05"/>
    <w:p w14:paraId="318B6B11" w14:textId="77777777" w:rsidR="002A7D05" w:rsidRDefault="002A7D05"/>
    <w:p w14:paraId="4C973C06" w14:textId="77777777" w:rsidR="002A7D05" w:rsidRDefault="00A5575E">
      <w:pPr>
        <w:rPr>
          <w:b/>
        </w:rPr>
      </w:pPr>
      <w:r>
        <w:br w:type="page"/>
      </w:r>
    </w:p>
    <w:p w14:paraId="30FB6F1B" w14:textId="0901E4D4" w:rsidR="00515810" w:rsidRDefault="00515810" w:rsidP="00515810">
      <w:pPr>
        <w:rPr>
          <w:b/>
        </w:rPr>
      </w:pPr>
      <w:r>
        <w:rPr>
          <w:b/>
        </w:rPr>
        <w:lastRenderedPageBreak/>
        <w:t>Supplementary Figure 2. Method for determining cluster weight cutoff</w:t>
      </w:r>
    </w:p>
    <w:p w14:paraId="38E23F2B" w14:textId="55CE968C" w:rsidR="00515810" w:rsidRDefault="00515810" w:rsidP="00515810">
      <w:r>
        <w:t>The method of determining cluster weight cutoff shown in plot. First, the weights were aggregated from all the clusters and plotted in a descending order</w:t>
      </w:r>
      <w:r w:rsidR="00A81E4B">
        <w:t xml:space="preserve"> (x axis: scaled count, y axis: scaled cluster weight)</w:t>
      </w:r>
      <w:r>
        <w:t>. Then a line (blue) was fitted to the top 1% of the weights and another line (red) to the bottom 80% of the weights. The point where the distance to the first line (blue) becomes shorter than the second line (red) is determined to be the cutoff for cluster weights.</w:t>
      </w:r>
    </w:p>
    <w:p w14:paraId="5A9E1EB9" w14:textId="77777777" w:rsidR="00515810" w:rsidRDefault="00515810" w:rsidP="00515810"/>
    <w:p w14:paraId="7F0D91B2" w14:textId="61F9BA39" w:rsidR="00515810" w:rsidRDefault="00C23167" w:rsidP="00756048">
      <w:pPr>
        <w:jc w:val="center"/>
      </w:pPr>
      <w:r>
        <w:rPr>
          <w:noProof/>
        </w:rPr>
        <w:drawing>
          <wp:inline distT="0" distB="0" distL="0" distR="0" wp14:anchorId="446A0FB9" wp14:editId="0E69B078">
            <wp:extent cx="5943600" cy="4245610"/>
            <wp:effectExtent l="0" t="0" r="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487C" w14:textId="77777777" w:rsidR="00515810" w:rsidRDefault="00515810" w:rsidP="00515810"/>
    <w:p w14:paraId="4E388966" w14:textId="77777777" w:rsidR="00515810" w:rsidRDefault="00515810" w:rsidP="00515810"/>
    <w:p w14:paraId="2E05649B" w14:textId="77777777" w:rsidR="00515810" w:rsidRDefault="00515810">
      <w:pPr>
        <w:rPr>
          <w:b/>
        </w:rPr>
      </w:pPr>
      <w:r>
        <w:rPr>
          <w:b/>
        </w:rPr>
        <w:br w:type="page"/>
      </w:r>
    </w:p>
    <w:p w14:paraId="26CDA7FC" w14:textId="28E10D99" w:rsidR="002A7D05" w:rsidRPr="005B1C8E" w:rsidRDefault="001A2D2E">
      <w:pPr>
        <w:rPr>
          <w:b/>
        </w:rPr>
      </w:pPr>
      <w:r>
        <w:rPr>
          <w:b/>
        </w:rPr>
        <w:lastRenderedPageBreak/>
        <w:t xml:space="preserve">Supplementary Figure </w:t>
      </w:r>
      <w:r w:rsidR="00EB39DD">
        <w:rPr>
          <w:b/>
        </w:rPr>
        <w:t>3</w:t>
      </w:r>
      <w:r>
        <w:rPr>
          <w:b/>
        </w:rPr>
        <w:t>.</w:t>
      </w:r>
      <w:r w:rsidR="00A5575E">
        <w:rPr>
          <w:b/>
        </w:rPr>
        <w:t xml:space="preserve"> Cluster-defining characteristics</w:t>
      </w:r>
    </w:p>
    <w:p w14:paraId="3AB22EFC" w14:textId="77777777" w:rsidR="002A7D05" w:rsidRDefault="00A5575E">
      <w:r>
        <w:t xml:space="preserve">Standardized effect sizes of cluster </w:t>
      </w:r>
      <w:proofErr w:type="spellStart"/>
      <w:r>
        <w:t>pPS</w:t>
      </w:r>
      <w:proofErr w:type="spellEnd"/>
      <w:r>
        <w:t xml:space="preserve">-trait association derived from GWAS summary statistics shown in bar plots. The black vertical line (y-axis) shows an estimate of 0, representing no association between the cluster </w:t>
      </w:r>
      <w:proofErr w:type="spellStart"/>
      <w:r>
        <w:t>pPS</w:t>
      </w:r>
      <w:proofErr w:type="spellEnd"/>
      <w:r>
        <w:t xml:space="preserve"> and trait. A subset of discriminatory traits </w:t>
      </w:r>
      <w:proofErr w:type="gramStart"/>
      <w:r>
        <w:t>are</w:t>
      </w:r>
      <w:proofErr w:type="gramEnd"/>
      <w:r>
        <w:t xml:space="preserve"> displayed. Bars pointing towards the right side represent positive cluster-trait associations, whereas those pointing towards the left side represent negative cluster-trait associations. Asterisks represent significant cluster-trait associations below a Bonferroni P-value. </w:t>
      </w:r>
    </w:p>
    <w:p w14:paraId="60C15B7A" w14:textId="77777777" w:rsidR="002A7D05" w:rsidRDefault="002A7D05"/>
    <w:p w14:paraId="74DF40AB" w14:textId="1B11BD6F" w:rsidR="002A7D05" w:rsidRDefault="00FA0E3E">
      <w:r>
        <w:rPr>
          <w:noProof/>
        </w:rPr>
        <w:drawing>
          <wp:inline distT="0" distB="0" distL="0" distR="0" wp14:anchorId="129CFF8D" wp14:editId="1A407FA2">
            <wp:extent cx="5943600" cy="473837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C8CC" w14:textId="77777777" w:rsidR="002A7D05" w:rsidRDefault="002A7D05"/>
    <w:p w14:paraId="05E40A83" w14:textId="77777777" w:rsidR="002A7D05" w:rsidRDefault="00A5575E">
      <w:pPr>
        <w:rPr>
          <w:b/>
        </w:rPr>
      </w:pPr>
      <w:r>
        <w:br w:type="page"/>
      </w:r>
    </w:p>
    <w:p w14:paraId="1873F33F" w14:textId="34AE320D" w:rsidR="002A7D05" w:rsidRDefault="001A2D2E">
      <w:pPr>
        <w:rPr>
          <w:b/>
        </w:rPr>
      </w:pPr>
      <w:r>
        <w:rPr>
          <w:b/>
        </w:rPr>
        <w:lastRenderedPageBreak/>
        <w:t xml:space="preserve">Supplementary Figure </w:t>
      </w:r>
      <w:r w:rsidR="00EB39DD">
        <w:rPr>
          <w:b/>
        </w:rPr>
        <w:t>4</w:t>
      </w:r>
      <w:r>
        <w:rPr>
          <w:b/>
        </w:rPr>
        <w:t>.</w:t>
      </w:r>
      <w:r w:rsidR="00A5575E">
        <w:rPr>
          <w:b/>
        </w:rPr>
        <w:t xml:space="preserve"> Forest plots of associations with clinical traits using </w:t>
      </w:r>
      <w:r>
        <w:rPr>
          <w:b/>
        </w:rPr>
        <w:t>a</w:t>
      </w:r>
      <w:r w:rsidR="00A5575E">
        <w:rPr>
          <w:b/>
        </w:rPr>
        <w:t xml:space="preserve">) GWAS and </w:t>
      </w:r>
      <w:r>
        <w:rPr>
          <w:b/>
        </w:rPr>
        <w:t>b</w:t>
      </w:r>
      <w:r w:rsidR="00A5575E">
        <w:rPr>
          <w:b/>
        </w:rPr>
        <w:t>) Individual-level data from MGB Biobank</w:t>
      </w:r>
    </w:p>
    <w:p w14:paraId="33477F72" w14:textId="20EB845E" w:rsidR="002A7D05" w:rsidRDefault="00A5575E">
      <w:r w:rsidRPr="001A2D2E">
        <w:rPr>
          <w:b/>
          <w:bCs/>
        </w:rPr>
        <w:t>(</w:t>
      </w:r>
      <w:r w:rsidR="001A2D2E" w:rsidRPr="001A2D2E">
        <w:rPr>
          <w:b/>
          <w:bCs/>
        </w:rPr>
        <w:t>a</w:t>
      </w:r>
      <w:r w:rsidRPr="001A2D2E">
        <w:rPr>
          <w:b/>
          <w:bCs/>
        </w:rPr>
        <w:t>)</w:t>
      </w:r>
      <w:r>
        <w:t xml:space="preserve"> Standardized effect sizes with 95% confidence intervals of cluster </w:t>
      </w:r>
      <w:proofErr w:type="spellStart"/>
      <w:r>
        <w:t>pPS</w:t>
      </w:r>
      <w:proofErr w:type="spellEnd"/>
      <w:r>
        <w:t xml:space="preserve">-trait associations derived from GWAS summary statistics shown in forest plot. Three glycemic traits (triglycerides, HbA1c, BMI) are displayed. “All SNPs” include all the variants that are </w:t>
      </w:r>
      <w:proofErr w:type="gramStart"/>
      <w:r>
        <w:t>top-weighted</w:t>
      </w:r>
      <w:proofErr w:type="gramEnd"/>
      <w:r>
        <w:t xml:space="preserve"> in at least one cluster. </w:t>
      </w:r>
      <w:r w:rsidRPr="001A2D2E">
        <w:rPr>
          <w:b/>
          <w:bCs/>
        </w:rPr>
        <w:t>(</w:t>
      </w:r>
      <w:r w:rsidR="001A2D2E" w:rsidRPr="001A2D2E">
        <w:rPr>
          <w:b/>
          <w:bCs/>
        </w:rPr>
        <w:t>b</w:t>
      </w:r>
      <w:r w:rsidRPr="001A2D2E">
        <w:rPr>
          <w:b/>
          <w:bCs/>
        </w:rPr>
        <w:t>)</w:t>
      </w:r>
      <w:r>
        <w:t xml:space="preserve"> Associations of </w:t>
      </w:r>
      <w:proofErr w:type="spellStart"/>
      <w:r>
        <w:t>pPSs</w:t>
      </w:r>
      <w:proofErr w:type="spellEnd"/>
      <w:r>
        <w:t xml:space="preserve"> in individuals adjusted for T2D status in the MGB Biobank with glycemic traits included in the clustering analysis are shown in forest plot. “GRS total” is the sum of </w:t>
      </w:r>
      <w:proofErr w:type="spellStart"/>
      <w:r>
        <w:t>pPS</w:t>
      </w:r>
      <w:proofErr w:type="spellEnd"/>
      <w:r>
        <w:t xml:space="preserve"> using betas from T2D GWAS (DIAMANTE) of all top-weighted variants in ten clusters. The numbers in the parenthesis next to cluster names indicate the number of variants included in the analysis in each cluster. Hollow points indicate the </w:t>
      </w:r>
      <w:r>
        <w:rPr>
          <w:i/>
        </w:rPr>
        <w:t>P</w:t>
      </w:r>
      <w:r>
        <w:t xml:space="preserve">-value is equal to or greater than 0.05, and otherwise filled. </w:t>
      </w:r>
    </w:p>
    <w:p w14:paraId="58F0FDCC" w14:textId="77777777" w:rsidR="002A7D05" w:rsidRDefault="002A7D05">
      <w:pPr>
        <w:rPr>
          <w:b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20"/>
        <w:gridCol w:w="540"/>
      </w:tblGrid>
      <w:tr w:rsidR="002A7D05" w14:paraId="72151DAA" w14:textId="77777777">
        <w:tc>
          <w:tcPr>
            <w:tcW w:w="8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55C98" w14:textId="1A43D6AD" w:rsidR="002A7D05" w:rsidRPr="001A2D2E" w:rsidRDefault="001A2D2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1A2D2E">
              <w:rPr>
                <w:b/>
                <w:sz w:val="28"/>
                <w:szCs w:val="28"/>
              </w:rPr>
              <w:t>a</w:t>
            </w:r>
          </w:p>
          <w:p w14:paraId="6FFDF2C1" w14:textId="77777777" w:rsidR="002A7D05" w:rsidRDefault="00A5575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1C1D123" wp14:editId="353BA807">
                  <wp:extent cx="5348225" cy="4919663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225" cy="491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56D783" w14:textId="77777777" w:rsidR="002A7D05" w:rsidRDefault="002A7D05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B11B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2F200030" w14:textId="77777777" w:rsidR="002A7D05" w:rsidRDefault="002A7D05">
      <w:pPr>
        <w:rPr>
          <w:b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A7D05" w:rsidRPr="00DB19AD" w14:paraId="1F64B6D6" w14:textId="77777777">
        <w:tc>
          <w:tcPr>
            <w:tcW w:w="8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A0AD1" w14:textId="77777777" w:rsidR="005B1C8E" w:rsidRDefault="005B1C8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  <w:p w14:paraId="79B40DF9" w14:textId="29770A7C" w:rsidR="002A7D05" w:rsidRPr="001A2D2E" w:rsidRDefault="001A2D2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1A2D2E">
              <w:rPr>
                <w:b/>
                <w:sz w:val="28"/>
                <w:szCs w:val="28"/>
              </w:rPr>
              <w:lastRenderedPageBreak/>
              <w:t>b</w:t>
            </w:r>
          </w:p>
          <w:p w14:paraId="0B88EFD0" w14:textId="77777777" w:rsidR="002A7D05" w:rsidRDefault="00A5575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69B8D37F" wp14:editId="703A6C5A">
                  <wp:extent cx="5464153" cy="5026301"/>
                  <wp:effectExtent l="0" t="0" r="0" b="3175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153" cy="5026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6F306" w14:textId="77777777" w:rsidR="002A7D05" w:rsidRDefault="002A7D05">
      <w:pPr>
        <w:widowControl w:val="0"/>
        <w:spacing w:line="240" w:lineRule="auto"/>
        <w:rPr>
          <w:b/>
        </w:rPr>
      </w:pPr>
    </w:p>
    <w:p w14:paraId="6C6631BA" w14:textId="77777777" w:rsidR="002A7D05" w:rsidRDefault="002A7D05">
      <w:pPr>
        <w:widowControl w:val="0"/>
        <w:spacing w:line="240" w:lineRule="auto"/>
        <w:rPr>
          <w:b/>
        </w:rPr>
      </w:pPr>
    </w:p>
    <w:p w14:paraId="278E92D9" w14:textId="77777777" w:rsidR="002A7D05" w:rsidRDefault="002A7D05">
      <w:pPr>
        <w:jc w:val="center"/>
      </w:pPr>
    </w:p>
    <w:p w14:paraId="23A4666D" w14:textId="77777777" w:rsidR="002A7D05" w:rsidRDefault="00A5575E">
      <w:pPr>
        <w:rPr>
          <w:b/>
        </w:rPr>
      </w:pPr>
      <w:r>
        <w:br w:type="page"/>
      </w:r>
    </w:p>
    <w:p w14:paraId="74FA2408" w14:textId="666010A8" w:rsidR="002A7D05" w:rsidRDefault="001A2D2E">
      <w:pPr>
        <w:rPr>
          <w:b/>
        </w:rPr>
      </w:pPr>
      <w:r>
        <w:rPr>
          <w:b/>
        </w:rPr>
        <w:lastRenderedPageBreak/>
        <w:t xml:space="preserve">Supplementary Figure </w:t>
      </w:r>
      <w:r w:rsidR="00EB39DD">
        <w:rPr>
          <w:b/>
        </w:rPr>
        <w:t>5</w:t>
      </w:r>
      <w:r>
        <w:rPr>
          <w:b/>
        </w:rPr>
        <w:t>.</w:t>
      </w:r>
      <w:r w:rsidR="00A5575E">
        <w:rPr>
          <w:b/>
        </w:rPr>
        <w:t xml:space="preserve"> Clusters of </w:t>
      </w:r>
      <w:proofErr w:type="gramStart"/>
      <w:r>
        <w:rPr>
          <w:b/>
        </w:rPr>
        <w:t>a</w:t>
      </w:r>
      <w:proofErr w:type="gramEnd"/>
      <w:r w:rsidR="00A5575E">
        <w:rPr>
          <w:b/>
        </w:rPr>
        <w:t xml:space="preserve">) CAD loci and </w:t>
      </w:r>
      <w:r>
        <w:rPr>
          <w:b/>
        </w:rPr>
        <w:t>b</w:t>
      </w:r>
      <w:r w:rsidR="00A5575E">
        <w:rPr>
          <w:b/>
        </w:rPr>
        <w:t>) CKD loci</w:t>
      </w:r>
    </w:p>
    <w:p w14:paraId="3B454F34" w14:textId="148375AD" w:rsidR="002A7D05" w:rsidRDefault="00A5575E">
      <w:pPr>
        <w:rPr>
          <w:b/>
        </w:rPr>
      </w:pPr>
      <w:r w:rsidRPr="001A2D2E">
        <w:rPr>
          <w:b/>
          <w:bCs/>
        </w:rPr>
        <w:t>(</w:t>
      </w:r>
      <w:r w:rsidR="001A2D2E" w:rsidRPr="001A2D2E">
        <w:rPr>
          <w:b/>
          <w:bCs/>
        </w:rPr>
        <w:t>a</w:t>
      </w:r>
      <w:r w:rsidRPr="001A2D2E">
        <w:rPr>
          <w:b/>
          <w:bCs/>
        </w:rPr>
        <w:t>)</w:t>
      </w:r>
      <w:r>
        <w:t xml:space="preserve"> Top-weighted loci and traits in each of the five CAD clusters are represented in circular plots. Green bars represent top-weighted loci, red bars represent increased traits and blue bars represent reduced traits in each cluster. </w:t>
      </w:r>
      <w:r w:rsidRPr="001A2D2E">
        <w:rPr>
          <w:b/>
          <w:bCs/>
        </w:rPr>
        <w:t>(</w:t>
      </w:r>
      <w:r w:rsidR="001A2D2E">
        <w:rPr>
          <w:b/>
          <w:bCs/>
        </w:rPr>
        <w:t>b</w:t>
      </w:r>
      <w:r w:rsidRPr="001A2D2E">
        <w:rPr>
          <w:b/>
          <w:bCs/>
        </w:rPr>
        <w:t>)</w:t>
      </w:r>
      <w:r>
        <w:t xml:space="preserve"> Top-weighted loci and traits in each of the </w:t>
      </w:r>
      <w:r w:rsidR="003D360F">
        <w:t>five</w:t>
      </w:r>
      <w:r>
        <w:t xml:space="preserve"> CKD clusters are represented in circular plots.    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5"/>
        <w:gridCol w:w="255"/>
      </w:tblGrid>
      <w:tr w:rsidR="002A7D05" w:rsidRPr="00D320BA" w14:paraId="7C113EF8" w14:textId="77777777"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C40F3" w14:textId="04C911F1" w:rsidR="002A7D05" w:rsidRPr="00D320BA" w:rsidRDefault="001A2D2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320BA">
              <w:rPr>
                <w:b/>
                <w:sz w:val="24"/>
                <w:szCs w:val="24"/>
              </w:rPr>
              <w:t>a</w:t>
            </w:r>
          </w:p>
          <w:p w14:paraId="245499EC" w14:textId="77777777" w:rsidR="002A7D05" w:rsidRPr="00D320BA" w:rsidRDefault="00A5575E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20BA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48A6B10" wp14:editId="276D5445">
                  <wp:extent cx="4599160" cy="6953068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6.png"/>
                          <pic:cNvPicPr preferRelativeResize="0"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" r="-688"/>
                          <a:stretch/>
                        </pic:blipFill>
                        <pic:spPr bwMode="auto">
                          <a:xfrm>
                            <a:off x="0" y="0"/>
                            <a:ext cx="4599483" cy="6953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BF16" w14:textId="77777777" w:rsidR="002A7D05" w:rsidRPr="00D320BA" w:rsidRDefault="002A7D0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42C8C5A" w14:textId="77777777" w:rsidR="002A7D05" w:rsidRPr="00D320BA" w:rsidRDefault="002A7D0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3CA9ADF9" w14:textId="77777777" w:rsidR="002A7D05" w:rsidRDefault="002A7D05">
      <w:pPr>
        <w:rPr>
          <w:b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5"/>
        <w:gridCol w:w="255"/>
      </w:tblGrid>
      <w:tr w:rsidR="002A7D05" w14:paraId="379BBAF4" w14:textId="77777777">
        <w:tc>
          <w:tcPr>
            <w:tcW w:w="9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094A" w14:textId="1ED631B9" w:rsidR="002A7D05" w:rsidRPr="001A2D2E" w:rsidRDefault="001A2D2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1A2D2E">
              <w:rPr>
                <w:b/>
                <w:sz w:val="28"/>
                <w:szCs w:val="28"/>
              </w:rPr>
              <w:t>b</w:t>
            </w:r>
          </w:p>
          <w:p w14:paraId="686541EF" w14:textId="77777777" w:rsidR="002A7D05" w:rsidRDefault="00A5575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6B46100" wp14:editId="377C0A81">
                  <wp:extent cx="4725670" cy="7170344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 preferRelativeResize="0"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971" r="-1519" b="-1525"/>
                          <a:stretch/>
                        </pic:blipFill>
                        <pic:spPr bwMode="auto">
                          <a:xfrm>
                            <a:off x="0" y="0"/>
                            <a:ext cx="4726602" cy="717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F56CD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1BC4E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  <w:p w14:paraId="7F31E143" w14:textId="77777777" w:rsidR="002A7D05" w:rsidRDefault="002A7D05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6C6006F8" w14:textId="6994879C" w:rsidR="005B1C8E" w:rsidRDefault="005B1C8E"/>
    <w:p w14:paraId="2998E4F6" w14:textId="7C199642" w:rsidR="002A7D05" w:rsidRDefault="002A7D05"/>
    <w:sectPr w:rsidR="002A7D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D05"/>
    <w:rsid w:val="0002273C"/>
    <w:rsid w:val="0016747B"/>
    <w:rsid w:val="001A2D2E"/>
    <w:rsid w:val="00215861"/>
    <w:rsid w:val="00256160"/>
    <w:rsid w:val="002A7D05"/>
    <w:rsid w:val="003D360F"/>
    <w:rsid w:val="00515810"/>
    <w:rsid w:val="005B1C8E"/>
    <w:rsid w:val="007343A6"/>
    <w:rsid w:val="00756048"/>
    <w:rsid w:val="00A438D5"/>
    <w:rsid w:val="00A5575E"/>
    <w:rsid w:val="00A81E4B"/>
    <w:rsid w:val="00B560A4"/>
    <w:rsid w:val="00BB161C"/>
    <w:rsid w:val="00C23167"/>
    <w:rsid w:val="00C8016E"/>
    <w:rsid w:val="00D320BA"/>
    <w:rsid w:val="00D334A1"/>
    <w:rsid w:val="00DB19AD"/>
    <w:rsid w:val="00EB39DD"/>
    <w:rsid w:val="00F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B0F26"/>
  <w15:docId w15:val="{2DDA6220-18A5-44B9-A5F6-EDE7F76D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5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5575E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A55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Hyunkyung Kim</cp:lastModifiedBy>
  <cp:revision>4</cp:revision>
  <dcterms:created xsi:type="dcterms:W3CDTF">2022-08-03T21:24:00Z</dcterms:created>
  <dcterms:modified xsi:type="dcterms:W3CDTF">2022-08-03T21:28:00Z</dcterms:modified>
</cp:coreProperties>
</file>