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lang w:val="en-GB"/>
        </w:rPr>
        <w:id w:val="-651214417"/>
        <w:docPartObj>
          <w:docPartGallery w:val="Table of Contents"/>
          <w:docPartUnique/>
        </w:docPartObj>
      </w:sdtPr>
      <w:sdtEndPr>
        <w:rPr>
          <w:b/>
          <w:bCs/>
          <w:noProof/>
        </w:rPr>
      </w:sdtEndPr>
      <w:sdtContent>
        <w:p w14:paraId="2FCC839D" w14:textId="4A01A38F" w:rsidR="002E742F" w:rsidRDefault="002E742F">
          <w:pPr>
            <w:pStyle w:val="TOCHeading"/>
          </w:pPr>
          <w:r>
            <w:t>Supplementary Materials</w:t>
          </w:r>
        </w:p>
        <w:p w14:paraId="652D71A4" w14:textId="112767F9" w:rsidR="007A7DF4" w:rsidRDefault="007A7DF4">
          <w:pPr>
            <w:pStyle w:val="TOCHeading"/>
          </w:pPr>
          <w:r>
            <w:t>Contents</w:t>
          </w:r>
        </w:p>
        <w:p w14:paraId="7D03B83B" w14:textId="755759D4" w:rsidR="00A432AF" w:rsidRDefault="007A7DF4">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12271547" w:history="1">
            <w:r w:rsidR="00A432AF" w:rsidRPr="005F7AE1">
              <w:rPr>
                <w:rStyle w:val="Hyperlink"/>
                <w:noProof/>
              </w:rPr>
              <w:t>Supplementary Text</w:t>
            </w:r>
            <w:r w:rsidR="00A432AF">
              <w:rPr>
                <w:noProof/>
                <w:webHidden/>
              </w:rPr>
              <w:tab/>
            </w:r>
            <w:r w:rsidR="00A432AF">
              <w:rPr>
                <w:noProof/>
                <w:webHidden/>
              </w:rPr>
              <w:fldChar w:fldCharType="begin"/>
            </w:r>
            <w:r w:rsidR="00A432AF">
              <w:rPr>
                <w:noProof/>
                <w:webHidden/>
              </w:rPr>
              <w:instrText xml:space="preserve"> PAGEREF _Toc112271547 \h </w:instrText>
            </w:r>
            <w:r w:rsidR="00A432AF">
              <w:rPr>
                <w:noProof/>
                <w:webHidden/>
              </w:rPr>
            </w:r>
            <w:r w:rsidR="00A432AF">
              <w:rPr>
                <w:noProof/>
                <w:webHidden/>
              </w:rPr>
              <w:fldChar w:fldCharType="separate"/>
            </w:r>
            <w:r w:rsidR="00A432AF">
              <w:rPr>
                <w:noProof/>
                <w:webHidden/>
              </w:rPr>
              <w:t>1</w:t>
            </w:r>
            <w:r w:rsidR="00A432AF">
              <w:rPr>
                <w:noProof/>
                <w:webHidden/>
              </w:rPr>
              <w:fldChar w:fldCharType="end"/>
            </w:r>
          </w:hyperlink>
        </w:p>
        <w:p w14:paraId="12BFA260" w14:textId="61D4791F" w:rsidR="00A432AF" w:rsidRDefault="00A432AF">
          <w:pPr>
            <w:pStyle w:val="TOC2"/>
            <w:tabs>
              <w:tab w:val="right" w:leader="dot" w:pos="9016"/>
            </w:tabs>
            <w:rPr>
              <w:rFonts w:eastAsiaTheme="minorEastAsia"/>
              <w:noProof/>
              <w:lang w:eastAsia="en-GB"/>
            </w:rPr>
          </w:pPr>
          <w:hyperlink w:anchor="_Toc112271548" w:history="1">
            <w:r w:rsidRPr="005F7AE1">
              <w:rPr>
                <w:rStyle w:val="Hyperlink"/>
                <w:rFonts w:cstheme="minorHAnsi"/>
                <w:noProof/>
              </w:rPr>
              <w:t>Replication: Description of independent replication cohorts (Generation Scotland, LifeLines 1, LifeLines 2, Vlagtwedde—Vlaardingen and EXCEED Study)</w:t>
            </w:r>
            <w:r>
              <w:rPr>
                <w:noProof/>
                <w:webHidden/>
              </w:rPr>
              <w:tab/>
            </w:r>
            <w:r>
              <w:rPr>
                <w:noProof/>
                <w:webHidden/>
              </w:rPr>
              <w:fldChar w:fldCharType="begin"/>
            </w:r>
            <w:r>
              <w:rPr>
                <w:noProof/>
                <w:webHidden/>
              </w:rPr>
              <w:instrText xml:space="preserve"> PAGEREF _Toc112271548 \h </w:instrText>
            </w:r>
            <w:r>
              <w:rPr>
                <w:noProof/>
                <w:webHidden/>
              </w:rPr>
            </w:r>
            <w:r>
              <w:rPr>
                <w:noProof/>
                <w:webHidden/>
              </w:rPr>
              <w:fldChar w:fldCharType="separate"/>
            </w:r>
            <w:r>
              <w:rPr>
                <w:noProof/>
                <w:webHidden/>
              </w:rPr>
              <w:t>1</w:t>
            </w:r>
            <w:r>
              <w:rPr>
                <w:noProof/>
                <w:webHidden/>
              </w:rPr>
              <w:fldChar w:fldCharType="end"/>
            </w:r>
          </w:hyperlink>
        </w:p>
        <w:p w14:paraId="5CC508ED" w14:textId="66A0E3B2" w:rsidR="00A432AF" w:rsidRDefault="00A432AF">
          <w:pPr>
            <w:pStyle w:val="TOC3"/>
            <w:tabs>
              <w:tab w:val="right" w:leader="dot" w:pos="9016"/>
            </w:tabs>
            <w:rPr>
              <w:rFonts w:eastAsiaTheme="minorEastAsia"/>
              <w:noProof/>
              <w:lang w:eastAsia="en-GB"/>
            </w:rPr>
          </w:pPr>
          <w:hyperlink w:anchor="_Toc112271549" w:history="1">
            <w:r w:rsidRPr="005F7AE1">
              <w:rPr>
                <w:rStyle w:val="Hyperlink"/>
                <w:noProof/>
              </w:rPr>
              <w:t>The Generation Scotland study</w:t>
            </w:r>
            <w:r>
              <w:rPr>
                <w:noProof/>
                <w:webHidden/>
              </w:rPr>
              <w:tab/>
            </w:r>
            <w:r>
              <w:rPr>
                <w:noProof/>
                <w:webHidden/>
              </w:rPr>
              <w:fldChar w:fldCharType="begin"/>
            </w:r>
            <w:r>
              <w:rPr>
                <w:noProof/>
                <w:webHidden/>
              </w:rPr>
              <w:instrText xml:space="preserve"> PAGEREF _Toc112271549 \h </w:instrText>
            </w:r>
            <w:r>
              <w:rPr>
                <w:noProof/>
                <w:webHidden/>
              </w:rPr>
            </w:r>
            <w:r>
              <w:rPr>
                <w:noProof/>
                <w:webHidden/>
              </w:rPr>
              <w:fldChar w:fldCharType="separate"/>
            </w:r>
            <w:r>
              <w:rPr>
                <w:noProof/>
                <w:webHidden/>
              </w:rPr>
              <w:t>1</w:t>
            </w:r>
            <w:r>
              <w:rPr>
                <w:noProof/>
                <w:webHidden/>
              </w:rPr>
              <w:fldChar w:fldCharType="end"/>
            </w:r>
          </w:hyperlink>
        </w:p>
        <w:p w14:paraId="0DF453F4" w14:textId="3C90FD22" w:rsidR="00A432AF" w:rsidRDefault="00A432AF">
          <w:pPr>
            <w:pStyle w:val="TOC3"/>
            <w:tabs>
              <w:tab w:val="right" w:leader="dot" w:pos="9016"/>
            </w:tabs>
            <w:rPr>
              <w:rFonts w:eastAsiaTheme="minorEastAsia"/>
              <w:noProof/>
              <w:lang w:eastAsia="en-GB"/>
            </w:rPr>
          </w:pPr>
          <w:hyperlink w:anchor="_Toc112271550" w:history="1">
            <w:r w:rsidRPr="005F7AE1">
              <w:rPr>
                <w:rStyle w:val="Hyperlink"/>
                <w:noProof/>
              </w:rPr>
              <w:t>LifeLines 1 and 2 and Vlagtwedde-Vlaardingen</w:t>
            </w:r>
            <w:r>
              <w:rPr>
                <w:noProof/>
                <w:webHidden/>
              </w:rPr>
              <w:tab/>
            </w:r>
            <w:r>
              <w:rPr>
                <w:noProof/>
                <w:webHidden/>
              </w:rPr>
              <w:fldChar w:fldCharType="begin"/>
            </w:r>
            <w:r>
              <w:rPr>
                <w:noProof/>
                <w:webHidden/>
              </w:rPr>
              <w:instrText xml:space="preserve"> PAGEREF _Toc112271550 \h </w:instrText>
            </w:r>
            <w:r>
              <w:rPr>
                <w:noProof/>
                <w:webHidden/>
              </w:rPr>
            </w:r>
            <w:r>
              <w:rPr>
                <w:noProof/>
                <w:webHidden/>
              </w:rPr>
              <w:fldChar w:fldCharType="separate"/>
            </w:r>
            <w:r>
              <w:rPr>
                <w:noProof/>
                <w:webHidden/>
              </w:rPr>
              <w:t>1</w:t>
            </w:r>
            <w:r>
              <w:rPr>
                <w:noProof/>
                <w:webHidden/>
              </w:rPr>
              <w:fldChar w:fldCharType="end"/>
            </w:r>
          </w:hyperlink>
        </w:p>
        <w:p w14:paraId="714561AC" w14:textId="1D2818DD" w:rsidR="00A432AF" w:rsidRDefault="00A432AF">
          <w:pPr>
            <w:pStyle w:val="TOC3"/>
            <w:tabs>
              <w:tab w:val="right" w:leader="dot" w:pos="9016"/>
            </w:tabs>
            <w:rPr>
              <w:rFonts w:eastAsiaTheme="minorEastAsia"/>
              <w:noProof/>
              <w:lang w:eastAsia="en-GB"/>
            </w:rPr>
          </w:pPr>
          <w:hyperlink w:anchor="_Toc112271551" w:history="1">
            <w:r w:rsidRPr="005F7AE1">
              <w:rPr>
                <w:rStyle w:val="Hyperlink"/>
                <w:noProof/>
              </w:rPr>
              <w:t>EXCEED</w:t>
            </w:r>
            <w:r>
              <w:rPr>
                <w:noProof/>
                <w:webHidden/>
              </w:rPr>
              <w:tab/>
            </w:r>
            <w:r>
              <w:rPr>
                <w:noProof/>
                <w:webHidden/>
              </w:rPr>
              <w:fldChar w:fldCharType="begin"/>
            </w:r>
            <w:r>
              <w:rPr>
                <w:noProof/>
                <w:webHidden/>
              </w:rPr>
              <w:instrText xml:space="preserve"> PAGEREF _Toc112271551 \h </w:instrText>
            </w:r>
            <w:r>
              <w:rPr>
                <w:noProof/>
                <w:webHidden/>
              </w:rPr>
            </w:r>
            <w:r>
              <w:rPr>
                <w:noProof/>
                <w:webHidden/>
              </w:rPr>
              <w:fldChar w:fldCharType="separate"/>
            </w:r>
            <w:r>
              <w:rPr>
                <w:noProof/>
                <w:webHidden/>
              </w:rPr>
              <w:t>2</w:t>
            </w:r>
            <w:r>
              <w:rPr>
                <w:noProof/>
                <w:webHidden/>
              </w:rPr>
              <w:fldChar w:fldCharType="end"/>
            </w:r>
          </w:hyperlink>
        </w:p>
        <w:p w14:paraId="0DC0FFDE" w14:textId="3BBE5D4A" w:rsidR="00A432AF" w:rsidRDefault="00A432AF">
          <w:pPr>
            <w:pStyle w:val="TOC2"/>
            <w:tabs>
              <w:tab w:val="right" w:leader="dot" w:pos="9016"/>
            </w:tabs>
            <w:rPr>
              <w:rFonts w:eastAsiaTheme="minorEastAsia"/>
              <w:noProof/>
              <w:lang w:eastAsia="en-GB"/>
            </w:rPr>
          </w:pPr>
          <w:hyperlink w:anchor="_Toc112271552" w:history="1">
            <w:r w:rsidRPr="005F7AE1">
              <w:rPr>
                <w:rStyle w:val="Hyperlink"/>
                <w:noProof/>
              </w:rPr>
              <w:t>Replication: Defining sputum phenotype using primary care data in UK Biobank</w:t>
            </w:r>
            <w:r>
              <w:rPr>
                <w:noProof/>
                <w:webHidden/>
              </w:rPr>
              <w:tab/>
            </w:r>
            <w:r>
              <w:rPr>
                <w:noProof/>
                <w:webHidden/>
              </w:rPr>
              <w:fldChar w:fldCharType="begin"/>
            </w:r>
            <w:r>
              <w:rPr>
                <w:noProof/>
                <w:webHidden/>
              </w:rPr>
              <w:instrText xml:space="preserve"> PAGEREF _Toc112271552 \h </w:instrText>
            </w:r>
            <w:r>
              <w:rPr>
                <w:noProof/>
                <w:webHidden/>
              </w:rPr>
            </w:r>
            <w:r>
              <w:rPr>
                <w:noProof/>
                <w:webHidden/>
              </w:rPr>
              <w:fldChar w:fldCharType="separate"/>
            </w:r>
            <w:r>
              <w:rPr>
                <w:noProof/>
                <w:webHidden/>
              </w:rPr>
              <w:t>2</w:t>
            </w:r>
            <w:r>
              <w:rPr>
                <w:noProof/>
                <w:webHidden/>
              </w:rPr>
              <w:fldChar w:fldCharType="end"/>
            </w:r>
          </w:hyperlink>
        </w:p>
        <w:p w14:paraId="4024AF35" w14:textId="54EEE455" w:rsidR="00A432AF" w:rsidRDefault="00A432AF">
          <w:pPr>
            <w:pStyle w:val="TOC2"/>
            <w:tabs>
              <w:tab w:val="right" w:leader="dot" w:pos="9016"/>
            </w:tabs>
            <w:rPr>
              <w:rFonts w:eastAsiaTheme="minorEastAsia"/>
              <w:noProof/>
              <w:lang w:eastAsia="en-GB"/>
            </w:rPr>
          </w:pPr>
          <w:hyperlink w:anchor="_Toc112271553" w:history="1">
            <w:r w:rsidRPr="005F7AE1">
              <w:rPr>
                <w:rStyle w:val="Hyperlink"/>
                <w:noProof/>
              </w:rPr>
              <w:t>Associations with other phenotypes: chronic cough and chronic bronchitis</w:t>
            </w:r>
            <w:r>
              <w:rPr>
                <w:noProof/>
                <w:webHidden/>
              </w:rPr>
              <w:tab/>
            </w:r>
            <w:r>
              <w:rPr>
                <w:noProof/>
                <w:webHidden/>
              </w:rPr>
              <w:fldChar w:fldCharType="begin"/>
            </w:r>
            <w:r>
              <w:rPr>
                <w:noProof/>
                <w:webHidden/>
              </w:rPr>
              <w:instrText xml:space="preserve"> PAGEREF _Toc112271553 \h </w:instrText>
            </w:r>
            <w:r>
              <w:rPr>
                <w:noProof/>
                <w:webHidden/>
              </w:rPr>
            </w:r>
            <w:r>
              <w:rPr>
                <w:noProof/>
                <w:webHidden/>
              </w:rPr>
              <w:fldChar w:fldCharType="separate"/>
            </w:r>
            <w:r>
              <w:rPr>
                <w:noProof/>
                <w:webHidden/>
              </w:rPr>
              <w:t>3</w:t>
            </w:r>
            <w:r>
              <w:rPr>
                <w:noProof/>
                <w:webHidden/>
              </w:rPr>
              <w:fldChar w:fldCharType="end"/>
            </w:r>
          </w:hyperlink>
        </w:p>
        <w:p w14:paraId="5A6249A3" w14:textId="0D1C98FE" w:rsidR="00A432AF" w:rsidRDefault="00A432AF">
          <w:pPr>
            <w:pStyle w:val="TOC2"/>
            <w:tabs>
              <w:tab w:val="right" w:leader="dot" w:pos="9016"/>
            </w:tabs>
            <w:rPr>
              <w:rFonts w:eastAsiaTheme="minorEastAsia"/>
              <w:noProof/>
              <w:lang w:eastAsia="en-GB"/>
            </w:rPr>
          </w:pPr>
          <w:hyperlink w:anchor="_Toc112271554" w:history="1">
            <w:r w:rsidRPr="005F7AE1">
              <w:rPr>
                <w:rStyle w:val="Hyperlink"/>
                <w:noProof/>
              </w:rPr>
              <w:t>Associations with other phenotypes: PheWAS analysis</w:t>
            </w:r>
            <w:r>
              <w:rPr>
                <w:noProof/>
                <w:webHidden/>
              </w:rPr>
              <w:tab/>
            </w:r>
            <w:r>
              <w:rPr>
                <w:noProof/>
                <w:webHidden/>
              </w:rPr>
              <w:fldChar w:fldCharType="begin"/>
            </w:r>
            <w:r>
              <w:rPr>
                <w:noProof/>
                <w:webHidden/>
              </w:rPr>
              <w:instrText xml:space="preserve"> PAGEREF _Toc112271554 \h </w:instrText>
            </w:r>
            <w:r>
              <w:rPr>
                <w:noProof/>
                <w:webHidden/>
              </w:rPr>
            </w:r>
            <w:r>
              <w:rPr>
                <w:noProof/>
                <w:webHidden/>
              </w:rPr>
              <w:fldChar w:fldCharType="separate"/>
            </w:r>
            <w:r>
              <w:rPr>
                <w:noProof/>
                <w:webHidden/>
              </w:rPr>
              <w:t>3</w:t>
            </w:r>
            <w:r>
              <w:rPr>
                <w:noProof/>
                <w:webHidden/>
              </w:rPr>
              <w:fldChar w:fldCharType="end"/>
            </w:r>
          </w:hyperlink>
        </w:p>
        <w:p w14:paraId="07AFD3B3" w14:textId="646B3ED5" w:rsidR="00A432AF" w:rsidRDefault="00A432AF">
          <w:pPr>
            <w:pStyle w:val="TOC2"/>
            <w:tabs>
              <w:tab w:val="right" w:leader="dot" w:pos="9016"/>
            </w:tabs>
            <w:rPr>
              <w:rFonts w:eastAsiaTheme="minorEastAsia"/>
              <w:noProof/>
              <w:lang w:eastAsia="en-GB"/>
            </w:rPr>
          </w:pPr>
          <w:hyperlink w:anchor="_Toc112271555" w:history="1">
            <w:r w:rsidRPr="005F7AE1">
              <w:rPr>
                <w:rStyle w:val="Hyperlink"/>
                <w:noProof/>
              </w:rPr>
              <w:t>References</w:t>
            </w:r>
            <w:r>
              <w:rPr>
                <w:noProof/>
                <w:webHidden/>
              </w:rPr>
              <w:tab/>
            </w:r>
            <w:r>
              <w:rPr>
                <w:noProof/>
                <w:webHidden/>
              </w:rPr>
              <w:fldChar w:fldCharType="begin"/>
            </w:r>
            <w:r>
              <w:rPr>
                <w:noProof/>
                <w:webHidden/>
              </w:rPr>
              <w:instrText xml:space="preserve"> PAGEREF _Toc112271555 \h </w:instrText>
            </w:r>
            <w:r>
              <w:rPr>
                <w:noProof/>
                <w:webHidden/>
              </w:rPr>
            </w:r>
            <w:r>
              <w:rPr>
                <w:noProof/>
                <w:webHidden/>
              </w:rPr>
              <w:fldChar w:fldCharType="separate"/>
            </w:r>
            <w:r>
              <w:rPr>
                <w:noProof/>
                <w:webHidden/>
              </w:rPr>
              <w:t>3</w:t>
            </w:r>
            <w:r>
              <w:rPr>
                <w:noProof/>
                <w:webHidden/>
              </w:rPr>
              <w:fldChar w:fldCharType="end"/>
            </w:r>
          </w:hyperlink>
        </w:p>
        <w:p w14:paraId="7F593990" w14:textId="6328EF36" w:rsidR="00A432AF" w:rsidRDefault="00A432AF">
          <w:pPr>
            <w:pStyle w:val="TOC1"/>
            <w:tabs>
              <w:tab w:val="right" w:leader="dot" w:pos="9016"/>
            </w:tabs>
            <w:rPr>
              <w:rFonts w:eastAsiaTheme="minorEastAsia"/>
              <w:noProof/>
              <w:lang w:eastAsia="en-GB"/>
            </w:rPr>
          </w:pPr>
          <w:hyperlink w:anchor="_Toc112271556" w:history="1">
            <w:r w:rsidRPr="005F7AE1">
              <w:rPr>
                <w:rStyle w:val="Hyperlink"/>
                <w:noProof/>
              </w:rPr>
              <w:t>Supplementary Figures</w:t>
            </w:r>
            <w:r>
              <w:rPr>
                <w:noProof/>
                <w:webHidden/>
              </w:rPr>
              <w:tab/>
            </w:r>
            <w:r>
              <w:rPr>
                <w:noProof/>
                <w:webHidden/>
              </w:rPr>
              <w:fldChar w:fldCharType="begin"/>
            </w:r>
            <w:r>
              <w:rPr>
                <w:noProof/>
                <w:webHidden/>
              </w:rPr>
              <w:instrText xml:space="preserve"> PAGEREF _Toc112271556 \h </w:instrText>
            </w:r>
            <w:r>
              <w:rPr>
                <w:noProof/>
                <w:webHidden/>
              </w:rPr>
            </w:r>
            <w:r>
              <w:rPr>
                <w:noProof/>
                <w:webHidden/>
              </w:rPr>
              <w:fldChar w:fldCharType="separate"/>
            </w:r>
            <w:r>
              <w:rPr>
                <w:noProof/>
                <w:webHidden/>
              </w:rPr>
              <w:t>5</w:t>
            </w:r>
            <w:r>
              <w:rPr>
                <w:noProof/>
                <w:webHidden/>
              </w:rPr>
              <w:fldChar w:fldCharType="end"/>
            </w:r>
          </w:hyperlink>
        </w:p>
        <w:p w14:paraId="1D024AB7" w14:textId="405F7538" w:rsidR="00A432AF" w:rsidRDefault="00A432AF">
          <w:pPr>
            <w:pStyle w:val="TOC1"/>
            <w:tabs>
              <w:tab w:val="right" w:leader="dot" w:pos="9016"/>
            </w:tabs>
            <w:rPr>
              <w:rFonts w:eastAsiaTheme="minorEastAsia"/>
              <w:noProof/>
              <w:lang w:eastAsia="en-GB"/>
            </w:rPr>
          </w:pPr>
          <w:hyperlink w:anchor="_Toc112271557" w:history="1">
            <w:r w:rsidRPr="005F7AE1">
              <w:rPr>
                <w:rStyle w:val="Hyperlink"/>
                <w:noProof/>
              </w:rPr>
              <w:t>Supplementary Table Legends</w:t>
            </w:r>
            <w:r>
              <w:rPr>
                <w:noProof/>
                <w:webHidden/>
              </w:rPr>
              <w:tab/>
            </w:r>
            <w:r>
              <w:rPr>
                <w:noProof/>
                <w:webHidden/>
              </w:rPr>
              <w:fldChar w:fldCharType="begin"/>
            </w:r>
            <w:r>
              <w:rPr>
                <w:noProof/>
                <w:webHidden/>
              </w:rPr>
              <w:instrText xml:space="preserve"> PAGEREF _Toc112271557 \h </w:instrText>
            </w:r>
            <w:r>
              <w:rPr>
                <w:noProof/>
                <w:webHidden/>
              </w:rPr>
            </w:r>
            <w:r>
              <w:rPr>
                <w:noProof/>
                <w:webHidden/>
              </w:rPr>
              <w:fldChar w:fldCharType="separate"/>
            </w:r>
            <w:r>
              <w:rPr>
                <w:noProof/>
                <w:webHidden/>
              </w:rPr>
              <w:t>20</w:t>
            </w:r>
            <w:r>
              <w:rPr>
                <w:noProof/>
                <w:webHidden/>
              </w:rPr>
              <w:fldChar w:fldCharType="end"/>
            </w:r>
          </w:hyperlink>
        </w:p>
        <w:p w14:paraId="3597459D" w14:textId="7BF91CA1" w:rsidR="007A7DF4" w:rsidRDefault="007A7DF4" w:rsidP="007A7DF4">
          <w:r>
            <w:rPr>
              <w:b/>
              <w:bCs/>
              <w:noProof/>
            </w:rPr>
            <w:fldChar w:fldCharType="end"/>
          </w:r>
        </w:p>
      </w:sdtContent>
    </w:sdt>
    <w:p w14:paraId="132D31A8" w14:textId="6214654D" w:rsidR="003D363A" w:rsidRDefault="003D363A" w:rsidP="003D363A">
      <w:pPr>
        <w:pStyle w:val="Heading1"/>
      </w:pPr>
      <w:bookmarkStart w:id="0" w:name="_Toc112271547"/>
      <w:r w:rsidRPr="00BF1DEC">
        <w:t>Supplementary Text</w:t>
      </w:r>
      <w:bookmarkEnd w:id="0"/>
    </w:p>
    <w:p w14:paraId="4356F50C" w14:textId="75AC6ED3" w:rsidR="007A0E06" w:rsidRPr="007E294D" w:rsidRDefault="007A0E06" w:rsidP="007A0E06">
      <w:pPr>
        <w:pStyle w:val="Heading2"/>
        <w:rPr>
          <w:rFonts w:asciiTheme="minorHAnsi" w:hAnsiTheme="minorHAnsi" w:cstheme="minorHAnsi"/>
        </w:rPr>
      </w:pPr>
      <w:bookmarkStart w:id="1" w:name="_Toc112271548"/>
      <w:r>
        <w:rPr>
          <w:rFonts w:asciiTheme="minorHAnsi" w:hAnsiTheme="minorHAnsi" w:cstheme="minorHAnsi"/>
        </w:rPr>
        <w:t xml:space="preserve">Replication: </w:t>
      </w:r>
      <w:r w:rsidRPr="007E294D">
        <w:rPr>
          <w:rFonts w:asciiTheme="minorHAnsi" w:hAnsiTheme="minorHAnsi" w:cstheme="minorHAnsi"/>
        </w:rPr>
        <w:t>Description of</w:t>
      </w:r>
      <w:r>
        <w:rPr>
          <w:rFonts w:asciiTheme="minorHAnsi" w:hAnsiTheme="minorHAnsi" w:cstheme="minorHAnsi"/>
        </w:rPr>
        <w:t xml:space="preserve"> independent</w:t>
      </w:r>
      <w:r w:rsidRPr="007E294D">
        <w:rPr>
          <w:rFonts w:asciiTheme="minorHAnsi" w:hAnsiTheme="minorHAnsi" w:cstheme="minorHAnsi"/>
        </w:rPr>
        <w:t xml:space="preserve"> replication cohorts</w:t>
      </w:r>
      <w:r>
        <w:rPr>
          <w:rFonts w:asciiTheme="minorHAnsi" w:hAnsiTheme="minorHAnsi" w:cstheme="minorHAnsi"/>
        </w:rPr>
        <w:t xml:space="preserve"> (Generation Scotland, </w:t>
      </w:r>
      <w:proofErr w:type="spellStart"/>
      <w:r>
        <w:rPr>
          <w:rFonts w:asciiTheme="minorHAnsi" w:hAnsiTheme="minorHAnsi" w:cstheme="minorHAnsi"/>
        </w:rPr>
        <w:t>LifeLines</w:t>
      </w:r>
      <w:proofErr w:type="spellEnd"/>
      <w:r w:rsidR="0004062F">
        <w:rPr>
          <w:rFonts w:asciiTheme="minorHAnsi" w:hAnsiTheme="minorHAnsi" w:cstheme="minorHAnsi"/>
        </w:rPr>
        <w:t xml:space="preserve"> 1, </w:t>
      </w:r>
      <w:proofErr w:type="spellStart"/>
      <w:r w:rsidR="0004062F">
        <w:rPr>
          <w:rFonts w:asciiTheme="minorHAnsi" w:hAnsiTheme="minorHAnsi" w:cstheme="minorHAnsi"/>
        </w:rPr>
        <w:t>LifeLines</w:t>
      </w:r>
      <w:proofErr w:type="spellEnd"/>
      <w:r w:rsidR="0004062F">
        <w:rPr>
          <w:rFonts w:asciiTheme="minorHAnsi" w:hAnsiTheme="minorHAnsi" w:cstheme="minorHAnsi"/>
        </w:rPr>
        <w:t xml:space="preserve"> 2</w:t>
      </w:r>
      <w:r>
        <w:rPr>
          <w:rFonts w:asciiTheme="minorHAnsi" w:hAnsiTheme="minorHAnsi" w:cstheme="minorHAnsi"/>
        </w:rPr>
        <w:t xml:space="preserve">, </w:t>
      </w:r>
      <w:proofErr w:type="spellStart"/>
      <w:r>
        <w:rPr>
          <w:rFonts w:asciiTheme="minorHAnsi" w:hAnsiTheme="minorHAnsi" w:cstheme="minorHAnsi"/>
        </w:rPr>
        <w:t>Vlagtwedde</w:t>
      </w:r>
      <w:proofErr w:type="spellEnd"/>
      <w:r>
        <w:rPr>
          <w:rFonts w:asciiTheme="minorHAnsi" w:hAnsiTheme="minorHAnsi" w:cstheme="minorHAnsi"/>
        </w:rPr>
        <w:t>—Vlaardingen and EXCEED Study)</w:t>
      </w:r>
      <w:bookmarkEnd w:id="1"/>
    </w:p>
    <w:p w14:paraId="7A03A16D" w14:textId="77777777" w:rsidR="007A0E06" w:rsidRPr="007E294D" w:rsidRDefault="007A0E06" w:rsidP="007A0E06">
      <w:pPr>
        <w:pStyle w:val="Heading3"/>
      </w:pPr>
      <w:bookmarkStart w:id="2" w:name="_Toc112271549"/>
      <w:r w:rsidRPr="007E294D">
        <w:t xml:space="preserve">The Generation </w:t>
      </w:r>
      <w:r w:rsidRPr="00EC7A28">
        <w:t>Scotland</w:t>
      </w:r>
      <w:r w:rsidRPr="007E294D">
        <w:t xml:space="preserve"> study</w:t>
      </w:r>
      <w:bookmarkEnd w:id="2"/>
    </w:p>
    <w:p w14:paraId="7854CB27" w14:textId="77777777" w:rsidR="007A0E06" w:rsidRPr="007E294D" w:rsidRDefault="007A0E06" w:rsidP="007A0E06">
      <w:r w:rsidRPr="007E294D">
        <w:t xml:space="preserve">The Generation Scotland study (GS) is a population- and family-based cohort with broad consent for genetic, health, well-being and lifestyle studies. </w:t>
      </w:r>
      <w:r w:rsidRPr="007E294D">
        <w:fldChar w:fldCharType="begin"/>
      </w:r>
      <w:r w:rsidRPr="007E294D">
        <w:instrText xml:space="preserve"> ADDIN ZOTERO_ITEM CSL_CITATION {"citationID":"eCFFmqMp","properties":{"formattedCitation":"(Smith {\\i{}et al.}, 2013)","plainCitation":"(Smith et al., 2013)","noteIndex":0},"citationItems":[{"id":734,"uris":["http://zotero.org/users/5824917/items/7PFV2KPF"],"itemData":{"id":734,"type":"article-journal","container-title":"International Journal of Epidemiology","DOI":"10.1093/ije/dys084","ISSN":"1464-3685, 0300-5771","issue":"3","language":"en","page":"689-700","source":"DOI.org (Crossref)","title":"Cohort Profile: Generation Scotland: Scottish Family Health Study (GS:SFHS). The study, its participants and their potential for genetic research on health and illness","title-short":"Cohort Profile","volume":"42","author":[{"family":"Smith","given":"Blair H"},{"family":"Campbell","given":"Archie"},{"family":"Linksted","given":"Pamela"},{"family":"Fitzpatrick","given":"Bridie"},{"family":"Jackson","given":"Cathy"},{"family":"Kerr","given":"Shona M"},{"family":"Deary","given":"Ian J"},{"family":"MacIntyre","given":"Donald J"},{"family":"Campbell","given":"Harry"},{"family":"McGilchrist","given":"Mark"},{"family":"Hocking","given":"Lynne J"},{"family":"Wisely","given":"Lucy"},{"family":"Ford","given":"Ian"},{"family":"Lindsay","given":"Robert S"},{"family":"Morton","given":"Robin"},{"family":"Palmer","given":"Colin N A"},{"family":"Dominiczak","given":"Anna F"},{"family":"Porteous","given":"David J"},{"family":"Morris","given":"Andrew D"}],"issued":{"date-parts":[["2013",6]]},"citation-key":"smithCohortProfileGeneration2013"}}],"schema":"https://github.com/citation-style-language/schema/raw/master/csl-citation.json"} </w:instrText>
      </w:r>
      <w:r w:rsidRPr="007E294D">
        <w:fldChar w:fldCharType="separate"/>
      </w:r>
      <w:r w:rsidRPr="007E294D">
        <w:t xml:space="preserve">(Smith </w:t>
      </w:r>
      <w:r w:rsidRPr="007E294D">
        <w:rPr>
          <w:i/>
          <w:iCs/>
        </w:rPr>
        <w:t>et al.</w:t>
      </w:r>
      <w:r w:rsidRPr="007E294D">
        <w:t>, 2013)</w:t>
      </w:r>
      <w:r w:rsidRPr="007E294D">
        <w:fldChar w:fldCharType="end"/>
      </w:r>
      <w:r w:rsidRPr="007E294D">
        <w:t xml:space="preserve"> The main recruitment (24</w:t>
      </w:r>
      <w:r>
        <w:t>,</w:t>
      </w:r>
      <w:r w:rsidRPr="007E294D">
        <w:t xml:space="preserve">096 individuals in 5501 family groups) took place during 2006–11. </w:t>
      </w:r>
    </w:p>
    <w:p w14:paraId="6802A169" w14:textId="77777777" w:rsidR="007A0E06" w:rsidRDefault="007A0E06" w:rsidP="007A0E06">
      <w:r w:rsidRPr="007E294D">
        <w:t xml:space="preserve">In 2020, a series of </w:t>
      </w:r>
      <w:proofErr w:type="spellStart"/>
      <w:r w:rsidRPr="007E294D">
        <w:t>CovidLife</w:t>
      </w:r>
      <w:proofErr w:type="spellEnd"/>
      <w:r w:rsidRPr="007E294D">
        <w:t xml:space="preserve"> surveys were conducted during the COVID-19 pandemic. Survey invitations were sent to 22</w:t>
      </w:r>
      <w:r>
        <w:t>,</w:t>
      </w:r>
      <w:r w:rsidRPr="007E294D">
        <w:t xml:space="preserve">796 members of GS who provided an e-mail address for recontact, as well as to other adults in the UK through collaborators and social media channels </w:t>
      </w:r>
      <w:r w:rsidRPr="007E294D">
        <w:fldChar w:fldCharType="begin"/>
      </w:r>
      <w:r w:rsidRPr="007E294D">
        <w:instrText xml:space="preserve"> ADDIN ZOTERO_ITEM CSL_CITATION {"citationID":"bown7QqP","properties":{"formattedCitation":"(Fawns-Ritchie {\\i{}et al.}, 2021)","plainCitation":"(Fawns-Ritchie et al., 2021)","noteIndex":0},"citationItems":[{"id":736,"uris":["http://zotero.org/users/5824917/items/LDQUF42Z"],"itemData":{"id":736,"type":"article-journal","abstract":"CovidLife is a longitudinal observational study designed to investigate the impact of the COVID-19 pandemic on mental health, well-being and behaviour in adults living in the UK. In total, 18,518 participants (mean age = 56.43, SD = 14.35) completed the first CovidLife questionnaire (CovidLife1) between April and June 2020. To date, participants have completed two follow-up assessments. CovidLife2 took place between July and August 2020 (n = 11,319), and CovidLife3 took place in February 2021 (n = 10,386). A range of social and psychological measures were administered at each wave including assessments of anxiety, depression, well-being, loneliness and isolation. Information on sociodemographic, health, and economic circumstances was also collected. Questions also assessed information on COVID-19 infections and symptoms, compliance to COVID-19 restrictions, and opinions on the UK and Scottish Governments’ handling of the pandemic.\n            CovidLife includes a subsample of 4,847 participants from the Generation Scotland cohort (N~24,000, collected 2006-2011); a well-characterised cohort of families in Scotland with pre-pandemic data on mental health, physical health, lifestyle, and socioeconomic factors, along with biochemical and genomic data derived from biological samples. These participants also consented to their study data being linked to Scottish health records.\n            CovidLife and Generation Scotland data can be accessed and used by external researchers following approval from the Generation Scotland Access Committee. CovidLife can be used to investigate mental health, well-being and behaviour during COVID-19; how these vary according to sociodemographic, health and economic circumstances; and how these change over time. The Generation Scotland subsample with pre-pandemic data and linkage to health records can be used to investigate the predictors of health and well-being during COVID-19 and the future health consequences of the COVID-19 pandemic.","container-title":"Wellcome Open Research","DOI":"10.12688/wellcomeopenres.16987.1","ISSN":"2398-502X","journalAbbreviation":"Wellcome Open Res","language":"en","page":"176","source":"DOI.org (Crossref)","title":"CovidLife: a resource to understand mental health, well-being and behaviour during the COVID-19 pandemic in the UK","title-short":"CovidLife","volume":"6","author":[{"family":"Fawns-Ritchie","given":"Chloe"},{"family":"Altschul","given":"Drew M."},{"family":"Campbell","given":"Archie"},{"family":"Huggins","given":"Charlotte"},{"family":"Nangle","given":"Clifford"},{"family":"Dawson","given":"Rebecca"},{"family":"Edwards","given":"Rachel"},{"family":"Flaig","given":"Robin"},{"family":"Hartley","given":"Louise"},{"family":"Levein","given":"Christie"},{"family":"McCartney","given":"Daniel L."},{"family":"Bell","given":"David"},{"family":"Douglas","given":"Elaine"},{"family":"Deary","given":"Ian J."},{"family":"Hayward","given":"Caroline"},{"family":"Marioni","given":"Riccardo E."},{"family":"McIntosh","given":"Andrew M."},{"family":"Sudlow","given":"Cathie"},{"family":"Porteous","given":"David J."}],"issued":{"date-parts":[["2021",7,7]]},"citation-key":"fawns-ritchieCovidLifeResourceUnderstand2021"}}],"schema":"https://github.com/citation-style-language/schema/raw/master/csl-citation.json"} </w:instrText>
      </w:r>
      <w:r w:rsidRPr="007E294D">
        <w:fldChar w:fldCharType="separate"/>
      </w:r>
      <w:r w:rsidRPr="007E294D">
        <w:t xml:space="preserve">(Fawns-Ritchie </w:t>
      </w:r>
      <w:r w:rsidRPr="007E294D">
        <w:rPr>
          <w:i/>
          <w:iCs/>
        </w:rPr>
        <w:t>et al.</w:t>
      </w:r>
      <w:r w:rsidRPr="007E294D">
        <w:t>, 2021)</w:t>
      </w:r>
      <w:r w:rsidRPr="007E294D">
        <w:fldChar w:fldCharType="end"/>
      </w:r>
      <w:r>
        <w:t>.</w:t>
      </w:r>
    </w:p>
    <w:p w14:paraId="47F717EE" w14:textId="77777777" w:rsidR="007A0E06" w:rsidRPr="007A0E06" w:rsidRDefault="007A0E06" w:rsidP="007A0E06">
      <w:pPr>
        <w:pStyle w:val="Heading3"/>
      </w:pPr>
      <w:bookmarkStart w:id="3" w:name="_Toc112271550"/>
      <w:proofErr w:type="spellStart"/>
      <w:r w:rsidRPr="007A0E06">
        <w:t>LifeLines</w:t>
      </w:r>
      <w:proofErr w:type="spellEnd"/>
      <w:r w:rsidRPr="007A0E06">
        <w:t xml:space="preserve"> 1 and 2 and </w:t>
      </w:r>
      <w:proofErr w:type="spellStart"/>
      <w:r w:rsidRPr="007A0E06">
        <w:t>Vlagtwedde</w:t>
      </w:r>
      <w:proofErr w:type="spellEnd"/>
      <w:r w:rsidRPr="007A0E06">
        <w:t>-Vlaardingen</w:t>
      </w:r>
      <w:bookmarkEnd w:id="3"/>
    </w:p>
    <w:p w14:paraId="6D5DD6AE" w14:textId="77777777" w:rsidR="007A0E06" w:rsidRDefault="007A0E06" w:rsidP="007A0E06">
      <w:r>
        <w:rPr>
          <w:bdr w:val="none" w:sz="0" w:space="0" w:color="auto" w:frame="1"/>
          <w:lang w:val="en-US"/>
        </w:rPr>
        <w:t xml:space="preserve">Genotyped individuals from the first (n = 7,976) and second (n = 5,260) data release of the </w:t>
      </w:r>
      <w:proofErr w:type="spellStart"/>
      <w:r>
        <w:rPr>
          <w:bdr w:val="none" w:sz="0" w:space="0" w:color="auto" w:frame="1"/>
          <w:lang w:val="en-US"/>
        </w:rPr>
        <w:t>LifeLines</w:t>
      </w:r>
      <w:proofErr w:type="spellEnd"/>
      <w:r>
        <w:rPr>
          <w:bdr w:val="none" w:sz="0" w:space="0" w:color="auto" w:frame="1"/>
          <w:lang w:val="en-US"/>
        </w:rPr>
        <w:t xml:space="preserve"> cohort study (2006–2011) </w:t>
      </w:r>
      <w:r>
        <w:rPr>
          <w:bdr w:val="none" w:sz="0" w:space="0" w:color="auto" w:frame="1"/>
          <w:lang w:val="en-US"/>
        </w:rPr>
        <w:fldChar w:fldCharType="begin"/>
      </w:r>
      <w:r>
        <w:rPr>
          <w:bdr w:val="none" w:sz="0" w:space="0" w:color="auto" w:frame="1"/>
          <w:lang w:val="en-US"/>
        </w:rPr>
        <w:instrText xml:space="preserve"> ADDIN ZOTERO_ITEM CSL_CITATION {"citationID":"EFtAn4Iz","properties":{"formattedCitation":"(Scholtens {\\i{}et al.}, 2015)","plainCitation":"(Scholtens et al., 2015)","noteIndex":0},"citationItems":[{"id":741,"uris":["http://zotero.org/users/5824917/items/TNYQ9SBG"],"itemData":{"id":741,"type":"article-journal","abstract":"The LifeLines Cohort Study is a large population-based cohort study and biobank that was established as a resource for research on complex interactions between environmental, phenotypic and genomic factors in the development of chronic diseases and healthy ageing. Between 2006 and 2013, inhabitants of the northern part of The Netherlands and their families were invited to participate, thereby contributing to a three-generation design. Participants visited one of the LifeLines research sites for a physical examination, including lung function, ECG and cognition tests, and completed extensive questionnaires. Baseline data were collected for 167 729 participants, aged from 6 months to 93 years. Follow-up visits are scheduled every 5 years, and in between participants receive follow-up questionnaires. Linkage is being established with medical registries and environmental data. LifeLines contains information on biochemistry, medical history, psychosocial characteristics, lifestyle and more. Genomic data are available including genome-wide genetic data of 15 638 participants. Fasting blood and 24-h urine samples are processed on the day of collection and stored at -80 °C in a fully automated storage facility. The aim of LifeLines is to be a resource for the national and international scientific community. Requests for data and biomaterials can be submitted to the LifeLines Research Office [LLscience@umcg.nl].","container-title":"International Journal of Epidemiology","DOI":"10.1093/ije/dyu229","ISSN":"1464-3685","issue":"4","journalAbbreviation":"Int J Epidemiol","language":"eng","note":"PMID: 25502107","page":"1172-1180","source":"PubMed","title":"Cohort Profile: LifeLines, a three-generation cohort study and biobank","title-short":"Cohort Profile","volume":"44","author":[{"family":"Scholtens","given":"Salome"},{"family":"Smidt","given":"Nynke"},{"family":"Swertz","given":"Morris A."},{"family":"Bakker","given":"Stephan J. L."},{"family":"Dotinga","given":"Aafje"},{"family":"Vonk","given":"Judith M."},{"family":"Dijk","given":"Freerk","non-dropping-particle":"van"},{"family":"Zon","given":"Sander K. R.","non-dropping-particle":"van"},{"family":"Wijmenga","given":"Cisca"},{"family":"Wolffenbuttel","given":"Bruce H. R."},{"family":"Stolk","given":"Ronald P."}],"issued":{"date-parts":[["2015",8]]},"citation-key":"scholtensCohortProfileLifeLines2015"}}],"schema":"https://github.com/citation-style-language/schema/raw/master/csl-citation.json"} </w:instrText>
      </w:r>
      <w:r>
        <w:rPr>
          <w:bdr w:val="none" w:sz="0" w:space="0" w:color="auto" w:frame="1"/>
          <w:lang w:val="en-US"/>
        </w:rPr>
        <w:fldChar w:fldCharType="separate"/>
      </w:r>
      <w:r w:rsidRPr="00AB5C92">
        <w:rPr>
          <w:rFonts w:ascii="Calibri" w:hAnsi="Calibri" w:cs="Calibri"/>
          <w:szCs w:val="24"/>
        </w:rPr>
        <w:t xml:space="preserve">(Scholtens </w:t>
      </w:r>
      <w:r w:rsidRPr="00AB5C92">
        <w:rPr>
          <w:rFonts w:ascii="Calibri" w:hAnsi="Calibri" w:cs="Calibri"/>
          <w:i/>
          <w:iCs/>
          <w:szCs w:val="24"/>
        </w:rPr>
        <w:t>et al.</w:t>
      </w:r>
      <w:r w:rsidRPr="00AB5C92">
        <w:rPr>
          <w:rFonts w:ascii="Calibri" w:hAnsi="Calibri" w:cs="Calibri"/>
          <w:szCs w:val="24"/>
        </w:rPr>
        <w:t>, 2015)</w:t>
      </w:r>
      <w:r>
        <w:rPr>
          <w:bdr w:val="none" w:sz="0" w:space="0" w:color="auto" w:frame="1"/>
          <w:lang w:val="en-US"/>
        </w:rPr>
        <w:fldChar w:fldCharType="end"/>
      </w:r>
      <w:r>
        <w:rPr>
          <w:bdr w:val="none" w:sz="0" w:space="0" w:color="auto" w:frame="1"/>
          <w:lang w:val="en-US"/>
        </w:rPr>
        <w:t xml:space="preserve"> and 1,529 subjects from the last survey (1989/1990) from the </w:t>
      </w:r>
      <w:proofErr w:type="spellStart"/>
      <w:r>
        <w:rPr>
          <w:bdr w:val="none" w:sz="0" w:space="0" w:color="auto" w:frame="1"/>
          <w:lang w:val="en-US"/>
        </w:rPr>
        <w:t>Vlagtwedde</w:t>
      </w:r>
      <w:proofErr w:type="spellEnd"/>
      <w:r>
        <w:rPr>
          <w:bdr w:val="none" w:sz="0" w:space="0" w:color="auto" w:frame="1"/>
          <w:lang w:val="en-US"/>
        </w:rPr>
        <w:t xml:space="preserve">-Vlaardingen cohort </w:t>
      </w:r>
      <w:r>
        <w:rPr>
          <w:bdr w:val="none" w:sz="0" w:space="0" w:color="auto" w:frame="1"/>
          <w:lang w:val="en-US"/>
        </w:rPr>
        <w:fldChar w:fldCharType="begin"/>
      </w:r>
      <w:r>
        <w:rPr>
          <w:bdr w:val="none" w:sz="0" w:space="0" w:color="auto" w:frame="1"/>
          <w:lang w:val="en-US"/>
        </w:rPr>
        <w:instrText xml:space="preserve"> ADDIN ZOTERO_ITEM CSL_CITATION {"citationID":"vDa8xAoT","properties":{"formattedCitation":"(de Jong {\\i{}et al.}, 2014; van Diemen {\\i{}et al.}, 2005)","plainCitation":"(de Jong et al., 2014; van Diemen et al., 2005)","noteIndex":0},"citationItems":[{"id":744,"uris":["http://zotero.org/users/5824917/items/LQET7LVY"],"itemData":{"id":744,"type":"article-journal","abstract":"Cross-sectional studies have shown that occupational exposure to vapors, gases, dusts, and fumes (VGDF) and pesticides is associated with a lower level of lung function. These associations seem to be stronger in ever smokers. In the current study, we aimed to assess whether occupational exposure to VGDF and pesticides is associated with longitudinal decline in lung function. We used 12,772 observations from 2,527 participants in the Vlagtwedde-Vlaardingen Study, a general-population-based cohort study that followed subjects for 25 years, from 1965 to the last survey in 1989/1990. Job-specific exposure was estimated with the ALOHA+ job exposure matrix. Associations between exposures and annual changes in forced expiratory volume in 1 second (FEV1) and FEV1 as a percentage of inspiratory vital capacity (FEV1%VC) were assessed with linear mixed-effect models including sex, age, and level of lung function at the first measurement and pack-years of smoking at the last measurement. We tested for interaction between smoking and occupational exposure and assessed associations separately for never smokers and ever smokers. Exposure to VGDF was not associated with accelerated lung function decline after adjustment for co-exposure to pesticides. Exposure to pesticides, both in the last-held job and as a cumulative measure, was associated with accelerated decline in FEV1 and FEV1%VC, especially among ever smokers, where we found an excess change in FEV1 of -6.9 mL/year (95% confidence interval: -10.2, -3.7) associated with high pesticide exposure.","container-title":"American Journal of Epidemiology","DOI":"10.1093/aje/kwu053","ISSN":"1476-6256","issue":"11","journalAbbreviation":"Am J Epidemiol","language":"eng","note":"PMID: 24780843","page":"1323-1330","source":"PubMed","title":"Association of occupational pesticide exposure with accelerated longitudinal decline in lung function","volume":"179","author":[{"family":"Jong","given":"Kim","non-dropping-particle":"de"},{"family":"Boezen","given":"H. Marike"},{"family":"Kromhout","given":"Hans"},{"family":"Vermeulen","given":"Roel"},{"family":"Postma","given":"Dirkje S."},{"family":"Vonk","given":"Judith M."}],"issued":{"date-parts":[["2014",6,1]]},"citation-key":"dejongAssociationOccupationalPesticide2014"}},{"id":747,"uris":["http://zotero.org/users/5824917/items/H3BNNTRS"],"itemData":{"id":747,"type":"article-journal","abstract":"RATIONALE: A disintegrin and metalloprotease 33 (ADAM33) has been identified as a susceptibility gene for asthma and single nucleotide polymorphisms (SNPs) in this gene have been associated with excessive decline of lung function in individuals with asthma.\nOBJECTIVES: To assess whether SNPs in ADAM33 are associated with accelerated lung function loss in the general population and with chronic obstructive pulmonary disease (COPD).\nMETHODS: DNA was collected from subjects of the Vlagtwedde-Vlaardingen cohort participating in the last survey in 1989-1990 after a follow-up of 25 years. Information was collected every 3 years, including lung function measurements. We defined COPD as GOLD stage 2 or higher at the last survey. A total of 1,390 subjects from the cohort was genotyped for the following SNPs in ADAM33: F+1, Q-1, S_1, S_2, T_1, T_2, V_4, and ST+5. Differences in prevalence of SNPs were analyzed with chi(2) tests. Linear mixed effects models were used to analyze FEV(1) decline according to genotype.\nMEASUREMENTS AND MAIN RESULTS: In the whole population, mean adjusted decline was 18.7 and 12.7 ml/year in females and males, respectively. Individuals homozygous for minor alleles of SNPs S_2 and Q-1 and heterozygous for SNP S_1 had a significantly accelerated decline in FEV(1) of, respectively, 4.9, 9.6, and 3.6 ml/year compared with wild type. We found a significantly higher prevalence of SNPs F+1, S_1, S_2, and T_2 in subjects with COPD.\nCONCLUSIONS: We demonstrated that SNPs in ADAM33 are associated with accelerated lung function decline in the general population. These SNPs are also risk factors for COPD.","container-title":"American Journal of Respiratory and Critical Care Medicine","DOI":"10.1164/rccm.200411-1486OC","ISSN":"1073-449X","issue":"3","journalAbbreviation":"Am J Respir Crit Care Med","language":"eng","note":"PMID: 15879414","page":"329-333","source":"PubMed","title":"A disintegrin and metalloprotease 33 polymorphisms and lung function decline in the general population","volume":"172","author":[{"family":"Diemen","given":"Cleo C.","non-dropping-particle":"van"},{"family":"Postma","given":"Dirkje S."},{"family":"Vonk","given":"Judith M."},{"family":"Bruinenberg","given":"Marcel"},{"family":"Schouten","given":"Jan P."},{"family":"Boezen","given":"H. Marike"}],"issued":{"date-parts":[["2005",8,1]]},"citation-key":"vandiemenDisintegrinMetalloprotease332005"}}],"schema":"https://github.com/citation-style-language/schema/raw/master/csl-citation.json"} </w:instrText>
      </w:r>
      <w:r>
        <w:rPr>
          <w:bdr w:val="none" w:sz="0" w:space="0" w:color="auto" w:frame="1"/>
          <w:lang w:val="en-US"/>
        </w:rPr>
        <w:fldChar w:fldCharType="separate"/>
      </w:r>
      <w:r w:rsidRPr="00AB5C92">
        <w:rPr>
          <w:rFonts w:ascii="Calibri" w:hAnsi="Calibri" w:cs="Calibri"/>
          <w:szCs w:val="24"/>
        </w:rPr>
        <w:t xml:space="preserve">(de Jong </w:t>
      </w:r>
      <w:r w:rsidRPr="00AB5C92">
        <w:rPr>
          <w:rFonts w:ascii="Calibri" w:hAnsi="Calibri" w:cs="Calibri"/>
          <w:i/>
          <w:iCs/>
          <w:szCs w:val="24"/>
        </w:rPr>
        <w:t>et al.</w:t>
      </w:r>
      <w:r w:rsidRPr="00AB5C92">
        <w:rPr>
          <w:rFonts w:ascii="Calibri" w:hAnsi="Calibri" w:cs="Calibri"/>
          <w:szCs w:val="24"/>
        </w:rPr>
        <w:t xml:space="preserve">, 2014; van Diemen </w:t>
      </w:r>
      <w:r w:rsidRPr="00AB5C92">
        <w:rPr>
          <w:rFonts w:ascii="Calibri" w:hAnsi="Calibri" w:cs="Calibri"/>
          <w:i/>
          <w:iCs/>
          <w:szCs w:val="24"/>
        </w:rPr>
        <w:t>et al.</w:t>
      </w:r>
      <w:r w:rsidRPr="00AB5C92">
        <w:rPr>
          <w:rFonts w:ascii="Calibri" w:hAnsi="Calibri" w:cs="Calibri"/>
          <w:szCs w:val="24"/>
        </w:rPr>
        <w:t>, 2005)</w:t>
      </w:r>
      <w:r>
        <w:rPr>
          <w:bdr w:val="none" w:sz="0" w:space="0" w:color="auto" w:frame="1"/>
          <w:lang w:val="en-US"/>
        </w:rPr>
        <w:fldChar w:fldCharType="end"/>
      </w:r>
      <w:r>
        <w:rPr>
          <w:bdr w:val="none" w:sz="0" w:space="0" w:color="auto" w:frame="1"/>
          <w:lang w:val="en-US"/>
        </w:rPr>
        <w:t xml:space="preserve">, a prospective general population based cohort including Caucasians of Dutch descent were used as replication cohorts </w:t>
      </w:r>
      <w:r>
        <w:rPr>
          <w:bdr w:val="none" w:sz="0" w:space="0" w:color="auto" w:frame="1"/>
          <w:lang w:val="en-US"/>
        </w:rPr>
        <w:fldChar w:fldCharType="begin"/>
      </w:r>
      <w:r>
        <w:rPr>
          <w:bdr w:val="none" w:sz="0" w:space="0" w:color="auto" w:frame="1"/>
          <w:lang w:val="en-US"/>
        </w:rPr>
        <w:instrText xml:space="preserve"> ADDIN ZOTERO_ITEM CSL_CITATION {"citationID":"nRIqc88h","properties":{"formattedCitation":"(Zeng {\\i{}et al.}, 2017)","plainCitation":"(Zeng et al., 2017)","noteIndex":0},"citationItems":[{"id":557,"uris":["http://zotero.org/users/5824917/items/ZT2XJ6HH"],"itemData":{"id":557,"type":"article-journal","container-title":"Respiratory Research","DOI":"10.1186/s12931-016-0495-4","ISSN":"1465-993X","issue":"1","journalAbbreviation":"Respir Res","language":"en","page":"11","source":"DOI.org (Crossref)","title":"No convincing association between genetic markers and respiratory symptoms: results of a GWA study","title-short":"No convincing association between genetic markers and respiratory symptoms","volume":"18","author":[{"family":"Zeng","given":"Xiang"},{"family":"Vonk","given":"Judith M."},{"family":"Jong","given":"Kim","non-dropping-particle":"de"},{"family":"Xu","given":"Xijin"},{"family":"Huo","given":"Xia"},{"family":"Boezen","given":"H. Marike"}],"issued":{"date-parts":[["2017",12]]},"citation-key":"zengNoConvincingAssociation2017"}}],"schema":"https://github.com/citation-style-language/schema/raw/master/csl-citation.json"} </w:instrText>
      </w:r>
      <w:r>
        <w:rPr>
          <w:bdr w:val="none" w:sz="0" w:space="0" w:color="auto" w:frame="1"/>
          <w:lang w:val="en-US"/>
        </w:rPr>
        <w:fldChar w:fldCharType="separate"/>
      </w:r>
      <w:r w:rsidRPr="00AB5C92">
        <w:rPr>
          <w:rFonts w:ascii="Calibri" w:hAnsi="Calibri" w:cs="Calibri"/>
          <w:szCs w:val="24"/>
        </w:rPr>
        <w:t xml:space="preserve">(Zeng </w:t>
      </w:r>
      <w:r w:rsidRPr="00AB5C92">
        <w:rPr>
          <w:rFonts w:ascii="Calibri" w:hAnsi="Calibri" w:cs="Calibri"/>
          <w:i/>
          <w:iCs/>
          <w:szCs w:val="24"/>
        </w:rPr>
        <w:t>et al.</w:t>
      </w:r>
      <w:r w:rsidRPr="00AB5C92">
        <w:rPr>
          <w:rFonts w:ascii="Calibri" w:hAnsi="Calibri" w:cs="Calibri"/>
          <w:szCs w:val="24"/>
        </w:rPr>
        <w:t>, 2017)</w:t>
      </w:r>
      <w:r>
        <w:rPr>
          <w:bdr w:val="none" w:sz="0" w:space="0" w:color="auto" w:frame="1"/>
          <w:lang w:val="en-US"/>
        </w:rPr>
        <w:fldChar w:fldCharType="end"/>
      </w:r>
      <w:r>
        <w:rPr>
          <w:bdr w:val="none" w:sz="0" w:space="0" w:color="auto" w:frame="1"/>
          <w:lang w:val="en-US"/>
        </w:rPr>
        <w:t>.</w:t>
      </w:r>
    </w:p>
    <w:p w14:paraId="4401CD84" w14:textId="77777777" w:rsidR="007A0E06" w:rsidRDefault="007A0E06" w:rsidP="007A0E06">
      <w:r>
        <w:rPr>
          <w:bdr w:val="none" w:sz="0" w:space="0" w:color="auto" w:frame="1"/>
          <w:lang w:val="en-US"/>
        </w:rPr>
        <w:t xml:space="preserve">In these cohorts, genotyping was performed using IlluminaCytoSNP-12 arrays. The applied genotyping quality control criteria have been described before </w:t>
      </w:r>
      <w:r>
        <w:rPr>
          <w:bdr w:val="none" w:sz="0" w:space="0" w:color="auto" w:frame="1"/>
          <w:lang w:val="en-US"/>
        </w:rPr>
        <w:fldChar w:fldCharType="begin"/>
      </w:r>
      <w:r>
        <w:rPr>
          <w:bdr w:val="none" w:sz="0" w:space="0" w:color="auto" w:frame="1"/>
          <w:lang w:val="en-US"/>
        </w:rPr>
        <w:instrText xml:space="preserve"> ADDIN ZOTERO_ITEM CSL_CITATION {"citationID":"qsquAxTf","properties":{"formattedCitation":"(de Jong {\\i{}et al.}, 2015; Scholtens {\\i{}et al.}, 2015)","plainCitation":"(de Jong et al., 2015; Scholtens et al., 2015)","noteIndex":0},"citationItems":[{"id":752,"uris":["http://zotero.org/users/5824917/items/QYJFV8LP"],"itemData":{"id":752,"type":"article-journal","abstract":"BACKGROUND: Chronic obstructive pulmonary disease (COPD) is a complex disease characterized by impaired lung function and airway obstruction resulting from interactions between multiple genes and multiple environmental exposures. Thus far, genome-wide association studies have largely disregarded environmental factors that might trigger the development of lung function impairment and COPD, such as occupational exposures, which are thought to contribute to 15% to 20% of the COPD prevalence.\nOBJECTIVES: We performed a genome-wide interaction study to identify novel susceptibility loci for occupational exposure to biological dust, mineral dust, and gases and fumes in relation to FEV1 levels.\nMETHODS: We performed an identification analysis in 12,400 subjects from the LifeLines cohort study and verified our findings in 1436 subjects from a second independent cohort, the Vlagtwedde-Vlaardingen cohort. Additionally, we assessed whether replicated single nucleotide polymorphisms (SNPs) were cis-acting expression (mRNA) quantitative trait loci in lung tissue.\nRESULTS: Of the 7 replicated SNPs that interacted with one of the occupational exposures, several identified loci were plausible candidates that might be involved in biological pathways leading to lung function impairment, such as PCDH9 and GALNT13. Two of the 7 replicated SNPs were cis-acting expression quantitative trait loci associated with gene expression of PDE4D and TMEM176A in lung tissue.\nCONCLUSION: This genome-wide interaction study on occupational exposures in relation to the level of lung function identified several novel genes. Further research should determine whether the identified genes are true susceptibility loci for occupational exposures and whether these SNP-by-exposure interactions consequently contribute to the development of COPD.","container-title":"The Journal of Allergy and Clinical Immunology","DOI":"10.1016/j.jaci.2015.03.042","ISSN":"1097-6825","issue":"6","journalAbbreviation":"J Allergy Clin Immunol","language":"eng","note":"PMID: 25979521","page":"1664-1672.e14","source":"PubMed","title":"Genome-wide interaction study of gene-by-occupational exposure and effects on FEV1 levels","volume":"136","author":[{"family":"Jong","given":"Kim","non-dropping-particle":"de"},{"family":"Vonk","given":"Judith M."},{"family":"Timens","given":"Wim"},{"family":"Bossé","given":"Yohan"},{"family":"Sin","given":"Don D."},{"family":"Hao","given":"Ke"},{"family":"Kromhout","given":"Hans"},{"family":"Vermeulen","given":"Roel"},{"family":"Postma","given":"Dirkje S."},{"family":"Boezen","given":"H. Marike"}],"issued":{"date-parts":[["2015",12]]},"citation-key":"dejongGenomewideInteractionStudy2015"}},{"id":741,"uris":["http://zotero.org/users/5824917/items/TNYQ9SBG"],"itemData":{"id":741,"type":"article-journal","abstract":"The LifeLines Cohort Study is a large population-based cohort study and biobank that was established as a resource for research on complex interactions between environmental, phenotypic and genomic factors in the development of chronic diseases and healthy ageing. Between 2006 and 2013, inhabitants of the northern part of The Netherlands and their families were invited to participate, thereby contributing to a three-generation design. Participants visited one of the LifeLines research sites for a physical examination, including lung function, ECG and cognition tests, and completed extensive questionnaires. Baseline data were collected for 167 729 participants, aged from 6 months to 93 years. Follow-up visits are scheduled every 5 years, and in between participants receive follow-up questionnaires. Linkage is being established with medical registries and environmental data. LifeLines contains information on biochemistry, medical history, psychosocial characteristics, lifestyle and more. Genomic data are available including genome-wide genetic data of 15 638 participants. Fasting blood and 24-h urine samples are processed on the day of collection and stored at -80 °C in a fully automated storage facility. The aim of LifeLines is to be a resource for the national and international scientific community. Requests for data and biomaterials can be submitted to the LifeLines Research Office [LLscience@umcg.nl].","container-title":"International Journal of Epidemiology","DOI":"10.1093/ije/dyu229","ISSN":"1464-3685","issue":"4","journalAbbreviation":"Int J Epidemiol","language":"eng","note":"PMID: 25502107","page":"1172-1180","source":"PubMed","title":"Cohort Profile: LifeLines, a three-generation cohort study and biobank","title-short":"Cohort Profile","volume":"44","author":[{"family":"Scholtens","given":"Salome"},{"family":"Smidt","given":"Nynke"},{"family":"Swertz","given":"Morris A."},{"family":"Bakker","given":"Stephan J. L."},{"family":"Dotinga","given":"Aafje"},{"family":"Vonk","given":"Judith M."},{"family":"Dijk","given":"Freerk","non-dropping-particle":"van"},{"family":"Zon","given":"Sander K. R.","non-dropping-particle":"van"},{"family":"Wijmenga","given":"Cisca"},{"family":"Wolffenbuttel","given":"Bruce H. R."},{"family":"Stolk","given":"Ronald P."}],"issued":{"date-parts":[["2015",8]]},"citation-key":"scholtensCohortProfileLifeLines2015"}}],"schema":"https://github.com/citation-style-language/schema/raw/master/csl-citation.json"} </w:instrText>
      </w:r>
      <w:r>
        <w:rPr>
          <w:bdr w:val="none" w:sz="0" w:space="0" w:color="auto" w:frame="1"/>
          <w:lang w:val="en-US"/>
        </w:rPr>
        <w:fldChar w:fldCharType="separate"/>
      </w:r>
      <w:r w:rsidRPr="00AB5C92">
        <w:rPr>
          <w:rFonts w:ascii="Calibri" w:hAnsi="Calibri" w:cs="Calibri"/>
          <w:szCs w:val="24"/>
        </w:rPr>
        <w:t xml:space="preserve">(de Jong </w:t>
      </w:r>
      <w:r w:rsidRPr="00AB5C92">
        <w:rPr>
          <w:rFonts w:ascii="Calibri" w:hAnsi="Calibri" w:cs="Calibri"/>
          <w:i/>
          <w:iCs/>
          <w:szCs w:val="24"/>
        </w:rPr>
        <w:t>et al.</w:t>
      </w:r>
      <w:r w:rsidRPr="00AB5C92">
        <w:rPr>
          <w:rFonts w:ascii="Calibri" w:hAnsi="Calibri" w:cs="Calibri"/>
          <w:szCs w:val="24"/>
        </w:rPr>
        <w:t xml:space="preserve">, 2015; Scholtens </w:t>
      </w:r>
      <w:r w:rsidRPr="00AB5C92">
        <w:rPr>
          <w:rFonts w:ascii="Calibri" w:hAnsi="Calibri" w:cs="Calibri"/>
          <w:i/>
          <w:iCs/>
          <w:szCs w:val="24"/>
        </w:rPr>
        <w:t>et al.</w:t>
      </w:r>
      <w:r w:rsidRPr="00AB5C92">
        <w:rPr>
          <w:rFonts w:ascii="Calibri" w:hAnsi="Calibri" w:cs="Calibri"/>
          <w:szCs w:val="24"/>
        </w:rPr>
        <w:t>, 2015)</w:t>
      </w:r>
      <w:r>
        <w:rPr>
          <w:bdr w:val="none" w:sz="0" w:space="0" w:color="auto" w:frame="1"/>
          <w:lang w:val="en-US"/>
        </w:rPr>
        <w:fldChar w:fldCharType="end"/>
      </w:r>
      <w:r>
        <w:rPr>
          <w:bdr w:val="none" w:sz="0" w:space="0" w:color="auto" w:frame="1"/>
          <w:lang w:val="en-US"/>
        </w:rPr>
        <w:t xml:space="preserve">: Samples with call-rates of less than 95% were excluded as were samples of non-Caucasians </w:t>
      </w:r>
      <w:r>
        <w:rPr>
          <w:bdr w:val="none" w:sz="0" w:space="0" w:color="auto" w:frame="1"/>
          <w:lang w:val="en-US"/>
        </w:rPr>
        <w:lastRenderedPageBreak/>
        <w:t>and first degree relatives. SNPs were excluded if they had a genotype call-rate &lt; 95%, minor allele frequency (MAF) &lt; 1%, or a Hardy-Weinberg equilibrium (HWE) p-value &lt; 10−4.</w:t>
      </w:r>
    </w:p>
    <w:p w14:paraId="143627FC" w14:textId="77777777" w:rsidR="007A0E06" w:rsidRDefault="007A0E06" w:rsidP="007A0E06">
      <w:r>
        <w:rPr>
          <w:bdr w:val="none" w:sz="0" w:space="0" w:color="auto" w:frame="1"/>
          <w:lang w:val="en-US"/>
        </w:rPr>
        <w:t xml:space="preserve">Phlegm was measured by standardized questionnaires from the European Community Respiratory Health Survey (ECRHS) </w:t>
      </w:r>
      <w:r>
        <w:rPr>
          <w:bdr w:val="none" w:sz="0" w:space="0" w:color="auto" w:frame="1"/>
          <w:lang w:val="en-US"/>
        </w:rPr>
        <w:fldChar w:fldCharType="begin"/>
      </w:r>
      <w:r>
        <w:rPr>
          <w:bdr w:val="none" w:sz="0" w:space="0" w:color="auto" w:frame="1"/>
          <w:lang w:val="en-US"/>
        </w:rPr>
        <w:instrText xml:space="preserve"> ADDIN ZOTERO_ITEM CSL_CITATION {"citationID":"f1SkJWxb","properties":{"formattedCitation":"(Burney {\\i{}et al.}, 1994)","plainCitation":"(Burney et al., 1994)","noteIndex":0},"citationItems":[{"id":757,"uris":["http://zotero.org/users/5824917/items/JAMMYSLZ"],"itemData":{"id":757,"type":"article-journal","abstract":"The European Community Respiratory Health Survey (ECRHS) was planned to answer specific questions about the distribution of asthma and health care given for asthma in the European Community. Specifically, the survey is designed to estimate variations in the prevalence of asthma, asthma-like symptoms and airway responsiveness; to estimate variations in exposures to known or suspected risk factors for asthma, and assess to what extent these variations explain the variations in the prevalence of disease; and to estimate differences in the use of medication for asthma. The protocol provides specific instructions on the sampling strategy adopted by the survey teams, as well as providing instructions on the use of questionnaires, the tests for allergy, lung function measurements, tests of airway responsiveness, and blood and urine collection. The principal data collection sheets and questionnaires are provided in the appendices, together with information on coding and quality control. The protocol is published as a reference for those who wish to know more of the methods used in the study, and also to give other groups who wish to collect comparable data access to the detailed methodology.","container-title":"The European Respiratory Journal","DOI":"10.1183/09031936.94.07050954","ISSN":"0903-1936","issue":"5","journalAbbreviation":"Eur Respir J","language":"eng","note":"PMID: 8050554","page":"954-960","source":"PubMed","title":"The European Community Respiratory Health Survey","volume":"7","author":[{"family":"Burney","given":"P. G."},{"family":"Luczynska","given":"C."},{"family":"Chinn","given":"S."},{"family":"Jarvis","given":"D."}],"issued":{"date-parts":[["1994",5]]},"citation-key":"burneyEuropeanCommunityRespiratory1994"}}],"schema":"https://github.com/citation-style-language/schema/raw/master/csl-citation.json"} </w:instrText>
      </w:r>
      <w:r>
        <w:rPr>
          <w:bdr w:val="none" w:sz="0" w:space="0" w:color="auto" w:frame="1"/>
          <w:lang w:val="en-US"/>
        </w:rPr>
        <w:fldChar w:fldCharType="separate"/>
      </w:r>
      <w:r w:rsidRPr="00AB5C92">
        <w:rPr>
          <w:rFonts w:ascii="Calibri" w:hAnsi="Calibri" w:cs="Calibri"/>
          <w:szCs w:val="24"/>
        </w:rPr>
        <w:t xml:space="preserve">(Burney </w:t>
      </w:r>
      <w:r w:rsidRPr="00AB5C92">
        <w:rPr>
          <w:rFonts w:ascii="Calibri" w:hAnsi="Calibri" w:cs="Calibri"/>
          <w:i/>
          <w:iCs/>
          <w:szCs w:val="24"/>
        </w:rPr>
        <w:t>et al.</w:t>
      </w:r>
      <w:r w:rsidRPr="00AB5C92">
        <w:rPr>
          <w:rFonts w:ascii="Calibri" w:hAnsi="Calibri" w:cs="Calibri"/>
          <w:szCs w:val="24"/>
        </w:rPr>
        <w:t>, 1994)</w:t>
      </w:r>
      <w:r>
        <w:rPr>
          <w:bdr w:val="none" w:sz="0" w:space="0" w:color="auto" w:frame="1"/>
          <w:lang w:val="en-US"/>
        </w:rPr>
        <w:fldChar w:fldCharType="end"/>
      </w:r>
      <w:r>
        <w:rPr>
          <w:bdr w:val="none" w:sz="0" w:space="0" w:color="auto" w:frame="1"/>
          <w:lang w:val="en-US"/>
        </w:rPr>
        <w:t>. Phlegm was defined as at least one positive answer to the questions: “do you usually bring up any phlegm from your chest first thing in the morning in winter?” or “do you usually bring up any phlegm from your chest during the day, or at night, in winter?”.</w:t>
      </w:r>
    </w:p>
    <w:p w14:paraId="7CA898A7" w14:textId="77777777" w:rsidR="007A0E06" w:rsidRDefault="007A0E06" w:rsidP="007A0E06">
      <w:r>
        <w:rPr>
          <w:bdr w:val="none" w:sz="0" w:space="0" w:color="auto" w:frame="1"/>
          <w:lang w:val="en-US"/>
        </w:rPr>
        <w:t xml:space="preserve">The analysis on the presence of phlegm was performed using PLINK version 1.07 </w:t>
      </w:r>
      <w:r>
        <w:rPr>
          <w:bdr w:val="none" w:sz="0" w:space="0" w:color="auto" w:frame="1"/>
          <w:lang w:val="en-US"/>
        </w:rPr>
        <w:fldChar w:fldCharType="begin"/>
      </w:r>
      <w:r>
        <w:rPr>
          <w:bdr w:val="none" w:sz="0" w:space="0" w:color="auto" w:frame="1"/>
          <w:lang w:val="en-US"/>
        </w:rPr>
        <w:instrText xml:space="preserve"> ADDIN ZOTERO_ITEM CSL_CITATION {"citationID":"Op6dTwwb","properties":{"formattedCitation":"(Purcell {\\i{}et al.}, 2007)","plainCitation":"(Purcell et al., 2007)","noteIndex":0},"citationItems":[{"id":760,"uris":["http://zotero.org/users/5824917/items/F2HR9U6I"],"itemData":{"id":760,"type":"article-journal","abstract":"Whole-genome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analysis.","container-title":"American Journal of Human Genetics","DOI":"10.1086/519795","ISSN":"0002-9297","issue":"3","journalAbbreviation":"Am J Hum Genet","language":"eng","note":"PMID: 17701901\nPMCID: PMC1950838","page":"559-575","source":"PubMed","title":"PLINK: a tool set for whole-genome association and population-based linkage analyses","title-short":"PLINK","volume":"81","author":[{"family":"Purcell","given":"Shaun"},{"family":"Neale","given":"Benjamin"},{"family":"Todd-Brown","given":"Kathe"},{"family":"Thomas","given":"Lori"},{"family":"Ferreira","given":"Manuel A. R."},{"family":"Bender","given":"David"},{"family":"Maller","given":"Julian"},{"family":"Sklar","given":"Pamela"},{"family":"Bakker","given":"Paul I. W.","non-dropping-particle":"de"},{"family":"Daly","given":"Mark J."},{"family":"Sham","given":"Pak C."}],"issued":{"date-parts":[["2007",9]]},"citation-key":"purcellPLINKToolSet2007"}}],"schema":"https://github.com/citation-style-language/schema/raw/master/csl-citation.json"} </w:instrText>
      </w:r>
      <w:r>
        <w:rPr>
          <w:bdr w:val="none" w:sz="0" w:space="0" w:color="auto" w:frame="1"/>
          <w:lang w:val="en-US"/>
        </w:rPr>
        <w:fldChar w:fldCharType="separate"/>
      </w:r>
      <w:r w:rsidRPr="003A671D">
        <w:rPr>
          <w:rFonts w:ascii="Calibri" w:hAnsi="Calibri" w:cs="Calibri"/>
          <w:szCs w:val="24"/>
        </w:rPr>
        <w:t xml:space="preserve">(Purcell </w:t>
      </w:r>
      <w:r w:rsidRPr="003A671D">
        <w:rPr>
          <w:rFonts w:ascii="Calibri" w:hAnsi="Calibri" w:cs="Calibri"/>
          <w:i/>
          <w:iCs/>
          <w:szCs w:val="24"/>
        </w:rPr>
        <w:t>et al.</w:t>
      </w:r>
      <w:r w:rsidRPr="003A671D">
        <w:rPr>
          <w:rFonts w:ascii="Calibri" w:hAnsi="Calibri" w:cs="Calibri"/>
          <w:szCs w:val="24"/>
        </w:rPr>
        <w:t>, 2007)</w:t>
      </w:r>
      <w:r>
        <w:rPr>
          <w:bdr w:val="none" w:sz="0" w:space="0" w:color="auto" w:frame="1"/>
          <w:lang w:val="en-US"/>
        </w:rPr>
        <w:fldChar w:fldCharType="end"/>
      </w:r>
      <w:r>
        <w:rPr>
          <w:bdr w:val="none" w:sz="0" w:space="0" w:color="auto" w:frame="1"/>
          <w:lang w:val="en-US"/>
        </w:rPr>
        <w:t>. We used an additive genetic model adjusted the logistic regression analysis for age, sex, and current smoking.</w:t>
      </w:r>
    </w:p>
    <w:p w14:paraId="6AF54204" w14:textId="77777777" w:rsidR="007A0E06" w:rsidRDefault="007A0E06" w:rsidP="007A0E06">
      <w:pPr>
        <w:pStyle w:val="Heading3"/>
      </w:pPr>
      <w:bookmarkStart w:id="4" w:name="_Toc112271551"/>
      <w:r>
        <w:t>EXCEED</w:t>
      </w:r>
      <w:bookmarkEnd w:id="4"/>
    </w:p>
    <w:p w14:paraId="5DF27D53" w14:textId="77777777" w:rsidR="007A0E06" w:rsidRPr="003A671D" w:rsidRDefault="007A0E06" w:rsidP="007A0E06">
      <w:r>
        <w:rPr>
          <w:shd w:val="clear" w:color="auto" w:fill="FFFFFF"/>
        </w:rPr>
        <w:t>EXCEED is a longitudinal population-based cohort which facilitates investigation of genetic, environmental and lifestyle-related determinants of a broad range of diseases and of multiple morbidity through data collected at baseline and via electronic healthcare record linkage. Recruitment has taken place in Leicester, Leicestershire and Rutland since 2013 and is ongoing, with 11,000 participants. Recruitment was widened to anyone over 18 years of age living in the Midlands in 2020. Participants provided a DNA sample, have consented to follow-up for up to 25 years through electronic health records and additional bespoke data collection is planned. Data available includes baseline demographics, anthropometry, spirometry, lifestyle factors (smoking and alcohol use) and longitudinal health information from primary care records, with additional linkage to other EHR datasets planned. Patients have consented to be contacted for recall-by-genotype and recall-by-phenotype sub-studies.</w:t>
      </w:r>
      <w:r>
        <w:rPr>
          <w:bdr w:val="none" w:sz="0" w:space="0" w:color="auto" w:frame="1"/>
          <w:shd w:val="clear" w:color="auto" w:fill="FFFFFF"/>
          <w:lang w:val="en-US"/>
        </w:rPr>
        <w:t> Further details about the study can be accessed in the Cohort Profile Paper</w:t>
      </w:r>
      <w:r>
        <w:rPr>
          <w:bdr w:val="none" w:sz="0" w:space="0" w:color="auto" w:frame="1"/>
          <w:shd w:val="clear" w:color="auto" w:fill="FFFFFF"/>
          <w:lang w:val="en-US"/>
        </w:rPr>
        <w:fldChar w:fldCharType="begin"/>
      </w:r>
      <w:r>
        <w:rPr>
          <w:bdr w:val="none" w:sz="0" w:space="0" w:color="auto" w:frame="1"/>
          <w:shd w:val="clear" w:color="auto" w:fill="FFFFFF"/>
          <w:lang w:val="en-US"/>
        </w:rPr>
        <w:instrText xml:space="preserve"> ADDIN ZOTERO_ITEM CSL_CITATION {"citationID":"AYJW7sov","properties":{"formattedCitation":"(John {\\i{}et al.}, 2019)","plainCitation":"(John et al., 2019)","noteIndex":0},"citationItems":[{"id":11,"uris":["http://zotero.org/users/5824917/items/HPWN4CRD"],"itemData":{"id":11,"type":"article-journal","container-title":"International Journal of Epidemiology","DOI":"10.1093/ije/dyz175","ISSN":"0300-5771, 1464-3685","language":"en","page":"dyz175","source":"DOI.org (Crossref)","title":"Cohort profile: Extended Cohort for E-health, Environment and DNA (EXCEED)","title-short":"Cohort profile","author":[{"family":"John","given":"Catherine"},{"family":"Reeve","given":"Nicola F"},{"family":"Free","given":"Robert C"},{"family":"Williams","given":"Alexander T"},{"family":"Ntalla","given":"Ioanna"},{"family":"Farmaki","given":"Aliki-Eleni"},{"family":"Bethea","given":"Jane"},{"family":"Barton","given":"Linda M"},{"family":"Shrine","given":"Nick"},{"family":"Batini","given":"Chiara"},{"family":"Packer","given":"Richard"},{"family":"Terry","given":"Sarah"},{"family":"Hargadon","given":"Beverley"},{"family":"Wang","given":"Qingning"},{"family":"Melbourne","given":"Carl A"},{"family":"Adams","given":"Emma L"},{"family":"Bee","given":"Catherine E"},{"family":"Harrington","given":"Kyla"},{"family":"Miola","given":"José"},{"family":"Brunskill","given":"Nigel J"},{"family":"Brightling","given":"Christopher E"},{"family":"Barwell","given":"Julian"},{"family":"Wallace","given":"Susan E"},{"family":"Hsu","given":"Ron"},{"family":"Shepherd","given":"David J"},{"family":"Hollox","given":"Edward J"},{"family":"Wain","given":"Louise V"},{"family":"Tobin","given":"Martin D"}],"issued":{"date-parts":[["2019",7,31]]},"citation-key":"johnCohortProfileExtended2019"}}],"schema":"https://github.com/citation-style-language/schema/raw/master/csl-citation.json"} </w:instrText>
      </w:r>
      <w:r>
        <w:rPr>
          <w:bdr w:val="none" w:sz="0" w:space="0" w:color="auto" w:frame="1"/>
          <w:shd w:val="clear" w:color="auto" w:fill="FFFFFF"/>
          <w:lang w:val="en-US"/>
        </w:rPr>
        <w:fldChar w:fldCharType="separate"/>
      </w:r>
      <w:r w:rsidRPr="005165AD">
        <w:rPr>
          <w:rFonts w:ascii="Calibri" w:hAnsi="Calibri" w:cs="Calibri"/>
          <w:szCs w:val="24"/>
        </w:rPr>
        <w:t xml:space="preserve">(John </w:t>
      </w:r>
      <w:r w:rsidRPr="005165AD">
        <w:rPr>
          <w:rFonts w:ascii="Calibri" w:hAnsi="Calibri" w:cs="Calibri"/>
          <w:i/>
          <w:iCs/>
          <w:szCs w:val="24"/>
        </w:rPr>
        <w:t>et al.</w:t>
      </w:r>
      <w:r w:rsidRPr="005165AD">
        <w:rPr>
          <w:rFonts w:ascii="Calibri" w:hAnsi="Calibri" w:cs="Calibri"/>
          <w:szCs w:val="24"/>
        </w:rPr>
        <w:t>, 2019)</w:t>
      </w:r>
      <w:r>
        <w:rPr>
          <w:bdr w:val="none" w:sz="0" w:space="0" w:color="auto" w:frame="1"/>
          <w:shd w:val="clear" w:color="auto" w:fill="FFFFFF"/>
          <w:lang w:val="en-US"/>
        </w:rPr>
        <w:fldChar w:fldCharType="end"/>
      </w:r>
      <w:r>
        <w:rPr>
          <w:bdr w:val="none" w:sz="0" w:space="0" w:color="auto" w:frame="1"/>
          <w:shd w:val="clear" w:color="auto" w:fill="FFFFFF"/>
          <w:lang w:val="en-US"/>
        </w:rPr>
        <w:t xml:space="preserve">, with additional information about our COVID-19 Focus available as a Data Note Paper </w:t>
      </w:r>
      <w:r>
        <w:rPr>
          <w:bdr w:val="none" w:sz="0" w:space="0" w:color="auto" w:frame="1"/>
          <w:shd w:val="clear" w:color="auto" w:fill="FFFFFF"/>
          <w:lang w:val="en-US"/>
        </w:rPr>
        <w:fldChar w:fldCharType="begin"/>
      </w:r>
      <w:r>
        <w:rPr>
          <w:bdr w:val="none" w:sz="0" w:space="0" w:color="auto" w:frame="1"/>
          <w:shd w:val="clear" w:color="auto" w:fill="FFFFFF"/>
          <w:lang w:val="en-US"/>
        </w:rPr>
        <w:instrText xml:space="preserve"> ADDIN ZOTERO_ITEM CSL_CITATION {"citationID":"16jYIt5e","properties":{"formattedCitation":"(Lee {\\i{}et al.}, 2021)","plainCitation":"(Lee et al., 2021)","noteIndex":0},"citationItems":[{"id":763,"uris":["http://zotero.org/users/5824917/items/89DIWCIE"],"itemData":{"id":763,"type":"article-journal","abstract":"Background:\n              New data collection in established longitudinal population studies provides an opportunity for studying the risk factors and sequelae of the novel coronavirus disease 2019 (COVID-19), plus the indirect impacts of the COVID-19 pandemic on wellbeing. The Extended Cohort for E-health, Environment and DNA (EXCEED) cohort is a population-based cohort (N&gt;11,000), recruited from 2013 in Leicester, Leicestershire and Rutland. EXCEED includes consent for electronic healthcare record (EHR) linkage, spirometry, genomic data, and questionnaire data.\n            \n            \n              Methods:\n              Between May 2020 and July 2021, a new questionnaire was deployed in EXCEED, which captured COVID-19 symptoms, general physical and mental health, plus socioeconomic and environmental factors during the pandemic. An online system was developed to invite new participants to join EXCEED, with informed consent being provided online. New and existing participants then completed the COVID-19 questionnaire online. A subset of the new questionnaire respondents were invited to participate in COVID-19 serology substudies, using home antibody testing kits.\n            \n            \n              Results:\n              In total, 3,693 participants provided COVID-19 infection status (median age 62.9 (IQR 54.7-69.2), 58.9% female). Trends of monthly incidence proportions of COVID-19 in EXCEED (self-report or symptom-predicted) approximated local and national figures. Regression analysis of 2,768 participants with linked EHR data showed no obvious monotonic relationship between number of chronic diseases (of 16 pre-specified diseases) and COVID-19 infection. There were 2,144 participants with valid results from a kit allowing differentiation between antibodies due to vaccination or infection. Of these, 8.5% had results consistent with previous COVID-19 infection, and 85.9% had evidence of COVID-19 vaccination, but without evidence of infection.\n            \n            \n              Conclusions:\n              Enriching EXCEED with a new COVID-19 questionnaire and serology data may improve understanding of the risk factors, clinical sequelae and broader impacts of the COVID-19 pandemic in the general population. Controlled access to these data for bona fide researchers is via application to the EXCEED study.","container-title":"Wellcome Open Research","DOI":"10.12688/wellcomeopenres.17437.1","ISSN":"2398-502X","journalAbbreviation":"Wellcome Open Res","language":"en","page":"349","source":"DOI.org (Crossref)","title":"Extended Cohort for E-health, Environment and DNA (EXCEED) COVID-19 focus","volume":"6","author":[{"family":"Lee","given":"Paul H."},{"family":"Guyatt","given":"Anna L."},{"family":"John","given":"Catherine"},{"family":"Ali","given":"Altaf"},{"family":"Wang","given":"Xueyang"},{"family":"Williams","given":"Alexander T."},{"family":"Zhao","given":"Bo"},{"family":"Batini","given":"Chiara"},{"family":"Bee","given":"Catherine"},{"family":"Adams","given":"Emma"},{"family":"Melbourne","given":"Carl A."},{"family":"Brightling","given":"Christopher E."},{"family":"Hsu","given":"Ron"},{"family":"Bethea","given":"Jane"},{"family":"Reeve","given":"Nicola"},{"family":"Ntalla","given":"Ioanna"},{"family":"Terry","given":"Sarah"},{"family":"Pareek","given":"Manish"},{"family":"Brunskill","given":"Nigel J."},{"family":"Barwell","given":"Julian"},{"family":"Hollox","given":"Edward J."},{"family":"Miola","given":"Jose"},{"family":"Wallace","given":"Susan E."},{"family":"Shepherd","given":"David J."},{"family":"Packer","given":"Richard"},{"family":"Venn","given":"Laura"},{"family":"Wain","given":"Louise V."},{"family":"Free","given":"Robert C."},{"family":"Tobin","given":"Martin D."}],"issued":{"date-parts":[["2021",12,16]]},"citation-key":"leeExtendedCohortEhealth2021"}}],"schema":"https://github.com/citation-style-language/schema/raw/master/csl-citation.json"} </w:instrText>
      </w:r>
      <w:r>
        <w:rPr>
          <w:bdr w:val="none" w:sz="0" w:space="0" w:color="auto" w:frame="1"/>
          <w:shd w:val="clear" w:color="auto" w:fill="FFFFFF"/>
          <w:lang w:val="en-US"/>
        </w:rPr>
        <w:fldChar w:fldCharType="separate"/>
      </w:r>
      <w:r w:rsidRPr="005165AD">
        <w:rPr>
          <w:rFonts w:ascii="Calibri" w:hAnsi="Calibri" w:cs="Calibri"/>
          <w:szCs w:val="24"/>
        </w:rPr>
        <w:t xml:space="preserve">(Lee </w:t>
      </w:r>
      <w:r w:rsidRPr="005165AD">
        <w:rPr>
          <w:rFonts w:ascii="Calibri" w:hAnsi="Calibri" w:cs="Calibri"/>
          <w:i/>
          <w:iCs/>
          <w:szCs w:val="24"/>
        </w:rPr>
        <w:t>et al.</w:t>
      </w:r>
      <w:r w:rsidRPr="005165AD">
        <w:rPr>
          <w:rFonts w:ascii="Calibri" w:hAnsi="Calibri" w:cs="Calibri"/>
          <w:szCs w:val="24"/>
        </w:rPr>
        <w:t>, 2021)</w:t>
      </w:r>
      <w:r>
        <w:rPr>
          <w:bdr w:val="none" w:sz="0" w:space="0" w:color="auto" w:frame="1"/>
          <w:shd w:val="clear" w:color="auto" w:fill="FFFFFF"/>
          <w:lang w:val="en-US"/>
        </w:rPr>
        <w:fldChar w:fldCharType="end"/>
      </w:r>
      <w:r>
        <w:rPr>
          <w:bdr w:val="none" w:sz="0" w:space="0" w:color="auto" w:frame="1"/>
          <w:shd w:val="clear" w:color="auto" w:fill="FFFFFF"/>
          <w:lang w:val="en-US"/>
        </w:rPr>
        <w:t>.</w:t>
      </w:r>
    </w:p>
    <w:p w14:paraId="437F1543" w14:textId="77777777" w:rsidR="007A0E06" w:rsidRPr="007A0E06" w:rsidRDefault="007A0E06" w:rsidP="007A0E06"/>
    <w:p w14:paraId="6F5CA119" w14:textId="478CCFAD" w:rsidR="006B7786" w:rsidRPr="00CD2539" w:rsidRDefault="006B7786" w:rsidP="006B7786">
      <w:pPr>
        <w:pStyle w:val="Heading2"/>
      </w:pPr>
      <w:bookmarkStart w:id="5" w:name="_Toc112271552"/>
      <w:r>
        <w:t xml:space="preserve">Replication: </w:t>
      </w:r>
      <w:r w:rsidRPr="00CD2539">
        <w:t>Defining sputum phenotype using primary care data in UK Biobank</w:t>
      </w:r>
      <w:bookmarkEnd w:id="5"/>
    </w:p>
    <w:p w14:paraId="5E0A6F18" w14:textId="77777777" w:rsidR="006B7786" w:rsidRPr="00CD2539" w:rsidRDefault="006B7786" w:rsidP="006B7786">
      <w:pPr>
        <w:rPr>
          <w:rFonts w:cstheme="minorHAnsi"/>
        </w:rPr>
      </w:pPr>
      <w:r>
        <w:rPr>
          <w:rFonts w:cstheme="minorHAnsi"/>
        </w:rPr>
        <w:t>We evaluated whether primary care codes for sputum production could be used to define an independent case-control dataset within UK Biobank for replication of our discovery GWAS. To do this, we first</w:t>
      </w:r>
      <w:r w:rsidRPr="00CD2539">
        <w:rPr>
          <w:rFonts w:cstheme="minorHAnsi"/>
        </w:rPr>
        <w:t xml:space="preserve"> evaluated the </w:t>
      </w:r>
      <w:r>
        <w:rPr>
          <w:rFonts w:cstheme="minorHAnsi"/>
        </w:rPr>
        <w:t>overlap of R</w:t>
      </w:r>
      <w:r w:rsidRPr="00CD2539">
        <w:rPr>
          <w:rFonts w:cstheme="minorHAnsi"/>
        </w:rPr>
        <w:t>ead v3 codes for sputum (</w:t>
      </w:r>
      <w:r>
        <w:rPr>
          <w:rFonts w:cstheme="minorHAnsi"/>
        </w:rPr>
        <w:t>Supplementary Table</w:t>
      </w:r>
      <w:r w:rsidRPr="00CD2539">
        <w:rPr>
          <w:rFonts w:cstheme="minorHAnsi"/>
        </w:rPr>
        <w:t xml:space="preserve"> </w:t>
      </w:r>
      <w:r>
        <w:rPr>
          <w:rFonts w:cstheme="minorHAnsi"/>
        </w:rPr>
        <w:t>12</w:t>
      </w:r>
      <w:r w:rsidRPr="00CD2539">
        <w:rPr>
          <w:rFonts w:cstheme="minorHAnsi"/>
        </w:rPr>
        <w:t xml:space="preserve">) in the available V1.0 September 2019 primary care data for the 121,283 participants </w:t>
      </w:r>
      <w:r>
        <w:rPr>
          <w:rFonts w:cstheme="minorHAnsi"/>
        </w:rPr>
        <w:t xml:space="preserve">who had answered “yes” or “no” for </w:t>
      </w:r>
      <w:r w:rsidRPr="00CD2539">
        <w:rPr>
          <w:rFonts w:cstheme="minorHAnsi"/>
        </w:rPr>
        <w:t>UK Biobank field 22504</w:t>
      </w:r>
      <w:r>
        <w:rPr>
          <w:rFonts w:cstheme="minorHAnsi"/>
        </w:rPr>
        <w:t xml:space="preserve"> (</w:t>
      </w:r>
      <w:r w:rsidRPr="00CD2539">
        <w:rPr>
          <w:rFonts w:cstheme="minorHAnsi"/>
        </w:rPr>
        <w:t>“do you bring up phlegm/sputum/mucus daily?”</w:t>
      </w:r>
      <w:r>
        <w:rPr>
          <w:rFonts w:cstheme="minorHAnsi"/>
        </w:rPr>
        <w:t>)</w:t>
      </w:r>
      <w:r w:rsidRPr="00CD2539">
        <w:rPr>
          <w:rFonts w:cstheme="minorHAnsi"/>
        </w:rPr>
        <w:t>.</w:t>
      </w:r>
      <w:r>
        <w:rPr>
          <w:rFonts w:cstheme="minorHAnsi"/>
        </w:rPr>
        <w:t xml:space="preserve"> To be deemed useful to identify new cases from the remaining participants with primary care data, we required a positive predictive value to predict a case based on primary care records to be above 80%. </w:t>
      </w:r>
    </w:p>
    <w:p w14:paraId="18179585" w14:textId="6D86D810" w:rsidR="007A0E06" w:rsidRPr="00A97E69" w:rsidRDefault="006B7786" w:rsidP="00A97E69">
      <w:pPr>
        <w:pStyle w:val="CommentText"/>
        <w:spacing w:line="276" w:lineRule="auto"/>
        <w:rPr>
          <w:rFonts w:cstheme="minorHAnsi"/>
          <w:sz w:val="22"/>
          <w:szCs w:val="22"/>
        </w:rPr>
      </w:pPr>
      <w:r w:rsidRPr="00B94FDE">
        <w:rPr>
          <w:sz w:val="22"/>
          <w:szCs w:val="22"/>
        </w:rPr>
        <w:t>Presence of one or more sputum codes had a P</w:t>
      </w:r>
      <w:r>
        <w:rPr>
          <w:sz w:val="22"/>
          <w:szCs w:val="22"/>
        </w:rPr>
        <w:t xml:space="preserve">ositive </w:t>
      </w:r>
      <w:r w:rsidRPr="00B94FDE">
        <w:rPr>
          <w:sz w:val="22"/>
          <w:szCs w:val="22"/>
        </w:rPr>
        <w:t>P</w:t>
      </w:r>
      <w:r>
        <w:rPr>
          <w:sz w:val="22"/>
          <w:szCs w:val="22"/>
        </w:rPr>
        <w:t xml:space="preserve">redictive </w:t>
      </w:r>
      <w:r w:rsidRPr="00B94FDE">
        <w:rPr>
          <w:sz w:val="22"/>
          <w:szCs w:val="22"/>
        </w:rPr>
        <w:t>V</w:t>
      </w:r>
      <w:r>
        <w:rPr>
          <w:sz w:val="22"/>
          <w:szCs w:val="22"/>
        </w:rPr>
        <w:t>alue (PPV)</w:t>
      </w:r>
      <w:r w:rsidRPr="00B94FDE">
        <w:rPr>
          <w:sz w:val="22"/>
          <w:szCs w:val="22"/>
        </w:rPr>
        <w:t xml:space="preserve"> of </w:t>
      </w:r>
      <w:r>
        <w:rPr>
          <w:sz w:val="22"/>
          <w:szCs w:val="22"/>
        </w:rPr>
        <w:t>29</w:t>
      </w:r>
      <w:r w:rsidRPr="00B94FDE">
        <w:rPr>
          <w:sz w:val="22"/>
          <w:szCs w:val="22"/>
        </w:rPr>
        <w:t>% (</w:t>
      </w:r>
      <w:r w:rsidRPr="00B94FDE">
        <w:rPr>
          <w:rFonts w:cstheme="minorHAnsi"/>
          <w:sz w:val="22"/>
          <w:szCs w:val="22"/>
        </w:rPr>
        <w:t xml:space="preserve">7.9% of cases and 1.9% of controls had one or more </w:t>
      </w:r>
      <w:r>
        <w:rPr>
          <w:rFonts w:cstheme="minorHAnsi"/>
          <w:sz w:val="22"/>
          <w:szCs w:val="22"/>
        </w:rPr>
        <w:t>R</w:t>
      </w:r>
      <w:r w:rsidRPr="00B94FDE">
        <w:rPr>
          <w:rFonts w:cstheme="minorHAnsi"/>
          <w:sz w:val="22"/>
          <w:szCs w:val="22"/>
        </w:rPr>
        <w:t>ead codes indicative of sputum production)</w:t>
      </w:r>
      <w:r>
        <w:rPr>
          <w:rFonts w:cstheme="minorHAnsi"/>
          <w:sz w:val="22"/>
          <w:szCs w:val="22"/>
        </w:rPr>
        <w:t>. This is unlikely to change with the release of additional UK Biobank primary care data and this we concluded that we</w:t>
      </w:r>
      <w:r w:rsidRPr="00B94FDE">
        <w:rPr>
          <w:sz w:val="22"/>
          <w:szCs w:val="22"/>
        </w:rPr>
        <w:t xml:space="preserve"> were unable to use primary care data in UK Biobank to define an independent replication dataset.</w:t>
      </w:r>
    </w:p>
    <w:p w14:paraId="4241B4A9" w14:textId="7E7CE2D9" w:rsidR="006F704B" w:rsidRDefault="006B7786" w:rsidP="006F704B">
      <w:pPr>
        <w:pStyle w:val="Heading2"/>
      </w:pPr>
      <w:bookmarkStart w:id="6" w:name="_Toc112271553"/>
      <w:r>
        <w:lastRenderedPageBreak/>
        <w:t>Associations with other phenotypes: chronic cough and chronic bronchitis</w:t>
      </w:r>
      <w:bookmarkEnd w:id="6"/>
    </w:p>
    <w:p w14:paraId="76187DB6" w14:textId="48A74DDA" w:rsidR="00A97E69" w:rsidRDefault="006F704B" w:rsidP="00A97E69">
      <w:pPr>
        <w:rPr>
          <w:rFonts w:cstheme="minorHAnsi"/>
        </w:rPr>
      </w:pPr>
      <w:r w:rsidRPr="00A97E69">
        <w:t xml:space="preserve">We defined four phenotypes using UK Biobank data for association analysis with the sentinel variants. We defined cough and chronic bronchitis phenotypes selecting cases as those answering yes and controls answering no to the following UK Biobank </w:t>
      </w:r>
      <w:r w:rsidR="00F809D7" w:rsidRPr="00A97E69">
        <w:t>data-</w:t>
      </w:r>
      <w:r w:rsidRPr="00A97E69">
        <w:t>field</w:t>
      </w:r>
      <w:r w:rsidR="00F809D7" w:rsidRPr="00A97E69">
        <w:t>s</w:t>
      </w:r>
      <w:r w:rsidRPr="00A97E69">
        <w:t>, 22502 (cough) 22124 (chronic bronchitis).</w:t>
      </w:r>
      <w:r w:rsidR="00F809D7" w:rsidRPr="00A97E69">
        <w:t xml:space="preserve"> All phenotypes were limited to European ancestry using the same methods as the primary analysis, association with cough and chronic bronchitis used the same covariates as the primary analysis</w:t>
      </w:r>
      <w:r w:rsidR="003F16C5" w:rsidRPr="00A97E69">
        <w:t>,</w:t>
      </w:r>
      <w:r w:rsidR="00F809D7" w:rsidRPr="00A97E69">
        <w:t xml:space="preserve"> </w:t>
      </w:r>
      <w:r w:rsidR="003F16C5" w:rsidRPr="00A97E69">
        <w:t>a</w:t>
      </w:r>
      <w:r w:rsidR="00F809D7" w:rsidRPr="00A97E69">
        <w:t>ll association analyses were run in PLINK</w:t>
      </w:r>
      <w:r w:rsidR="00A50837" w:rsidRPr="00A97E69">
        <w:t xml:space="preserve"> </w:t>
      </w:r>
      <w:r w:rsidR="00F809D7" w:rsidRPr="00A97E69">
        <w:t>2</w:t>
      </w:r>
      <w:r w:rsidR="00A50837" w:rsidRPr="00A97E69">
        <w:t xml:space="preserve">.0 </w:t>
      </w:r>
      <w:r w:rsidR="00A50837" w:rsidRPr="00A97E69">
        <w:fldChar w:fldCharType="begin"/>
      </w:r>
      <w:r w:rsidR="00A50837" w:rsidRPr="00A97E69">
        <w:instrText xml:space="preserve"> ADDIN ZOTERO_ITEM CSL_CITATION {"citationID":"henxpPZy","properties":{"formattedCitation":"(Chang {\\i{}et al.}, 2015)","plainCitation":"(Chang et al., 2015)","noteIndex":0},"citationItems":[{"id":15,"uris":["http://zotero.org/users/5824917/items/I59T2WHS"],"itemData":{"id":15,"type":"article-journal","container-title":"GigaScience","DOI":"10.1186/s13742-015-0047-8","ISSN":"2047-217X","issue":"1","journalAbbreviation":"GigaSci","language":"en","page":"7","source":"DOI.org (Crossref)","title":"Second-generation PLINK: rising to the challenge of larger and richer datasets","title-short":"Second-generation PLINK","volume":"4","author":[{"family":"Chang","given":"Christopher C"},{"family":"Chow","given":"Carson C"},{"family":"Tellier","given":"Laurent CAM"},{"family":"Vattikuti","given":"Shashaank"},{"family":"Purcell","given":"Shaun M"},{"family":"Lee","given":"James J"}],"issued":{"date-parts":[["2015",12]]},"citation-key":"changSecondgenerationPLINKRising2015"}}],"schema":"https://github.com/citation-style-language/schema/raw/master/csl-citation.json"} </w:instrText>
      </w:r>
      <w:r w:rsidR="00A50837" w:rsidRPr="00A97E69">
        <w:fldChar w:fldCharType="separate"/>
      </w:r>
      <w:r w:rsidR="00A50837" w:rsidRPr="00A97E69">
        <w:t>(Chang et al., 2015)</w:t>
      </w:r>
      <w:r w:rsidR="00A50837" w:rsidRPr="00A97E69">
        <w:fldChar w:fldCharType="end"/>
      </w:r>
      <w:r w:rsidR="00F809D7">
        <w:rPr>
          <w:rFonts w:cstheme="minorHAnsi"/>
        </w:rPr>
        <w:t>.</w:t>
      </w:r>
    </w:p>
    <w:p w14:paraId="26C89878" w14:textId="413DACBC" w:rsidR="003D363A" w:rsidRPr="00BF1DEC" w:rsidRDefault="006B7786" w:rsidP="007A7DF4">
      <w:pPr>
        <w:pStyle w:val="Heading2"/>
      </w:pPr>
      <w:bookmarkStart w:id="7" w:name="_Toc112271554"/>
      <w:r>
        <w:t xml:space="preserve">Associations with other phenotypes: </w:t>
      </w:r>
      <w:r w:rsidR="003D363A" w:rsidRPr="00BF1DEC">
        <w:t>PheWAS analysis</w:t>
      </w:r>
      <w:bookmarkEnd w:id="7"/>
    </w:p>
    <w:p w14:paraId="788DF6CD" w14:textId="16329170" w:rsidR="003D363A" w:rsidRDefault="003D363A" w:rsidP="003D363A">
      <w:r w:rsidRPr="00597AC5">
        <w:t xml:space="preserve">Traits included UK Biobank baseline measures (from questionnaires and physical measures), self-reported medication usage, and operative procedures, as well as those captured in Office of Population Censuses and Surveys codes from the electronic health record. We also included self-reported disease variables and those from hospital episode statistics (ICD-10 codes truncated to three-character codes and combined in block and chapter groups), combining these where possible to maximize power. </w:t>
      </w:r>
      <w:r w:rsidR="00F12098">
        <w:t xml:space="preserve">A total of </w:t>
      </w:r>
      <w:r>
        <w:t>2</w:t>
      </w:r>
      <w:r w:rsidR="009F6AE8">
        <w:t>,</w:t>
      </w:r>
      <w:r>
        <w:t>150 t</w:t>
      </w:r>
      <w:r w:rsidRPr="00597AC5">
        <w:t>raits</w:t>
      </w:r>
      <w:r>
        <w:t xml:space="preserve"> were defined with </w:t>
      </w:r>
      <w:r w:rsidRPr="00597AC5">
        <w:t>&gt;200 cases</w:t>
      </w:r>
      <w:r>
        <w:t xml:space="preserve"> and</w:t>
      </w:r>
      <w:r w:rsidRPr="00597AC5">
        <w:t xml:space="preserve"> were included</w:t>
      </w:r>
      <w:r>
        <w:t xml:space="preserve"> for analysis.</w:t>
      </w:r>
      <w:r w:rsidRPr="00597AC5">
        <w:t xml:space="preserve"> Analyses were conducted in unrelated European-ancestry individuals (KING kinship coefficient &lt; 0.0442), and </w:t>
      </w:r>
      <w:r w:rsidRPr="00C8598B">
        <w:t xml:space="preserve">were adjusted for age, sex, genotyping array and first ten principal components. Logistic and linear models were fitted for binary and quantitative outcomes, respectively. </w:t>
      </w:r>
      <w:r w:rsidRPr="00C8598B">
        <w:rPr>
          <w:rFonts w:ascii="Calibri" w:hAnsi="Calibri" w:cs="Calibri"/>
          <w:bdr w:val="none" w:sz="0" w:space="0" w:color="auto" w:frame="1"/>
          <w:shd w:val="clear" w:color="auto" w:fill="FFFFFF"/>
          <w:lang w:val="en-US"/>
        </w:rPr>
        <w:t xml:space="preserve">Biomarker measurements were adjusted for statins according to the ‘Statin identification and LDL adjustment’ methods described by Sinnott-Armstrong 2019 </w:t>
      </w:r>
      <w:r w:rsidRPr="00C8598B">
        <w:rPr>
          <w:rFonts w:ascii="Calibri" w:hAnsi="Calibri" w:cs="Calibri"/>
          <w:bdr w:val="none" w:sz="0" w:space="0" w:color="auto" w:frame="1"/>
          <w:shd w:val="clear" w:color="auto" w:fill="FFFFFF"/>
          <w:lang w:val="en-US"/>
        </w:rPr>
        <w:fldChar w:fldCharType="begin"/>
      </w:r>
      <w:r w:rsidR="00D40756">
        <w:rPr>
          <w:rFonts w:ascii="Calibri" w:hAnsi="Calibri" w:cs="Calibri"/>
          <w:bdr w:val="none" w:sz="0" w:space="0" w:color="auto" w:frame="1"/>
          <w:shd w:val="clear" w:color="auto" w:fill="FFFFFF"/>
          <w:lang w:val="en-US"/>
        </w:rPr>
        <w:instrText xml:space="preserve"> ADDIN ZOTERO_ITEM CSL_CITATION {"citationID":"6JT7MGVK","properties":{"formattedCitation":"(Sinnott-Armstrong {\\i{}et al.}, 2021)","plainCitation":"(Sinnott-Armstrong et al., 2021)","noteIndex":0},"citationItems":[{"id":520,"uris":["http://zotero.org/users/5824917/items/TBCMEMS2"],"itemData":{"id":520,"type":"article-journal","container-title":"Nature Genetics","DOI":"10.1038/s41588-020-00757-z","ISSN":"1061-4036, 1546-1718","issue":"2","journalAbbreviation":"Nat Genet","language":"en","page":"185-194","source":"DOI.org (Crossref)","title":"Genetics of 35 blood and urine biomarkers in the UK Biobank","volume":"53","author":[{"family":"Sinnott-Armstrong","given":"Nasa"},{"family":"Tanigawa","given":"Yosuke"},{"family":"Amar","given":"David"},{"family":"Mars","given":"Nina"},{"family":"Benner","given":"Christian"},{"family":"Aguirre","given":"Matthew"},{"family":"Venkataraman","given":"Guhan Ram"},{"family":"Wainberg","given":"Michael"},{"family":"Ollila","given":"Hanna M."},{"family":"Kiiskinen","given":"Tuomo"},{"family":"Havulinna","given":"Aki S."},{"family":"Pirruccello","given":"James P."},{"family":"Qian","given":"Junyang"},{"family":"Shcherbina","given":"Anna"},{"family":"Rodriguez","given":"Fatima"},{"family":"Assimes","given":"Themistocles L."},{"family":"Agarwala","given":"Vineeta"},{"family":"Tibshirani","given":"Robert"},{"family":"Hastie","given":"Trevor"},{"family":"Ripatti","given":"Samuli"},{"family":"Pritchard","given":"Jonathan K."},{"family":"Daly","given":"Mark J."},{"family":"Rivas","given":"Manuel A."}],"issued":{"date-parts":[["2021",2]]},"citation-key":"sinnott-armstrongGenetics35Blood2021"}}],"schema":"https://github.com/citation-style-language/schema/raw/master/csl-citation.json"} </w:instrText>
      </w:r>
      <w:r w:rsidRPr="00C8598B">
        <w:rPr>
          <w:rFonts w:ascii="Calibri" w:hAnsi="Calibri" w:cs="Calibri"/>
          <w:bdr w:val="none" w:sz="0" w:space="0" w:color="auto" w:frame="1"/>
          <w:shd w:val="clear" w:color="auto" w:fill="FFFFFF"/>
          <w:lang w:val="en-US"/>
        </w:rPr>
        <w:fldChar w:fldCharType="separate"/>
      </w:r>
      <w:r w:rsidR="00D40756" w:rsidRPr="00D40756">
        <w:rPr>
          <w:rFonts w:ascii="Calibri" w:hAnsi="Calibri" w:cs="Calibri"/>
          <w:szCs w:val="24"/>
        </w:rPr>
        <w:t xml:space="preserve">(Sinnott-Armstrong </w:t>
      </w:r>
      <w:r w:rsidR="00D40756" w:rsidRPr="00D40756">
        <w:rPr>
          <w:rFonts w:ascii="Calibri" w:hAnsi="Calibri" w:cs="Calibri"/>
          <w:i/>
          <w:iCs/>
          <w:szCs w:val="24"/>
        </w:rPr>
        <w:t>et al.</w:t>
      </w:r>
      <w:r w:rsidR="00D40756" w:rsidRPr="00D40756">
        <w:rPr>
          <w:rFonts w:ascii="Calibri" w:hAnsi="Calibri" w:cs="Calibri"/>
          <w:szCs w:val="24"/>
        </w:rPr>
        <w:t>, 2021)</w:t>
      </w:r>
      <w:r w:rsidRPr="00C8598B">
        <w:rPr>
          <w:rFonts w:ascii="Calibri" w:hAnsi="Calibri" w:cs="Calibri"/>
          <w:bdr w:val="none" w:sz="0" w:space="0" w:color="auto" w:frame="1"/>
          <w:shd w:val="clear" w:color="auto" w:fill="FFFFFF"/>
          <w:lang w:val="en-US"/>
        </w:rPr>
        <w:fldChar w:fldCharType="end"/>
      </w:r>
      <w:r w:rsidRPr="00C8598B">
        <w:rPr>
          <w:rFonts w:ascii="Calibri" w:hAnsi="Calibri" w:cs="Calibri"/>
          <w:bdr w:val="none" w:sz="0" w:space="0" w:color="auto" w:frame="1"/>
          <w:shd w:val="clear" w:color="auto" w:fill="FFFFFF"/>
          <w:lang w:val="en-US"/>
        </w:rPr>
        <w:t xml:space="preserve">.  Statin-adjusted phenotype values were further adjusted (in </w:t>
      </w:r>
      <w:proofErr w:type="spellStart"/>
      <w:r w:rsidRPr="00C8598B">
        <w:rPr>
          <w:rFonts w:ascii="Calibri" w:hAnsi="Calibri" w:cs="Calibri"/>
          <w:bdr w:val="none" w:sz="0" w:space="0" w:color="auto" w:frame="1"/>
          <w:shd w:val="clear" w:color="auto" w:fill="FFFFFF"/>
          <w:lang w:val="en-US"/>
        </w:rPr>
        <w:t>residualization</w:t>
      </w:r>
      <w:proofErr w:type="spellEnd"/>
      <w:r w:rsidRPr="00C8598B">
        <w:rPr>
          <w:rFonts w:ascii="Calibri" w:hAnsi="Calibri" w:cs="Calibri"/>
          <w:bdr w:val="none" w:sz="0" w:space="0" w:color="auto" w:frame="1"/>
          <w:shd w:val="clear" w:color="auto" w:fill="FFFFFF"/>
          <w:lang w:val="en-US"/>
        </w:rPr>
        <w:t>) for age at assessment center visit, genetic sex, genotyping array, fasting time, sample dilution factor, socio-economic status indicator, blood sample hour, and urine sample hour with assessment center as a random effect.  We then conducted rank-based inverse normal transformation of these residuals.  The rank-based inverse-normal transformed residuals were used as inputs for our GWAS linear regression in Hail.</w:t>
      </w:r>
      <w:r w:rsidRPr="00C8598B">
        <w:t xml:space="preserve"> False discovery rate (FDR) was calculated using the Benjamin H method </w:t>
      </w:r>
      <w:r w:rsidRPr="00C8598B">
        <w:fldChar w:fldCharType="begin"/>
      </w:r>
      <w:r w:rsidR="00D40756">
        <w:instrText xml:space="preserve"> ADDIN ZOTERO_ITEM CSL_CITATION {"citationID":"OMkJsgnU","properties":{"formattedCitation":"(Benjamini and Hochberg, 1995)","plainCitation":"(Benjamini and Hochberg, 1995)","noteIndex":0},"citationItems":[{"id":131,"uris":["http://zotero.org/users/5824917/items/NUSM798C"],"itemData":{"id":131,"type":"article-journal","container-title":"Journal of the Royal Statistical Society: Series B (Methodological)","DOI":"10.1111/j.2517-6161.1995.tb02031.x","ISSN":"00359246","issue":"1","journalAbbreviation":"Journal of the Royal Statistical Society: Series B (Methodological)","language":"en","page":"289-300","source":"DOI.org (Crossref)","title":"Controlling the False Discovery Rate: A Practical and Powerful Approach to Multiple Testing","title-short":"Controlling the False Discovery Rate","volume":"57","author":[{"family":"Benjamini","given":"Yoav"},{"family":"Hochberg","given":"Yosef"}],"issued":{"date-parts":[["1995",1]]},"citation-key":"benjaminiControllingFalseDiscovery1995"}}],"schema":"https://github.com/citation-style-language/schema/raw/master/csl-citation.json"} </w:instrText>
      </w:r>
      <w:r w:rsidRPr="00C8598B">
        <w:fldChar w:fldCharType="separate"/>
      </w:r>
      <w:r w:rsidR="00D40756" w:rsidRPr="00D40756">
        <w:rPr>
          <w:rFonts w:ascii="Calibri" w:hAnsi="Calibri" w:cs="Calibri"/>
        </w:rPr>
        <w:t>(Benjamini and Hochberg, 1995)</w:t>
      </w:r>
      <w:r w:rsidRPr="00C8598B">
        <w:fldChar w:fldCharType="end"/>
      </w:r>
      <w:r w:rsidRPr="00C8598B">
        <w:t xml:space="preserve"> adjust</w:t>
      </w:r>
      <w:r>
        <w:t>ing for the 2</w:t>
      </w:r>
      <w:r w:rsidR="009F6AE8">
        <w:t>,</w:t>
      </w:r>
      <w:r>
        <w:t>172 traits tested. A</w:t>
      </w:r>
      <w:r w:rsidRPr="00C8598B">
        <w:t>ssociations with a FDR &lt;0.05 are reported.</w:t>
      </w:r>
    </w:p>
    <w:p w14:paraId="07B01A6B" w14:textId="14465666" w:rsidR="00D40756" w:rsidRDefault="00D40756" w:rsidP="00D40756">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rPr>
        <w:t>To test association with the HLA allele we used, Deep</w:t>
      </w:r>
      <w:r>
        <w:rPr>
          <w:rStyle w:val="findhit"/>
          <w:rFonts w:ascii="Calibri" w:hAnsi="Calibri" w:cs="Calibri"/>
          <w:sz w:val="22"/>
          <w:szCs w:val="22"/>
        </w:rPr>
        <w:t>PheWAS</w:t>
      </w:r>
      <w:r>
        <w:rPr>
          <w:rStyle w:val="normaltextrun"/>
          <w:rFonts w:ascii="Calibri" w:hAnsi="Calibri" w:cs="Calibri"/>
          <w:sz w:val="22"/>
          <w:szCs w:val="22"/>
        </w:rPr>
        <w:t xml:space="preserve"> </w:t>
      </w:r>
      <w:r>
        <w:rPr>
          <w:rStyle w:val="normaltextrun"/>
          <w:rFonts w:ascii="Calibri" w:hAnsi="Calibri" w:cs="Calibri"/>
          <w:sz w:val="22"/>
          <w:szCs w:val="22"/>
        </w:rPr>
        <w:fldChar w:fldCharType="begin"/>
      </w:r>
      <w:r>
        <w:rPr>
          <w:rStyle w:val="normaltextrun"/>
          <w:rFonts w:ascii="Calibri" w:hAnsi="Calibri" w:cs="Calibri"/>
          <w:sz w:val="22"/>
          <w:szCs w:val="22"/>
        </w:rPr>
        <w:instrText xml:space="preserve"> ADDIN ZOTERO_ITEM CSL_CITATION {"citationID":"LvXl3btE","properties":{"formattedCitation":"(Packer {\\i{}et al.}, 2022)","plainCitation":"(Packer et al., 2022)","noteIndex":0},"citationItems":[{"id":722,"uris":["http://zotero.org/users/5824917/items/58GYJNEQ"],"itemData":{"id":722,"type":"report","abstract":"Abstract\n          \n            Summary\n            Deep-PheWAS is a platform for phenome wide association studies that creates clinically-curated composite phenotypes, and integrates quantitative phenotypes from primary care data, longitudinal trajectories of quantitative measures, disease progression, and drug response phenotypes. Tools are provided for efficient analysis of association with any genetic input, under any genetic model, with optional sex-stratified analysis, and for developing novel phenotypes.\n          \n          \n            Availability and Implementation\n            \n              The Deep-PheWAS pipeline is freely available under GNU general public licence v3.0 at\n              https://github.com/Richard-Packer/Deep-PheWAS\n              .\n            \n          \n          \n            Contact\n            \n              richard.packer@leicester.ac.uk\n            \n          \n          \n            Supplementary information\n            \n              Supplementary methods and results are available at\n              Bioinformatics\n              online.","genre":"preprint","language":"en","note":"DOI: 10.1101/2022.05.05.22274419","publisher":"Genetic and Genomic Medicine","source":"DOI.org (Crossref)","title":"Deep-PheWAS: a pipeline for phenotype generation and association analysis for phenome-wide association studies","title-short":"Deep-PheWAS","URL":"http://medrxiv.org/lookup/doi/10.1101/2022.05.05.22274419","author":[{"family":"Packer","given":"R"},{"family":"Williams","given":"At"},{"family":"Hennah","given":"W"},{"family":"Eisenberg","given":"Mt"},{"family":"Fawcett","given":"Ka"},{"family":"Pearson","given":"W"},{"family":"Guyatt","given":"A"},{"family":"Edris","given":"A"},{"family":"Hollox","given":"Ej"},{"family":"Rao","given":"Bs"},{"family":"Bratty","given":"Jr"},{"family":"Wain","given":"Lv"},{"family":"Dudbridge","given":"F"},{"family":"Tobin","given":"Md"}],"accessed":{"date-parts":[["2022",6,14]]},"issued":{"date-parts":[["2022",5,7]]},"citation-key":"packerDeepPheWASPipelinePhenotype2022"}}],"schema":"https://github.com/citation-style-language/schema/raw/master/csl-citation.json"} </w:instrText>
      </w:r>
      <w:r>
        <w:rPr>
          <w:rStyle w:val="normaltextrun"/>
          <w:rFonts w:ascii="Calibri" w:hAnsi="Calibri" w:cs="Calibri"/>
          <w:sz w:val="22"/>
          <w:szCs w:val="22"/>
        </w:rPr>
        <w:fldChar w:fldCharType="separate"/>
      </w:r>
      <w:r w:rsidRPr="00D40756">
        <w:rPr>
          <w:rFonts w:ascii="Calibri" w:hAnsi="Calibri" w:cs="Calibri"/>
          <w:sz w:val="22"/>
        </w:rPr>
        <w:t xml:space="preserve">(Packer </w:t>
      </w:r>
      <w:r w:rsidRPr="00D40756">
        <w:rPr>
          <w:rFonts w:ascii="Calibri" w:hAnsi="Calibri" w:cs="Calibri"/>
          <w:i/>
          <w:iCs/>
          <w:sz w:val="22"/>
        </w:rPr>
        <w:t>et al.</w:t>
      </w:r>
      <w:r w:rsidRPr="00D40756">
        <w:rPr>
          <w:rFonts w:ascii="Calibri" w:hAnsi="Calibri" w:cs="Calibri"/>
          <w:sz w:val="22"/>
        </w:rPr>
        <w:t>, 2022)</w:t>
      </w:r>
      <w:r>
        <w:rPr>
          <w:rStyle w:val="normaltextrun"/>
          <w:rFonts w:ascii="Calibri" w:hAnsi="Calibri" w:cs="Calibri"/>
          <w:sz w:val="22"/>
          <w:szCs w:val="22"/>
        </w:rPr>
        <w:fldChar w:fldCharType="end"/>
      </w:r>
      <w:r>
        <w:rPr>
          <w:rStyle w:val="normaltextrun"/>
          <w:rFonts w:ascii="Calibri" w:hAnsi="Calibri" w:cs="Calibri"/>
          <w:sz w:val="22"/>
          <w:szCs w:val="22"/>
        </w:rPr>
        <w:t xml:space="preserve">. </w:t>
      </w:r>
      <w:r>
        <w:rPr>
          <w:rStyle w:val="normaltextrun"/>
          <w:rFonts w:ascii="Calibri" w:hAnsi="Calibri" w:cs="Calibri"/>
          <w:sz w:val="22"/>
          <w:szCs w:val="22"/>
          <w:shd w:val="clear" w:color="auto" w:fill="FFFFFF"/>
        </w:rPr>
        <w:t xml:space="preserve">The platform includes </w:t>
      </w:r>
      <w:r w:rsidR="00571BF2">
        <w:rPr>
          <w:rStyle w:val="normaltextrun"/>
          <w:rFonts w:ascii="Calibri" w:hAnsi="Calibri" w:cs="Calibri"/>
          <w:sz w:val="22"/>
          <w:szCs w:val="22"/>
          <w:shd w:val="clear" w:color="auto" w:fill="FFFFFF"/>
        </w:rPr>
        <w:t>2</w:t>
      </w:r>
      <w:r w:rsidR="009F6AE8">
        <w:rPr>
          <w:rStyle w:val="normaltextrun"/>
          <w:rFonts w:ascii="Calibri" w:hAnsi="Calibri" w:cs="Calibri"/>
          <w:sz w:val="22"/>
          <w:szCs w:val="22"/>
          <w:shd w:val="clear" w:color="auto" w:fill="FFFFFF"/>
        </w:rPr>
        <w:t>,</w:t>
      </w:r>
      <w:r w:rsidR="00571BF2">
        <w:rPr>
          <w:rStyle w:val="normaltextrun"/>
          <w:rFonts w:ascii="Calibri" w:hAnsi="Calibri" w:cs="Calibri"/>
          <w:sz w:val="22"/>
          <w:szCs w:val="22"/>
          <w:shd w:val="clear" w:color="auto" w:fill="FFFFFF"/>
        </w:rPr>
        <w:t>504</w:t>
      </w:r>
      <w:r>
        <w:rPr>
          <w:rStyle w:val="normaltextrun"/>
          <w:rFonts w:ascii="Calibri" w:hAnsi="Calibri" w:cs="Calibri"/>
          <w:sz w:val="22"/>
          <w:szCs w:val="22"/>
          <w:shd w:val="clear" w:color="auto" w:fill="FFFFFF"/>
        </w:rPr>
        <w:t xml:space="preserve"> phenotypes in UK Biobank, a subset of </w:t>
      </w:r>
      <w:r w:rsidR="00571BF2">
        <w:rPr>
          <w:rStyle w:val="normaltextrun"/>
          <w:rFonts w:ascii="Calibri" w:hAnsi="Calibri" w:cs="Calibri"/>
          <w:sz w:val="22"/>
          <w:szCs w:val="22"/>
          <w:shd w:val="clear" w:color="auto" w:fill="FFFFFF"/>
        </w:rPr>
        <w:t>2</w:t>
      </w:r>
      <w:r w:rsidR="009F6AE8">
        <w:rPr>
          <w:rStyle w:val="normaltextrun"/>
          <w:rFonts w:ascii="Calibri" w:hAnsi="Calibri" w:cs="Calibri"/>
          <w:sz w:val="22"/>
          <w:szCs w:val="22"/>
          <w:shd w:val="clear" w:color="auto" w:fill="FFFFFF"/>
        </w:rPr>
        <w:t>,</w:t>
      </w:r>
      <w:r w:rsidR="00571BF2">
        <w:rPr>
          <w:rStyle w:val="normaltextrun"/>
          <w:rFonts w:ascii="Calibri" w:hAnsi="Calibri" w:cs="Calibri"/>
          <w:sz w:val="22"/>
          <w:szCs w:val="22"/>
          <w:shd w:val="clear" w:color="auto" w:fill="FFFFFF"/>
        </w:rPr>
        <w:t>246</w:t>
      </w:r>
      <w:r>
        <w:rPr>
          <w:rStyle w:val="normaltextrun"/>
          <w:rFonts w:ascii="Calibri" w:hAnsi="Calibri" w:cs="Calibri"/>
          <w:sz w:val="22"/>
          <w:szCs w:val="22"/>
          <w:shd w:val="clear" w:color="auto" w:fill="FFFFFF"/>
        </w:rPr>
        <w:t xml:space="preserve"> </w:t>
      </w:r>
      <w:r w:rsidR="007E294D">
        <w:rPr>
          <w:rStyle w:val="normaltextrun"/>
          <w:rFonts w:ascii="Calibri" w:hAnsi="Calibri" w:cs="Calibri"/>
          <w:sz w:val="22"/>
          <w:szCs w:val="22"/>
          <w:shd w:val="clear" w:color="auto" w:fill="FFFFFF"/>
        </w:rPr>
        <w:t xml:space="preserve">are </w:t>
      </w:r>
      <w:r>
        <w:rPr>
          <w:rStyle w:val="normaltextrun"/>
          <w:rFonts w:ascii="Calibri" w:hAnsi="Calibri" w:cs="Calibri"/>
          <w:sz w:val="22"/>
          <w:szCs w:val="22"/>
          <w:shd w:val="clear" w:color="auto" w:fill="FFFFFF"/>
        </w:rPr>
        <w:t>recommend</w:t>
      </w:r>
      <w:r w:rsidR="007E294D">
        <w:rPr>
          <w:rStyle w:val="normaltextrun"/>
          <w:rFonts w:ascii="Calibri" w:hAnsi="Calibri" w:cs="Calibri"/>
          <w:sz w:val="22"/>
          <w:szCs w:val="22"/>
          <w:shd w:val="clear" w:color="auto" w:fill="FFFFFF"/>
        </w:rPr>
        <w:t>ed</w:t>
      </w:r>
      <w:r>
        <w:rPr>
          <w:rStyle w:val="normaltextrun"/>
          <w:rFonts w:ascii="Calibri" w:hAnsi="Calibri" w:cs="Calibri"/>
          <w:sz w:val="22"/>
          <w:szCs w:val="22"/>
          <w:shd w:val="clear" w:color="auto" w:fill="FFFFFF"/>
        </w:rPr>
        <w:t xml:space="preserve"> for association testing. Deep </w:t>
      </w:r>
      <w:r>
        <w:rPr>
          <w:rStyle w:val="findhit"/>
          <w:rFonts w:ascii="Calibri" w:hAnsi="Calibri" w:cs="Calibri"/>
          <w:sz w:val="22"/>
          <w:szCs w:val="22"/>
          <w:shd w:val="clear" w:color="auto" w:fill="FFFFFF"/>
        </w:rPr>
        <w:t>PheWAS</w:t>
      </w:r>
      <w:r>
        <w:rPr>
          <w:rStyle w:val="normaltextrun"/>
          <w:rFonts w:ascii="Calibri" w:hAnsi="Calibri" w:cs="Calibri"/>
          <w:sz w:val="22"/>
          <w:szCs w:val="22"/>
          <w:shd w:val="clear" w:color="auto" w:fill="FFFFFF"/>
        </w:rPr>
        <w:t xml:space="preserve"> then filters these requiring a minimum case number, we chose to keep the default settings of 50 case minimum for binary phenotypes and a 100-case minimum for quantitative phenotypes. After limiting to European ancestry</w:t>
      </w:r>
      <w:r w:rsidR="00366F4B">
        <w:rPr>
          <w:rStyle w:val="normaltextrun"/>
          <w:rFonts w:ascii="Calibri" w:hAnsi="Calibri" w:cs="Calibri"/>
          <w:sz w:val="22"/>
          <w:szCs w:val="22"/>
          <w:shd w:val="clear" w:color="auto" w:fill="FFFFFF"/>
        </w:rPr>
        <w:t>,</w:t>
      </w:r>
      <w:r>
        <w:rPr>
          <w:rStyle w:val="normaltextrun"/>
          <w:rFonts w:ascii="Calibri" w:hAnsi="Calibri" w:cs="Calibri"/>
          <w:sz w:val="22"/>
          <w:szCs w:val="22"/>
          <w:shd w:val="clear" w:color="auto" w:fill="FFFFFF"/>
        </w:rPr>
        <w:t xml:space="preserve"> filtering for case numbers</w:t>
      </w:r>
      <w:r w:rsidR="00366F4B">
        <w:rPr>
          <w:rStyle w:val="normaltextrun"/>
          <w:rFonts w:ascii="Calibri" w:hAnsi="Calibri" w:cs="Calibri"/>
          <w:sz w:val="22"/>
          <w:szCs w:val="22"/>
          <w:shd w:val="clear" w:color="auto" w:fill="FFFFFF"/>
        </w:rPr>
        <w:t xml:space="preserve"> and removing related pairs (KING kinship coefficient &gt;=0.0884)</w:t>
      </w:r>
      <w:r>
        <w:rPr>
          <w:rStyle w:val="normaltextrun"/>
          <w:rFonts w:ascii="Calibri" w:hAnsi="Calibri" w:cs="Calibri"/>
          <w:sz w:val="22"/>
          <w:szCs w:val="22"/>
          <w:shd w:val="clear" w:color="auto" w:fill="FFFFFF"/>
        </w:rPr>
        <w:t xml:space="preserve"> this left 1</w:t>
      </w:r>
      <w:r w:rsidR="009F6AE8">
        <w:rPr>
          <w:rStyle w:val="normaltextrun"/>
          <w:rFonts w:ascii="Calibri" w:hAnsi="Calibri" w:cs="Calibri"/>
          <w:sz w:val="22"/>
          <w:szCs w:val="22"/>
          <w:shd w:val="clear" w:color="auto" w:fill="FFFFFF"/>
        </w:rPr>
        <w:t>,</w:t>
      </w:r>
      <w:r>
        <w:rPr>
          <w:rStyle w:val="normaltextrun"/>
          <w:rFonts w:ascii="Calibri" w:hAnsi="Calibri" w:cs="Calibri"/>
          <w:sz w:val="22"/>
          <w:szCs w:val="22"/>
          <w:shd w:val="clear" w:color="auto" w:fill="FFFFFF"/>
        </w:rPr>
        <w:t>90</w:t>
      </w:r>
      <w:r w:rsidR="00366F4B">
        <w:rPr>
          <w:rStyle w:val="normaltextrun"/>
          <w:rFonts w:ascii="Calibri" w:hAnsi="Calibri" w:cs="Calibri"/>
          <w:sz w:val="22"/>
          <w:szCs w:val="22"/>
          <w:shd w:val="clear" w:color="auto" w:fill="FFFFFF"/>
        </w:rPr>
        <w:t>7</w:t>
      </w:r>
      <w:r>
        <w:rPr>
          <w:rStyle w:val="normaltextrun"/>
          <w:rFonts w:ascii="Calibri" w:hAnsi="Calibri" w:cs="Calibri"/>
          <w:sz w:val="22"/>
          <w:szCs w:val="22"/>
          <w:shd w:val="clear" w:color="auto" w:fill="FFFFFF"/>
        </w:rPr>
        <w:t xml:space="preserve"> phenotypes for association analysis. </w:t>
      </w:r>
    </w:p>
    <w:p w14:paraId="76B085B5" w14:textId="77777777" w:rsidR="000D0E07" w:rsidRDefault="000D0E07" w:rsidP="00472359">
      <w:pPr>
        <w:pStyle w:val="Heading2"/>
      </w:pPr>
    </w:p>
    <w:p w14:paraId="57A878B8" w14:textId="10DF5983" w:rsidR="00472359" w:rsidRPr="00472359" w:rsidRDefault="005165AD" w:rsidP="005165AD">
      <w:pPr>
        <w:pStyle w:val="Heading2"/>
      </w:pPr>
      <w:bookmarkStart w:id="8" w:name="_Toc112271555"/>
      <w:r>
        <w:t>References</w:t>
      </w:r>
      <w:bookmarkEnd w:id="8"/>
    </w:p>
    <w:p w14:paraId="6EDCF0F4" w14:textId="77777777" w:rsidR="005165AD" w:rsidRPr="005165AD" w:rsidRDefault="003D363A" w:rsidP="005165AD">
      <w:pPr>
        <w:pStyle w:val="Bibliography"/>
        <w:rPr>
          <w:rFonts w:ascii="Calibri" w:hAnsi="Calibri" w:cs="Calibri"/>
        </w:rPr>
      </w:pPr>
      <w:r>
        <w:fldChar w:fldCharType="begin"/>
      </w:r>
      <w:r w:rsidR="00A50837">
        <w:instrText xml:space="preserve"> ADDIN ZOTERO_BIBL {"uncited":[],"omitted":[],"custom":[]} CSL_BIBLIOGRAPHY </w:instrText>
      </w:r>
      <w:r>
        <w:fldChar w:fldCharType="separate"/>
      </w:r>
      <w:r w:rsidR="005165AD" w:rsidRPr="005165AD">
        <w:rPr>
          <w:rFonts w:ascii="Calibri" w:hAnsi="Calibri" w:cs="Calibri"/>
        </w:rPr>
        <w:t xml:space="preserve">Benjamini,Y. and Hochberg,Y. (1995) Controlling the False Discovery Rate: A Practical and Powerful Approach to Multiple Testing. </w:t>
      </w:r>
      <w:r w:rsidR="005165AD" w:rsidRPr="005165AD">
        <w:rPr>
          <w:rFonts w:ascii="Calibri" w:hAnsi="Calibri" w:cs="Calibri"/>
          <w:i/>
          <w:iCs/>
        </w:rPr>
        <w:t>Journal of the Royal Statistical Society: Series B (Methodological)</w:t>
      </w:r>
      <w:r w:rsidR="005165AD" w:rsidRPr="005165AD">
        <w:rPr>
          <w:rFonts w:ascii="Calibri" w:hAnsi="Calibri" w:cs="Calibri"/>
        </w:rPr>
        <w:t xml:space="preserve">, </w:t>
      </w:r>
      <w:r w:rsidR="005165AD" w:rsidRPr="005165AD">
        <w:rPr>
          <w:rFonts w:ascii="Calibri" w:hAnsi="Calibri" w:cs="Calibri"/>
          <w:b/>
          <w:bCs/>
        </w:rPr>
        <w:t>57</w:t>
      </w:r>
      <w:r w:rsidR="005165AD" w:rsidRPr="005165AD">
        <w:rPr>
          <w:rFonts w:ascii="Calibri" w:hAnsi="Calibri" w:cs="Calibri"/>
        </w:rPr>
        <w:t>, 289–300.</w:t>
      </w:r>
    </w:p>
    <w:p w14:paraId="2D14C3D7" w14:textId="77777777" w:rsidR="005165AD" w:rsidRPr="005165AD" w:rsidRDefault="005165AD" w:rsidP="005165AD">
      <w:pPr>
        <w:pStyle w:val="Bibliography"/>
        <w:rPr>
          <w:rFonts w:ascii="Calibri" w:hAnsi="Calibri" w:cs="Calibri"/>
        </w:rPr>
      </w:pPr>
      <w:r w:rsidRPr="005165AD">
        <w:rPr>
          <w:rFonts w:ascii="Calibri" w:hAnsi="Calibri" w:cs="Calibri"/>
        </w:rPr>
        <w:t xml:space="preserve">Burney,P.G. </w:t>
      </w:r>
      <w:r w:rsidRPr="005165AD">
        <w:rPr>
          <w:rFonts w:ascii="Calibri" w:hAnsi="Calibri" w:cs="Calibri"/>
          <w:i/>
          <w:iCs/>
        </w:rPr>
        <w:t>et al.</w:t>
      </w:r>
      <w:r w:rsidRPr="005165AD">
        <w:rPr>
          <w:rFonts w:ascii="Calibri" w:hAnsi="Calibri" w:cs="Calibri"/>
        </w:rPr>
        <w:t xml:space="preserve"> (1994) The European Community Respiratory Health Survey. </w:t>
      </w:r>
      <w:r w:rsidRPr="005165AD">
        <w:rPr>
          <w:rFonts w:ascii="Calibri" w:hAnsi="Calibri" w:cs="Calibri"/>
          <w:i/>
          <w:iCs/>
        </w:rPr>
        <w:t>Eur Respir J</w:t>
      </w:r>
      <w:r w:rsidRPr="005165AD">
        <w:rPr>
          <w:rFonts w:ascii="Calibri" w:hAnsi="Calibri" w:cs="Calibri"/>
        </w:rPr>
        <w:t xml:space="preserve">, </w:t>
      </w:r>
      <w:r w:rsidRPr="005165AD">
        <w:rPr>
          <w:rFonts w:ascii="Calibri" w:hAnsi="Calibri" w:cs="Calibri"/>
          <w:b/>
          <w:bCs/>
        </w:rPr>
        <w:t>7</w:t>
      </w:r>
      <w:r w:rsidRPr="005165AD">
        <w:rPr>
          <w:rFonts w:ascii="Calibri" w:hAnsi="Calibri" w:cs="Calibri"/>
        </w:rPr>
        <w:t>, 954–960.</w:t>
      </w:r>
    </w:p>
    <w:p w14:paraId="10A9EB0C" w14:textId="77777777" w:rsidR="005165AD" w:rsidRPr="005165AD" w:rsidRDefault="005165AD" w:rsidP="005165AD">
      <w:pPr>
        <w:pStyle w:val="Bibliography"/>
        <w:rPr>
          <w:rFonts w:ascii="Calibri" w:hAnsi="Calibri" w:cs="Calibri"/>
        </w:rPr>
      </w:pPr>
      <w:r w:rsidRPr="005165AD">
        <w:rPr>
          <w:rFonts w:ascii="Calibri" w:hAnsi="Calibri" w:cs="Calibri"/>
        </w:rPr>
        <w:t xml:space="preserve">Chang,C.C. </w:t>
      </w:r>
      <w:r w:rsidRPr="005165AD">
        <w:rPr>
          <w:rFonts w:ascii="Calibri" w:hAnsi="Calibri" w:cs="Calibri"/>
          <w:i/>
          <w:iCs/>
        </w:rPr>
        <w:t>et al.</w:t>
      </w:r>
      <w:r w:rsidRPr="005165AD">
        <w:rPr>
          <w:rFonts w:ascii="Calibri" w:hAnsi="Calibri" w:cs="Calibri"/>
        </w:rPr>
        <w:t xml:space="preserve"> (2015) Second-generation PLINK: rising to the challenge of larger and richer datasets. </w:t>
      </w:r>
      <w:r w:rsidRPr="005165AD">
        <w:rPr>
          <w:rFonts w:ascii="Calibri" w:hAnsi="Calibri" w:cs="Calibri"/>
          <w:i/>
          <w:iCs/>
        </w:rPr>
        <w:t>GigaSci</w:t>
      </w:r>
      <w:r w:rsidRPr="005165AD">
        <w:rPr>
          <w:rFonts w:ascii="Calibri" w:hAnsi="Calibri" w:cs="Calibri"/>
        </w:rPr>
        <w:t xml:space="preserve">, </w:t>
      </w:r>
      <w:r w:rsidRPr="005165AD">
        <w:rPr>
          <w:rFonts w:ascii="Calibri" w:hAnsi="Calibri" w:cs="Calibri"/>
          <w:b/>
          <w:bCs/>
        </w:rPr>
        <w:t>4</w:t>
      </w:r>
      <w:r w:rsidRPr="005165AD">
        <w:rPr>
          <w:rFonts w:ascii="Calibri" w:hAnsi="Calibri" w:cs="Calibri"/>
        </w:rPr>
        <w:t>, 7.</w:t>
      </w:r>
    </w:p>
    <w:p w14:paraId="61AAD9F7" w14:textId="77777777" w:rsidR="005165AD" w:rsidRPr="005165AD" w:rsidRDefault="005165AD" w:rsidP="005165AD">
      <w:pPr>
        <w:pStyle w:val="Bibliography"/>
        <w:rPr>
          <w:rFonts w:ascii="Calibri" w:hAnsi="Calibri" w:cs="Calibri"/>
        </w:rPr>
      </w:pPr>
      <w:r w:rsidRPr="005165AD">
        <w:rPr>
          <w:rFonts w:ascii="Calibri" w:hAnsi="Calibri" w:cs="Calibri"/>
        </w:rPr>
        <w:t xml:space="preserve">van Diemen,C.C. </w:t>
      </w:r>
      <w:r w:rsidRPr="005165AD">
        <w:rPr>
          <w:rFonts w:ascii="Calibri" w:hAnsi="Calibri" w:cs="Calibri"/>
          <w:i/>
          <w:iCs/>
        </w:rPr>
        <w:t>et al.</w:t>
      </w:r>
      <w:r w:rsidRPr="005165AD">
        <w:rPr>
          <w:rFonts w:ascii="Calibri" w:hAnsi="Calibri" w:cs="Calibri"/>
        </w:rPr>
        <w:t xml:space="preserve"> (2005) A disintegrin and metalloprotease 33 polymorphisms and lung function decline in the general population. </w:t>
      </w:r>
      <w:r w:rsidRPr="005165AD">
        <w:rPr>
          <w:rFonts w:ascii="Calibri" w:hAnsi="Calibri" w:cs="Calibri"/>
          <w:i/>
          <w:iCs/>
        </w:rPr>
        <w:t>Am J Respir Crit Care Med</w:t>
      </w:r>
      <w:r w:rsidRPr="005165AD">
        <w:rPr>
          <w:rFonts w:ascii="Calibri" w:hAnsi="Calibri" w:cs="Calibri"/>
        </w:rPr>
        <w:t xml:space="preserve">, </w:t>
      </w:r>
      <w:r w:rsidRPr="005165AD">
        <w:rPr>
          <w:rFonts w:ascii="Calibri" w:hAnsi="Calibri" w:cs="Calibri"/>
          <w:b/>
          <w:bCs/>
        </w:rPr>
        <w:t>172</w:t>
      </w:r>
      <w:r w:rsidRPr="005165AD">
        <w:rPr>
          <w:rFonts w:ascii="Calibri" w:hAnsi="Calibri" w:cs="Calibri"/>
        </w:rPr>
        <w:t>, 329–333.</w:t>
      </w:r>
    </w:p>
    <w:p w14:paraId="7278B1D1" w14:textId="77777777" w:rsidR="005165AD" w:rsidRPr="005165AD" w:rsidRDefault="005165AD" w:rsidP="005165AD">
      <w:pPr>
        <w:pStyle w:val="Bibliography"/>
        <w:rPr>
          <w:rFonts w:ascii="Calibri" w:hAnsi="Calibri" w:cs="Calibri"/>
        </w:rPr>
      </w:pPr>
      <w:r w:rsidRPr="005165AD">
        <w:rPr>
          <w:rFonts w:ascii="Calibri" w:hAnsi="Calibri" w:cs="Calibri"/>
        </w:rPr>
        <w:lastRenderedPageBreak/>
        <w:t xml:space="preserve">Fawns-Ritchie,C. </w:t>
      </w:r>
      <w:r w:rsidRPr="005165AD">
        <w:rPr>
          <w:rFonts w:ascii="Calibri" w:hAnsi="Calibri" w:cs="Calibri"/>
          <w:i/>
          <w:iCs/>
        </w:rPr>
        <w:t>et al.</w:t>
      </w:r>
      <w:r w:rsidRPr="005165AD">
        <w:rPr>
          <w:rFonts w:ascii="Calibri" w:hAnsi="Calibri" w:cs="Calibri"/>
        </w:rPr>
        <w:t xml:space="preserve"> (2021) CovidLife: a resource to understand mental health, well-being and behaviour during the COVID-19 pandemic in the UK. </w:t>
      </w:r>
      <w:r w:rsidRPr="005165AD">
        <w:rPr>
          <w:rFonts w:ascii="Calibri" w:hAnsi="Calibri" w:cs="Calibri"/>
          <w:i/>
          <w:iCs/>
        </w:rPr>
        <w:t>Wellcome Open Res</w:t>
      </w:r>
      <w:r w:rsidRPr="005165AD">
        <w:rPr>
          <w:rFonts w:ascii="Calibri" w:hAnsi="Calibri" w:cs="Calibri"/>
        </w:rPr>
        <w:t xml:space="preserve">, </w:t>
      </w:r>
      <w:r w:rsidRPr="005165AD">
        <w:rPr>
          <w:rFonts w:ascii="Calibri" w:hAnsi="Calibri" w:cs="Calibri"/>
          <w:b/>
          <w:bCs/>
        </w:rPr>
        <w:t>6</w:t>
      </w:r>
      <w:r w:rsidRPr="005165AD">
        <w:rPr>
          <w:rFonts w:ascii="Calibri" w:hAnsi="Calibri" w:cs="Calibri"/>
        </w:rPr>
        <w:t>, 176.</w:t>
      </w:r>
    </w:p>
    <w:p w14:paraId="1B4A9E02" w14:textId="77777777" w:rsidR="005165AD" w:rsidRPr="005165AD" w:rsidRDefault="005165AD" w:rsidP="005165AD">
      <w:pPr>
        <w:pStyle w:val="Bibliography"/>
        <w:rPr>
          <w:rFonts w:ascii="Calibri" w:hAnsi="Calibri" w:cs="Calibri"/>
        </w:rPr>
      </w:pPr>
      <w:r w:rsidRPr="005165AD">
        <w:rPr>
          <w:rFonts w:ascii="Calibri" w:hAnsi="Calibri" w:cs="Calibri"/>
        </w:rPr>
        <w:t xml:space="preserve">John,C. </w:t>
      </w:r>
      <w:r w:rsidRPr="005165AD">
        <w:rPr>
          <w:rFonts w:ascii="Calibri" w:hAnsi="Calibri" w:cs="Calibri"/>
          <w:i/>
          <w:iCs/>
        </w:rPr>
        <w:t>et al.</w:t>
      </w:r>
      <w:r w:rsidRPr="005165AD">
        <w:rPr>
          <w:rFonts w:ascii="Calibri" w:hAnsi="Calibri" w:cs="Calibri"/>
        </w:rPr>
        <w:t xml:space="preserve"> (2019) Cohort profile: Extended Cohort for E-health, Environment and DNA (EXCEED). </w:t>
      </w:r>
      <w:r w:rsidRPr="005165AD">
        <w:rPr>
          <w:rFonts w:ascii="Calibri" w:hAnsi="Calibri" w:cs="Calibri"/>
          <w:i/>
          <w:iCs/>
        </w:rPr>
        <w:t>International Journal of Epidemiology</w:t>
      </w:r>
      <w:r w:rsidRPr="005165AD">
        <w:rPr>
          <w:rFonts w:ascii="Calibri" w:hAnsi="Calibri" w:cs="Calibri"/>
        </w:rPr>
        <w:t>, dyz175.</w:t>
      </w:r>
    </w:p>
    <w:p w14:paraId="189C689A" w14:textId="77777777" w:rsidR="005165AD" w:rsidRPr="005165AD" w:rsidRDefault="005165AD" w:rsidP="005165AD">
      <w:pPr>
        <w:pStyle w:val="Bibliography"/>
        <w:rPr>
          <w:rFonts w:ascii="Calibri" w:hAnsi="Calibri" w:cs="Calibri"/>
        </w:rPr>
      </w:pPr>
      <w:r w:rsidRPr="005165AD">
        <w:rPr>
          <w:rFonts w:ascii="Calibri" w:hAnsi="Calibri" w:cs="Calibri"/>
        </w:rPr>
        <w:t xml:space="preserve">de Jong,K. </w:t>
      </w:r>
      <w:r w:rsidRPr="005165AD">
        <w:rPr>
          <w:rFonts w:ascii="Calibri" w:hAnsi="Calibri" w:cs="Calibri"/>
          <w:i/>
          <w:iCs/>
        </w:rPr>
        <w:t>et al.</w:t>
      </w:r>
      <w:r w:rsidRPr="005165AD">
        <w:rPr>
          <w:rFonts w:ascii="Calibri" w:hAnsi="Calibri" w:cs="Calibri"/>
        </w:rPr>
        <w:t xml:space="preserve"> (2014) Association of occupational pesticide exposure with accelerated longitudinal decline in lung function. </w:t>
      </w:r>
      <w:r w:rsidRPr="005165AD">
        <w:rPr>
          <w:rFonts w:ascii="Calibri" w:hAnsi="Calibri" w:cs="Calibri"/>
          <w:i/>
          <w:iCs/>
        </w:rPr>
        <w:t>Am J Epidemiol</w:t>
      </w:r>
      <w:r w:rsidRPr="005165AD">
        <w:rPr>
          <w:rFonts w:ascii="Calibri" w:hAnsi="Calibri" w:cs="Calibri"/>
        </w:rPr>
        <w:t xml:space="preserve">, </w:t>
      </w:r>
      <w:r w:rsidRPr="005165AD">
        <w:rPr>
          <w:rFonts w:ascii="Calibri" w:hAnsi="Calibri" w:cs="Calibri"/>
          <w:b/>
          <w:bCs/>
        </w:rPr>
        <w:t>179</w:t>
      </w:r>
      <w:r w:rsidRPr="005165AD">
        <w:rPr>
          <w:rFonts w:ascii="Calibri" w:hAnsi="Calibri" w:cs="Calibri"/>
        </w:rPr>
        <w:t>, 1323–1330.</w:t>
      </w:r>
    </w:p>
    <w:p w14:paraId="4365A66D" w14:textId="77777777" w:rsidR="005165AD" w:rsidRPr="005165AD" w:rsidRDefault="005165AD" w:rsidP="005165AD">
      <w:pPr>
        <w:pStyle w:val="Bibliography"/>
        <w:rPr>
          <w:rFonts w:ascii="Calibri" w:hAnsi="Calibri" w:cs="Calibri"/>
        </w:rPr>
      </w:pPr>
      <w:r w:rsidRPr="005165AD">
        <w:rPr>
          <w:rFonts w:ascii="Calibri" w:hAnsi="Calibri" w:cs="Calibri"/>
        </w:rPr>
        <w:t xml:space="preserve">de Jong,K. </w:t>
      </w:r>
      <w:r w:rsidRPr="005165AD">
        <w:rPr>
          <w:rFonts w:ascii="Calibri" w:hAnsi="Calibri" w:cs="Calibri"/>
          <w:i/>
          <w:iCs/>
        </w:rPr>
        <w:t>et al.</w:t>
      </w:r>
      <w:r w:rsidRPr="005165AD">
        <w:rPr>
          <w:rFonts w:ascii="Calibri" w:hAnsi="Calibri" w:cs="Calibri"/>
        </w:rPr>
        <w:t xml:space="preserve"> (2015) Genome-wide interaction study of gene-by-occupational exposure and effects on FEV1 levels. </w:t>
      </w:r>
      <w:r w:rsidRPr="005165AD">
        <w:rPr>
          <w:rFonts w:ascii="Calibri" w:hAnsi="Calibri" w:cs="Calibri"/>
          <w:i/>
          <w:iCs/>
        </w:rPr>
        <w:t>J Allergy Clin Immunol</w:t>
      </w:r>
      <w:r w:rsidRPr="005165AD">
        <w:rPr>
          <w:rFonts w:ascii="Calibri" w:hAnsi="Calibri" w:cs="Calibri"/>
        </w:rPr>
        <w:t xml:space="preserve">, </w:t>
      </w:r>
      <w:r w:rsidRPr="005165AD">
        <w:rPr>
          <w:rFonts w:ascii="Calibri" w:hAnsi="Calibri" w:cs="Calibri"/>
          <w:b/>
          <w:bCs/>
        </w:rPr>
        <w:t>136</w:t>
      </w:r>
      <w:r w:rsidRPr="005165AD">
        <w:rPr>
          <w:rFonts w:ascii="Calibri" w:hAnsi="Calibri" w:cs="Calibri"/>
        </w:rPr>
        <w:t>, 1664-1672.e14.</w:t>
      </w:r>
    </w:p>
    <w:p w14:paraId="2DAE6C34" w14:textId="77777777" w:rsidR="005165AD" w:rsidRPr="005165AD" w:rsidRDefault="005165AD" w:rsidP="005165AD">
      <w:pPr>
        <w:pStyle w:val="Bibliography"/>
        <w:rPr>
          <w:rFonts w:ascii="Calibri" w:hAnsi="Calibri" w:cs="Calibri"/>
        </w:rPr>
      </w:pPr>
      <w:r w:rsidRPr="005165AD">
        <w:rPr>
          <w:rFonts w:ascii="Calibri" w:hAnsi="Calibri" w:cs="Calibri"/>
        </w:rPr>
        <w:t xml:space="preserve">Lee,P.H. </w:t>
      </w:r>
      <w:r w:rsidRPr="005165AD">
        <w:rPr>
          <w:rFonts w:ascii="Calibri" w:hAnsi="Calibri" w:cs="Calibri"/>
          <w:i/>
          <w:iCs/>
        </w:rPr>
        <w:t>et al.</w:t>
      </w:r>
      <w:r w:rsidRPr="005165AD">
        <w:rPr>
          <w:rFonts w:ascii="Calibri" w:hAnsi="Calibri" w:cs="Calibri"/>
        </w:rPr>
        <w:t xml:space="preserve"> (2021) Extended Cohort for E-health, Environment and DNA (EXCEED) COVID-19 focus. </w:t>
      </w:r>
      <w:r w:rsidRPr="005165AD">
        <w:rPr>
          <w:rFonts w:ascii="Calibri" w:hAnsi="Calibri" w:cs="Calibri"/>
          <w:i/>
          <w:iCs/>
        </w:rPr>
        <w:t>Wellcome Open Res</w:t>
      </w:r>
      <w:r w:rsidRPr="005165AD">
        <w:rPr>
          <w:rFonts w:ascii="Calibri" w:hAnsi="Calibri" w:cs="Calibri"/>
        </w:rPr>
        <w:t xml:space="preserve">, </w:t>
      </w:r>
      <w:r w:rsidRPr="005165AD">
        <w:rPr>
          <w:rFonts w:ascii="Calibri" w:hAnsi="Calibri" w:cs="Calibri"/>
          <w:b/>
          <w:bCs/>
        </w:rPr>
        <w:t>6</w:t>
      </w:r>
      <w:r w:rsidRPr="005165AD">
        <w:rPr>
          <w:rFonts w:ascii="Calibri" w:hAnsi="Calibri" w:cs="Calibri"/>
        </w:rPr>
        <w:t>, 349.</w:t>
      </w:r>
    </w:p>
    <w:p w14:paraId="1779E11B" w14:textId="77777777" w:rsidR="005165AD" w:rsidRPr="005165AD" w:rsidRDefault="005165AD" w:rsidP="005165AD">
      <w:pPr>
        <w:pStyle w:val="Bibliography"/>
        <w:rPr>
          <w:rFonts w:ascii="Calibri" w:hAnsi="Calibri" w:cs="Calibri"/>
        </w:rPr>
      </w:pPr>
      <w:r w:rsidRPr="005165AD">
        <w:rPr>
          <w:rFonts w:ascii="Calibri" w:hAnsi="Calibri" w:cs="Calibri"/>
        </w:rPr>
        <w:t xml:space="preserve">Packer,R. </w:t>
      </w:r>
      <w:r w:rsidRPr="005165AD">
        <w:rPr>
          <w:rFonts w:ascii="Calibri" w:hAnsi="Calibri" w:cs="Calibri"/>
          <w:i/>
          <w:iCs/>
        </w:rPr>
        <w:t>et al.</w:t>
      </w:r>
      <w:r w:rsidRPr="005165AD">
        <w:rPr>
          <w:rFonts w:ascii="Calibri" w:hAnsi="Calibri" w:cs="Calibri"/>
        </w:rPr>
        <w:t xml:space="preserve"> (2022) Deep-PheWAS: a pipeline for phenotype generation and association analysis for phenome-wide association studies Genetic and Genomic Medicine.</w:t>
      </w:r>
    </w:p>
    <w:p w14:paraId="39BD96F6" w14:textId="77777777" w:rsidR="005165AD" w:rsidRPr="005165AD" w:rsidRDefault="005165AD" w:rsidP="005165AD">
      <w:pPr>
        <w:pStyle w:val="Bibliography"/>
        <w:rPr>
          <w:rFonts w:ascii="Calibri" w:hAnsi="Calibri" w:cs="Calibri"/>
        </w:rPr>
      </w:pPr>
      <w:r w:rsidRPr="005165AD">
        <w:rPr>
          <w:rFonts w:ascii="Calibri" w:hAnsi="Calibri" w:cs="Calibri"/>
        </w:rPr>
        <w:t xml:space="preserve">Purcell,S. </w:t>
      </w:r>
      <w:r w:rsidRPr="005165AD">
        <w:rPr>
          <w:rFonts w:ascii="Calibri" w:hAnsi="Calibri" w:cs="Calibri"/>
          <w:i/>
          <w:iCs/>
        </w:rPr>
        <w:t>et al.</w:t>
      </w:r>
      <w:r w:rsidRPr="005165AD">
        <w:rPr>
          <w:rFonts w:ascii="Calibri" w:hAnsi="Calibri" w:cs="Calibri"/>
        </w:rPr>
        <w:t xml:space="preserve"> (2007) PLINK: a tool set for whole-genome association and population-based linkage analyses. </w:t>
      </w:r>
      <w:r w:rsidRPr="005165AD">
        <w:rPr>
          <w:rFonts w:ascii="Calibri" w:hAnsi="Calibri" w:cs="Calibri"/>
          <w:i/>
          <w:iCs/>
        </w:rPr>
        <w:t>Am J Hum Genet</w:t>
      </w:r>
      <w:r w:rsidRPr="005165AD">
        <w:rPr>
          <w:rFonts w:ascii="Calibri" w:hAnsi="Calibri" w:cs="Calibri"/>
        </w:rPr>
        <w:t xml:space="preserve">, </w:t>
      </w:r>
      <w:r w:rsidRPr="005165AD">
        <w:rPr>
          <w:rFonts w:ascii="Calibri" w:hAnsi="Calibri" w:cs="Calibri"/>
          <w:b/>
          <w:bCs/>
        </w:rPr>
        <w:t>81</w:t>
      </w:r>
      <w:r w:rsidRPr="005165AD">
        <w:rPr>
          <w:rFonts w:ascii="Calibri" w:hAnsi="Calibri" w:cs="Calibri"/>
        </w:rPr>
        <w:t>, 559–575.</w:t>
      </w:r>
    </w:p>
    <w:p w14:paraId="39552027" w14:textId="77777777" w:rsidR="005165AD" w:rsidRPr="005165AD" w:rsidRDefault="005165AD" w:rsidP="005165AD">
      <w:pPr>
        <w:pStyle w:val="Bibliography"/>
        <w:rPr>
          <w:rFonts w:ascii="Calibri" w:hAnsi="Calibri" w:cs="Calibri"/>
        </w:rPr>
      </w:pPr>
      <w:r w:rsidRPr="005165AD">
        <w:rPr>
          <w:rFonts w:ascii="Calibri" w:hAnsi="Calibri" w:cs="Calibri"/>
        </w:rPr>
        <w:t xml:space="preserve">Scholtens,S. </w:t>
      </w:r>
      <w:r w:rsidRPr="005165AD">
        <w:rPr>
          <w:rFonts w:ascii="Calibri" w:hAnsi="Calibri" w:cs="Calibri"/>
          <w:i/>
          <w:iCs/>
        </w:rPr>
        <w:t>et al.</w:t>
      </w:r>
      <w:r w:rsidRPr="005165AD">
        <w:rPr>
          <w:rFonts w:ascii="Calibri" w:hAnsi="Calibri" w:cs="Calibri"/>
        </w:rPr>
        <w:t xml:space="preserve"> (2015) Cohort Profile: LifeLines, a three-generation cohort study and biobank. </w:t>
      </w:r>
      <w:r w:rsidRPr="005165AD">
        <w:rPr>
          <w:rFonts w:ascii="Calibri" w:hAnsi="Calibri" w:cs="Calibri"/>
          <w:i/>
          <w:iCs/>
        </w:rPr>
        <w:t>Int J Epidemiol</w:t>
      </w:r>
      <w:r w:rsidRPr="005165AD">
        <w:rPr>
          <w:rFonts w:ascii="Calibri" w:hAnsi="Calibri" w:cs="Calibri"/>
        </w:rPr>
        <w:t xml:space="preserve">, </w:t>
      </w:r>
      <w:r w:rsidRPr="005165AD">
        <w:rPr>
          <w:rFonts w:ascii="Calibri" w:hAnsi="Calibri" w:cs="Calibri"/>
          <w:b/>
          <w:bCs/>
        </w:rPr>
        <w:t>44</w:t>
      </w:r>
      <w:r w:rsidRPr="005165AD">
        <w:rPr>
          <w:rFonts w:ascii="Calibri" w:hAnsi="Calibri" w:cs="Calibri"/>
        </w:rPr>
        <w:t>, 1172–1180.</w:t>
      </w:r>
    </w:p>
    <w:p w14:paraId="11BF4845" w14:textId="77777777" w:rsidR="005165AD" w:rsidRPr="005165AD" w:rsidRDefault="005165AD" w:rsidP="005165AD">
      <w:pPr>
        <w:pStyle w:val="Bibliography"/>
        <w:rPr>
          <w:rFonts w:ascii="Calibri" w:hAnsi="Calibri" w:cs="Calibri"/>
        </w:rPr>
      </w:pPr>
      <w:r w:rsidRPr="005165AD">
        <w:rPr>
          <w:rFonts w:ascii="Calibri" w:hAnsi="Calibri" w:cs="Calibri"/>
        </w:rPr>
        <w:t xml:space="preserve">Sinnott-Armstrong,N. </w:t>
      </w:r>
      <w:r w:rsidRPr="005165AD">
        <w:rPr>
          <w:rFonts w:ascii="Calibri" w:hAnsi="Calibri" w:cs="Calibri"/>
          <w:i/>
          <w:iCs/>
        </w:rPr>
        <w:t>et al.</w:t>
      </w:r>
      <w:r w:rsidRPr="005165AD">
        <w:rPr>
          <w:rFonts w:ascii="Calibri" w:hAnsi="Calibri" w:cs="Calibri"/>
        </w:rPr>
        <w:t xml:space="preserve"> (2021) Genetics of 35 blood and urine biomarkers in the UK Biobank. </w:t>
      </w:r>
      <w:r w:rsidRPr="005165AD">
        <w:rPr>
          <w:rFonts w:ascii="Calibri" w:hAnsi="Calibri" w:cs="Calibri"/>
          <w:i/>
          <w:iCs/>
        </w:rPr>
        <w:t>Nat Genet</w:t>
      </w:r>
      <w:r w:rsidRPr="005165AD">
        <w:rPr>
          <w:rFonts w:ascii="Calibri" w:hAnsi="Calibri" w:cs="Calibri"/>
        </w:rPr>
        <w:t xml:space="preserve">, </w:t>
      </w:r>
      <w:r w:rsidRPr="005165AD">
        <w:rPr>
          <w:rFonts w:ascii="Calibri" w:hAnsi="Calibri" w:cs="Calibri"/>
          <w:b/>
          <w:bCs/>
        </w:rPr>
        <w:t>53</w:t>
      </w:r>
      <w:r w:rsidRPr="005165AD">
        <w:rPr>
          <w:rFonts w:ascii="Calibri" w:hAnsi="Calibri" w:cs="Calibri"/>
        </w:rPr>
        <w:t>, 185–194.</w:t>
      </w:r>
    </w:p>
    <w:p w14:paraId="72443935" w14:textId="77777777" w:rsidR="005165AD" w:rsidRPr="005165AD" w:rsidRDefault="005165AD" w:rsidP="005165AD">
      <w:pPr>
        <w:pStyle w:val="Bibliography"/>
        <w:rPr>
          <w:rFonts w:ascii="Calibri" w:hAnsi="Calibri" w:cs="Calibri"/>
        </w:rPr>
      </w:pPr>
      <w:r w:rsidRPr="005165AD">
        <w:rPr>
          <w:rFonts w:ascii="Calibri" w:hAnsi="Calibri" w:cs="Calibri"/>
        </w:rPr>
        <w:t xml:space="preserve">Smith,B.H. </w:t>
      </w:r>
      <w:r w:rsidRPr="005165AD">
        <w:rPr>
          <w:rFonts w:ascii="Calibri" w:hAnsi="Calibri" w:cs="Calibri"/>
          <w:i/>
          <w:iCs/>
        </w:rPr>
        <w:t>et al.</w:t>
      </w:r>
      <w:r w:rsidRPr="005165AD">
        <w:rPr>
          <w:rFonts w:ascii="Calibri" w:hAnsi="Calibri" w:cs="Calibri"/>
        </w:rPr>
        <w:t xml:space="preserve"> (2013) Cohort Profile: Generation Scotland: Scottish Family Health Study (GS:SFHS). The study, its participants and their potential for genetic research on health and illness. </w:t>
      </w:r>
      <w:r w:rsidRPr="005165AD">
        <w:rPr>
          <w:rFonts w:ascii="Calibri" w:hAnsi="Calibri" w:cs="Calibri"/>
          <w:i/>
          <w:iCs/>
        </w:rPr>
        <w:t>International Journal of Epidemiology</w:t>
      </w:r>
      <w:r w:rsidRPr="005165AD">
        <w:rPr>
          <w:rFonts w:ascii="Calibri" w:hAnsi="Calibri" w:cs="Calibri"/>
        </w:rPr>
        <w:t xml:space="preserve">, </w:t>
      </w:r>
      <w:r w:rsidRPr="005165AD">
        <w:rPr>
          <w:rFonts w:ascii="Calibri" w:hAnsi="Calibri" w:cs="Calibri"/>
          <w:b/>
          <w:bCs/>
        </w:rPr>
        <w:t>42</w:t>
      </w:r>
      <w:r w:rsidRPr="005165AD">
        <w:rPr>
          <w:rFonts w:ascii="Calibri" w:hAnsi="Calibri" w:cs="Calibri"/>
        </w:rPr>
        <w:t>, 689–700.</w:t>
      </w:r>
    </w:p>
    <w:p w14:paraId="3E53A4A9" w14:textId="77777777" w:rsidR="005165AD" w:rsidRPr="005165AD" w:rsidRDefault="005165AD" w:rsidP="005165AD">
      <w:pPr>
        <w:pStyle w:val="Bibliography"/>
        <w:rPr>
          <w:rFonts w:ascii="Calibri" w:hAnsi="Calibri" w:cs="Calibri"/>
        </w:rPr>
      </w:pPr>
      <w:r w:rsidRPr="005165AD">
        <w:rPr>
          <w:rFonts w:ascii="Calibri" w:hAnsi="Calibri" w:cs="Calibri"/>
        </w:rPr>
        <w:t xml:space="preserve">Zeng,X. </w:t>
      </w:r>
      <w:r w:rsidRPr="005165AD">
        <w:rPr>
          <w:rFonts w:ascii="Calibri" w:hAnsi="Calibri" w:cs="Calibri"/>
          <w:i/>
          <w:iCs/>
        </w:rPr>
        <w:t>et al.</w:t>
      </w:r>
      <w:r w:rsidRPr="005165AD">
        <w:rPr>
          <w:rFonts w:ascii="Calibri" w:hAnsi="Calibri" w:cs="Calibri"/>
        </w:rPr>
        <w:t xml:space="preserve"> (2017) No convincing association between genetic markers and respiratory symptoms: results of a GWA study. </w:t>
      </w:r>
      <w:r w:rsidRPr="005165AD">
        <w:rPr>
          <w:rFonts w:ascii="Calibri" w:hAnsi="Calibri" w:cs="Calibri"/>
          <w:i/>
          <w:iCs/>
        </w:rPr>
        <w:t>Respir Res</w:t>
      </w:r>
      <w:r w:rsidRPr="005165AD">
        <w:rPr>
          <w:rFonts w:ascii="Calibri" w:hAnsi="Calibri" w:cs="Calibri"/>
        </w:rPr>
        <w:t xml:space="preserve">, </w:t>
      </w:r>
      <w:r w:rsidRPr="005165AD">
        <w:rPr>
          <w:rFonts w:ascii="Calibri" w:hAnsi="Calibri" w:cs="Calibri"/>
          <w:b/>
          <w:bCs/>
        </w:rPr>
        <w:t>18</w:t>
      </w:r>
      <w:r w:rsidRPr="005165AD">
        <w:rPr>
          <w:rFonts w:ascii="Calibri" w:hAnsi="Calibri" w:cs="Calibri"/>
        </w:rPr>
        <w:t>, 11.</w:t>
      </w:r>
    </w:p>
    <w:p w14:paraId="69AAB2C7" w14:textId="3568C8E9" w:rsidR="007A7DF4" w:rsidRDefault="003D363A" w:rsidP="00500EA8">
      <w:r>
        <w:fldChar w:fldCharType="end"/>
      </w:r>
    </w:p>
    <w:p w14:paraId="5A827315" w14:textId="77777777" w:rsidR="007A7DF4" w:rsidRDefault="007A7DF4">
      <w:r>
        <w:br w:type="page"/>
      </w:r>
    </w:p>
    <w:p w14:paraId="1E76F61E" w14:textId="66C38AFC" w:rsidR="00313E89" w:rsidRDefault="006C5B75" w:rsidP="003D363A">
      <w:pPr>
        <w:pStyle w:val="Heading1"/>
      </w:pPr>
      <w:bookmarkStart w:id="9" w:name="_Toc112271556"/>
      <w:r w:rsidRPr="006C5B75">
        <w:lastRenderedPageBreak/>
        <w:t>Supplementary Figures</w:t>
      </w:r>
      <w:bookmarkEnd w:id="9"/>
      <w:r w:rsidRPr="006C5B75">
        <w:t xml:space="preserve"> </w:t>
      </w:r>
    </w:p>
    <w:p w14:paraId="6DD3A791" w14:textId="77777777" w:rsidR="00B81FDA" w:rsidRDefault="00B81FDA" w:rsidP="00B81FDA">
      <w:pPr>
        <w:keepNext/>
      </w:pPr>
      <w:r>
        <w:rPr>
          <w:noProof/>
          <w:lang w:eastAsia="en-GB"/>
        </w:rPr>
        <w:drawing>
          <wp:inline distT="0" distB="0" distL="0" distR="0" wp14:anchorId="68B55481" wp14:editId="671E5049">
            <wp:extent cx="3486150" cy="3486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p>
    <w:p w14:paraId="76B7D27D" w14:textId="6619E72A" w:rsidR="00B81FDA" w:rsidRPr="00B81FDA" w:rsidRDefault="00B81FDA" w:rsidP="00B81FDA">
      <w:r>
        <w:rPr>
          <w:b/>
          <w:bCs/>
        </w:rPr>
        <w:t xml:space="preserve">Supplementary Figure </w:t>
      </w:r>
      <w:fldSimple w:instr=" SEQ Figure \* ARABIC ">
        <w:r w:rsidR="00B0468B">
          <w:rPr>
            <w:noProof/>
          </w:rPr>
          <w:t>1</w:t>
        </w:r>
      </w:fldSimple>
      <w:r>
        <w:t xml:space="preserve">: </w:t>
      </w:r>
      <w:r w:rsidRPr="00CD2539">
        <w:t>Quantile-quantile (QQ) plot for results of genome-wide association study of</w:t>
      </w:r>
      <w:r w:rsidR="007E294D">
        <w:t xml:space="preserve"> chronic</w:t>
      </w:r>
      <w:r w:rsidRPr="00CD2539">
        <w:t xml:space="preserve"> sputum production</w:t>
      </w:r>
      <w:r w:rsidR="007A0E06">
        <w:t xml:space="preserve"> in UK Biobank</w:t>
      </w:r>
      <w:r w:rsidRPr="00CD2539">
        <w:t>. Variants with imputation quality INFO &lt;0.5 and minor allele count (MAC) &lt;20 were excluded. The genomic control inflation factor, lambda, was 1.026.</w:t>
      </w:r>
    </w:p>
    <w:p w14:paraId="55767515" w14:textId="77777777" w:rsidR="00F22553" w:rsidRDefault="00090A8E" w:rsidP="00F22553">
      <w:pPr>
        <w:keepNext/>
        <w:spacing w:after="0"/>
      </w:pPr>
      <w:r w:rsidRPr="00106573">
        <w:rPr>
          <w:noProof/>
          <w:lang w:eastAsia="en-GB"/>
        </w:rPr>
        <w:drawing>
          <wp:inline distT="0" distB="0" distL="0" distR="0" wp14:anchorId="22F0B34E" wp14:editId="071B6C9D">
            <wp:extent cx="5257800" cy="3690829"/>
            <wp:effectExtent l="0" t="0" r="0" b="508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a:stretch>
                      <a:fillRect/>
                    </a:stretch>
                  </pic:blipFill>
                  <pic:spPr>
                    <a:xfrm>
                      <a:off x="0" y="0"/>
                      <a:ext cx="5262424" cy="3694075"/>
                    </a:xfrm>
                    <a:prstGeom prst="rect">
                      <a:avLst/>
                    </a:prstGeom>
                  </pic:spPr>
                </pic:pic>
              </a:graphicData>
            </a:graphic>
          </wp:inline>
        </w:drawing>
      </w:r>
    </w:p>
    <w:p w14:paraId="7C9475D5" w14:textId="1427315D" w:rsidR="007A7DF4" w:rsidRPr="00F22553" w:rsidRDefault="00F22553" w:rsidP="00F22553">
      <w:pPr>
        <w:rPr>
          <w:lang w:val="en-US"/>
        </w:rPr>
      </w:pPr>
      <w:r>
        <w:rPr>
          <w:b/>
          <w:bCs/>
        </w:rPr>
        <w:t xml:space="preserve">Supplementary Figure </w:t>
      </w:r>
      <w:r w:rsidRPr="00D72D54">
        <w:rPr>
          <w:b/>
          <w:bCs/>
        </w:rPr>
        <w:fldChar w:fldCharType="begin"/>
      </w:r>
      <w:r w:rsidRPr="00D72D54">
        <w:rPr>
          <w:b/>
          <w:bCs/>
        </w:rPr>
        <w:instrText xml:space="preserve"> SEQ Figure \* ARABIC </w:instrText>
      </w:r>
      <w:r w:rsidRPr="00D72D54">
        <w:rPr>
          <w:b/>
          <w:bCs/>
        </w:rPr>
        <w:fldChar w:fldCharType="separate"/>
      </w:r>
      <w:r w:rsidR="00B0468B">
        <w:rPr>
          <w:b/>
          <w:bCs/>
          <w:noProof/>
        </w:rPr>
        <w:t>2</w:t>
      </w:r>
      <w:r w:rsidRPr="00D72D54">
        <w:rPr>
          <w:b/>
          <w:bCs/>
        </w:rPr>
        <w:fldChar w:fldCharType="end"/>
      </w:r>
      <w:r w:rsidR="00D72D54" w:rsidRPr="00D72D54">
        <w:rPr>
          <w:b/>
          <w:bCs/>
        </w:rPr>
        <w:t>:</w:t>
      </w:r>
      <w:r>
        <w:t xml:space="preserve"> </w:t>
      </w:r>
      <w:r w:rsidRPr="00554AF0">
        <w:rPr>
          <w:rFonts w:ascii="Calibri" w:hAnsi="Calibri" w:cs="Calibri"/>
          <w:i/>
          <w:iCs/>
          <w:color w:val="000000"/>
        </w:rPr>
        <w:t>OCIAD1</w:t>
      </w:r>
      <w:r>
        <w:rPr>
          <w:rFonts w:ascii="Calibri" w:hAnsi="Calibri" w:cs="Calibri"/>
          <w:color w:val="000000"/>
        </w:rPr>
        <w:t xml:space="preserve"> signal (</w:t>
      </w:r>
      <w:r w:rsidRPr="00CD2539">
        <w:rPr>
          <w:rFonts w:ascii="Calibri" w:hAnsi="Calibri" w:cs="Calibri"/>
          <w:color w:val="000000"/>
        </w:rPr>
        <w:t>rs79998532</w:t>
      </w:r>
      <w:r>
        <w:rPr>
          <w:rFonts w:ascii="Calibri" w:hAnsi="Calibri" w:cs="Calibri"/>
          <w:color w:val="000000"/>
        </w:rPr>
        <w:t xml:space="preserve">) </w:t>
      </w:r>
      <w:r>
        <w:rPr>
          <w:lang w:val="en-US"/>
        </w:rPr>
        <w:t>regional association plot.</w:t>
      </w:r>
    </w:p>
    <w:p w14:paraId="58450489" w14:textId="77777777" w:rsidR="007A7DF4" w:rsidRDefault="007A7DF4" w:rsidP="00554AF0">
      <w:pPr>
        <w:spacing w:after="0"/>
        <w:rPr>
          <w:noProof/>
          <w:lang w:eastAsia="en-GB"/>
        </w:rPr>
      </w:pPr>
    </w:p>
    <w:p w14:paraId="6A78AD21" w14:textId="77777777" w:rsidR="00F22553" w:rsidRDefault="00090A8E" w:rsidP="00F22553">
      <w:pPr>
        <w:keepNext/>
        <w:spacing w:after="0"/>
      </w:pPr>
      <w:r w:rsidRPr="00106573">
        <w:rPr>
          <w:noProof/>
          <w:lang w:eastAsia="en-GB"/>
        </w:rPr>
        <w:lastRenderedPageBreak/>
        <w:drawing>
          <wp:inline distT="0" distB="0" distL="0" distR="0" wp14:anchorId="561A982A" wp14:editId="554C78AB">
            <wp:extent cx="5334000" cy="3706498"/>
            <wp:effectExtent l="0" t="0" r="0" b="825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5344707" cy="3713938"/>
                    </a:xfrm>
                    <a:prstGeom prst="rect">
                      <a:avLst/>
                    </a:prstGeom>
                  </pic:spPr>
                </pic:pic>
              </a:graphicData>
            </a:graphic>
          </wp:inline>
        </w:drawing>
      </w:r>
    </w:p>
    <w:p w14:paraId="31029B73" w14:textId="281952C1" w:rsidR="00F22553" w:rsidRDefault="00F22553" w:rsidP="00F22553">
      <w:pPr>
        <w:spacing w:after="0"/>
        <w:rPr>
          <w:b/>
          <w:bCs/>
        </w:rPr>
      </w:pPr>
      <w:r>
        <w:rPr>
          <w:b/>
          <w:bCs/>
        </w:rPr>
        <w:t xml:space="preserve">Supplementary </w:t>
      </w:r>
      <w:r w:rsidRPr="00F22553">
        <w:rPr>
          <w:b/>
          <w:bCs/>
        </w:rPr>
        <w:t xml:space="preserve">Figure </w:t>
      </w:r>
      <w:r w:rsidRPr="00F22553">
        <w:rPr>
          <w:b/>
          <w:bCs/>
        </w:rPr>
        <w:fldChar w:fldCharType="begin"/>
      </w:r>
      <w:r w:rsidRPr="00F22553">
        <w:rPr>
          <w:b/>
          <w:bCs/>
        </w:rPr>
        <w:instrText xml:space="preserve"> SEQ Figure \* ARABIC </w:instrText>
      </w:r>
      <w:r w:rsidRPr="00F22553">
        <w:rPr>
          <w:b/>
          <w:bCs/>
        </w:rPr>
        <w:fldChar w:fldCharType="separate"/>
      </w:r>
      <w:r w:rsidR="00B0468B">
        <w:rPr>
          <w:b/>
          <w:bCs/>
          <w:noProof/>
        </w:rPr>
        <w:t>3</w:t>
      </w:r>
      <w:r w:rsidRPr="00F22553">
        <w:rPr>
          <w:b/>
          <w:bCs/>
        </w:rPr>
        <w:fldChar w:fldCharType="end"/>
      </w:r>
      <w:r w:rsidR="00D72D54">
        <w:rPr>
          <w:b/>
          <w:bCs/>
        </w:rPr>
        <w:t>:</w:t>
      </w:r>
      <w:r>
        <w:t xml:space="preserve"> </w:t>
      </w:r>
      <w:r w:rsidRPr="00554AF0">
        <w:rPr>
          <w:rFonts w:ascii="Calibri" w:hAnsi="Calibri" w:cs="Calibri"/>
          <w:i/>
          <w:iCs/>
          <w:color w:val="000000"/>
        </w:rPr>
        <w:t>HLA-DRB5</w:t>
      </w:r>
      <w:r>
        <w:rPr>
          <w:rFonts w:ascii="Calibri" w:hAnsi="Calibri" w:cs="Calibri"/>
          <w:color w:val="000000"/>
        </w:rPr>
        <w:t xml:space="preserve"> signal</w:t>
      </w:r>
      <w:r w:rsidRPr="00090A8E">
        <w:rPr>
          <w:lang w:val="en-US"/>
        </w:rPr>
        <w:t xml:space="preserve"> </w:t>
      </w:r>
      <w:r>
        <w:rPr>
          <w:lang w:val="en-US"/>
        </w:rPr>
        <w:t>(</w:t>
      </w:r>
      <w:r w:rsidRPr="00CD2539">
        <w:rPr>
          <w:rFonts w:ascii="Calibri" w:hAnsi="Calibri" w:cs="Calibri"/>
          <w:color w:val="000000"/>
        </w:rPr>
        <w:t>rs374248993</w:t>
      </w:r>
      <w:r>
        <w:rPr>
          <w:rFonts w:ascii="Calibri" w:hAnsi="Calibri" w:cs="Calibri"/>
          <w:color w:val="000000"/>
        </w:rPr>
        <w:t xml:space="preserve">) </w:t>
      </w:r>
      <w:r>
        <w:rPr>
          <w:lang w:val="en-US"/>
        </w:rPr>
        <w:t>regional association plot.</w:t>
      </w:r>
    </w:p>
    <w:p w14:paraId="5EC3E617" w14:textId="4C1265F7" w:rsidR="00554AF0" w:rsidRDefault="00554AF0" w:rsidP="00F22553">
      <w:pPr>
        <w:pStyle w:val="Caption"/>
        <w:rPr>
          <w:b/>
          <w:bCs/>
        </w:rPr>
      </w:pPr>
    </w:p>
    <w:p w14:paraId="665DC70F" w14:textId="77777777" w:rsidR="00F22553" w:rsidRDefault="00090A8E" w:rsidP="00F22553">
      <w:pPr>
        <w:keepNext/>
        <w:spacing w:after="0"/>
      </w:pPr>
      <w:r w:rsidRPr="00106573">
        <w:rPr>
          <w:noProof/>
          <w:lang w:eastAsia="en-GB"/>
        </w:rPr>
        <w:drawing>
          <wp:inline distT="0" distB="0" distL="0" distR="0" wp14:anchorId="6FC7C360" wp14:editId="5D9F301C">
            <wp:extent cx="5386998" cy="3743325"/>
            <wp:effectExtent l="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5401409" cy="3753339"/>
                    </a:xfrm>
                    <a:prstGeom prst="rect">
                      <a:avLst/>
                    </a:prstGeom>
                  </pic:spPr>
                </pic:pic>
              </a:graphicData>
            </a:graphic>
          </wp:inline>
        </w:drawing>
      </w:r>
    </w:p>
    <w:p w14:paraId="6B538AE3" w14:textId="5CAEF551" w:rsidR="00554AF0" w:rsidRDefault="00F22553" w:rsidP="00F22553">
      <w:pPr>
        <w:rPr>
          <w:b/>
          <w:bCs/>
        </w:rPr>
      </w:pPr>
      <w:r>
        <w:rPr>
          <w:b/>
          <w:bCs/>
        </w:rPr>
        <w:t xml:space="preserve">Supplementary Figure </w:t>
      </w:r>
      <w:r w:rsidRPr="00D72D54">
        <w:rPr>
          <w:b/>
          <w:bCs/>
        </w:rPr>
        <w:fldChar w:fldCharType="begin"/>
      </w:r>
      <w:r w:rsidRPr="00D72D54">
        <w:rPr>
          <w:b/>
          <w:bCs/>
        </w:rPr>
        <w:instrText xml:space="preserve"> SEQ Figure \* ARABIC </w:instrText>
      </w:r>
      <w:r w:rsidRPr="00D72D54">
        <w:rPr>
          <w:b/>
          <w:bCs/>
        </w:rPr>
        <w:fldChar w:fldCharType="separate"/>
      </w:r>
      <w:r w:rsidR="00B0468B">
        <w:rPr>
          <w:b/>
          <w:bCs/>
          <w:noProof/>
        </w:rPr>
        <w:t>4</w:t>
      </w:r>
      <w:r w:rsidRPr="00D72D54">
        <w:rPr>
          <w:b/>
          <w:bCs/>
        </w:rPr>
        <w:fldChar w:fldCharType="end"/>
      </w:r>
      <w:r w:rsidR="00D72D54" w:rsidRPr="00D72D54">
        <w:rPr>
          <w:b/>
          <w:bCs/>
        </w:rPr>
        <w:t>:</w:t>
      </w:r>
      <w:r>
        <w:t xml:space="preserve"> </w:t>
      </w:r>
      <w:r w:rsidRPr="00554AF0">
        <w:rPr>
          <w:rFonts w:ascii="Calibri" w:hAnsi="Calibri" w:cs="Calibri"/>
          <w:i/>
          <w:iCs/>
          <w:color w:val="000000"/>
        </w:rPr>
        <w:t>NKX3-1</w:t>
      </w:r>
      <w:r>
        <w:rPr>
          <w:rFonts w:ascii="Calibri" w:hAnsi="Calibri" w:cs="Calibri"/>
          <w:color w:val="000000"/>
        </w:rPr>
        <w:t xml:space="preserve"> signal (</w:t>
      </w:r>
      <w:r w:rsidRPr="00CD2539">
        <w:rPr>
          <w:rFonts w:ascii="Calibri" w:hAnsi="Calibri" w:cs="Calibri"/>
          <w:color w:val="000000"/>
        </w:rPr>
        <w:t>rs79401075</w:t>
      </w:r>
      <w:r>
        <w:rPr>
          <w:rFonts w:ascii="Calibri" w:hAnsi="Calibri" w:cs="Calibri"/>
          <w:color w:val="000000"/>
        </w:rPr>
        <w:t>)</w:t>
      </w:r>
      <w:r w:rsidRPr="00090A8E">
        <w:rPr>
          <w:lang w:val="en-US"/>
        </w:rPr>
        <w:t xml:space="preserve"> </w:t>
      </w:r>
      <w:proofErr w:type="spellStart"/>
      <w:r>
        <w:rPr>
          <w:lang w:val="en-US"/>
        </w:rPr>
        <w:t>LocusZoom</w:t>
      </w:r>
      <w:proofErr w:type="spellEnd"/>
      <w:r>
        <w:rPr>
          <w:lang w:val="en-US"/>
        </w:rPr>
        <w:t xml:space="preserve"> plot.</w:t>
      </w:r>
    </w:p>
    <w:p w14:paraId="4F51D1A2" w14:textId="77777777" w:rsidR="00F22553" w:rsidRDefault="00090A8E" w:rsidP="00F22553">
      <w:pPr>
        <w:keepNext/>
        <w:spacing w:after="0"/>
      </w:pPr>
      <w:r w:rsidRPr="00106573">
        <w:rPr>
          <w:noProof/>
          <w:lang w:eastAsia="en-GB"/>
        </w:rPr>
        <w:lastRenderedPageBreak/>
        <w:drawing>
          <wp:inline distT="0" distB="0" distL="0" distR="0" wp14:anchorId="476DC61F" wp14:editId="59567C50">
            <wp:extent cx="5334000" cy="373309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5355353" cy="3748035"/>
                    </a:xfrm>
                    <a:prstGeom prst="rect">
                      <a:avLst/>
                    </a:prstGeom>
                  </pic:spPr>
                </pic:pic>
              </a:graphicData>
            </a:graphic>
          </wp:inline>
        </w:drawing>
      </w:r>
    </w:p>
    <w:p w14:paraId="3B736124" w14:textId="11833AB6" w:rsidR="00554AF0" w:rsidRDefault="00F22553" w:rsidP="00500EA8">
      <w:pPr>
        <w:rPr>
          <w:b/>
          <w:bCs/>
        </w:rPr>
      </w:pPr>
      <w:r>
        <w:rPr>
          <w:b/>
          <w:bCs/>
        </w:rPr>
        <w:t>Supplementary Figure</w:t>
      </w:r>
      <w:r>
        <w:t xml:space="preserve"> </w:t>
      </w:r>
      <w:r w:rsidRPr="00D72D54">
        <w:rPr>
          <w:b/>
          <w:bCs/>
        </w:rPr>
        <w:fldChar w:fldCharType="begin"/>
      </w:r>
      <w:r w:rsidRPr="00D72D54">
        <w:rPr>
          <w:b/>
          <w:bCs/>
        </w:rPr>
        <w:instrText xml:space="preserve"> SEQ Figure \* ARABIC </w:instrText>
      </w:r>
      <w:r w:rsidRPr="00D72D54">
        <w:rPr>
          <w:b/>
          <w:bCs/>
        </w:rPr>
        <w:fldChar w:fldCharType="separate"/>
      </w:r>
      <w:r w:rsidR="00B0468B">
        <w:rPr>
          <w:b/>
          <w:bCs/>
          <w:noProof/>
        </w:rPr>
        <w:t>5</w:t>
      </w:r>
      <w:r w:rsidRPr="00D72D54">
        <w:rPr>
          <w:b/>
          <w:bCs/>
        </w:rPr>
        <w:fldChar w:fldCharType="end"/>
      </w:r>
      <w:r w:rsidR="00D72D54" w:rsidRPr="00D72D54">
        <w:rPr>
          <w:b/>
          <w:bCs/>
        </w:rPr>
        <w:t>:</w:t>
      </w:r>
      <w:r>
        <w:t xml:space="preserve"> </w:t>
      </w:r>
      <w:r w:rsidRPr="00554AF0">
        <w:rPr>
          <w:rFonts w:ascii="Calibri" w:hAnsi="Calibri" w:cs="Calibri"/>
          <w:i/>
          <w:iCs/>
          <w:color w:val="000000"/>
        </w:rPr>
        <w:t>MUC2</w:t>
      </w:r>
      <w:r>
        <w:rPr>
          <w:rFonts w:ascii="Calibri" w:hAnsi="Calibri" w:cs="Calibri"/>
          <w:color w:val="000000"/>
        </w:rPr>
        <w:t xml:space="preserve"> signal</w:t>
      </w:r>
      <w:r w:rsidRPr="00090A8E">
        <w:rPr>
          <w:lang w:val="en-US"/>
        </w:rPr>
        <w:t xml:space="preserve"> </w:t>
      </w:r>
      <w:r>
        <w:rPr>
          <w:lang w:val="en-US"/>
        </w:rPr>
        <w:t>(</w:t>
      </w:r>
      <w:r w:rsidRPr="00CD2539">
        <w:rPr>
          <w:rFonts w:ascii="Calibri" w:hAnsi="Calibri" w:cs="Calibri"/>
          <w:color w:val="000000"/>
        </w:rPr>
        <w:t>rs779167905</w:t>
      </w:r>
      <w:r>
        <w:rPr>
          <w:rFonts w:ascii="Calibri" w:hAnsi="Calibri" w:cs="Calibri"/>
          <w:color w:val="000000"/>
        </w:rPr>
        <w:t xml:space="preserve">) </w:t>
      </w:r>
      <w:r>
        <w:rPr>
          <w:lang w:val="en-US"/>
        </w:rPr>
        <w:t>regional association plot.</w:t>
      </w:r>
    </w:p>
    <w:p w14:paraId="3779447E" w14:textId="77777777" w:rsidR="00F22553" w:rsidRDefault="00090A8E" w:rsidP="00F22553">
      <w:pPr>
        <w:keepNext/>
        <w:spacing w:after="0"/>
      </w:pPr>
      <w:r w:rsidRPr="00106573">
        <w:rPr>
          <w:noProof/>
          <w:lang w:eastAsia="en-GB"/>
        </w:rPr>
        <w:drawing>
          <wp:inline distT="0" distB="0" distL="0" distR="0" wp14:anchorId="4F79F7CE" wp14:editId="7D012AD8">
            <wp:extent cx="5731510" cy="4006215"/>
            <wp:effectExtent l="0" t="0" r="254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5731510" cy="4006215"/>
                    </a:xfrm>
                    <a:prstGeom prst="rect">
                      <a:avLst/>
                    </a:prstGeom>
                  </pic:spPr>
                </pic:pic>
              </a:graphicData>
            </a:graphic>
          </wp:inline>
        </w:drawing>
      </w:r>
    </w:p>
    <w:p w14:paraId="7AD95C9A" w14:textId="309223C4" w:rsidR="00090A8E" w:rsidRDefault="00F22553" w:rsidP="00F22553">
      <w:pPr>
        <w:rPr>
          <w:b/>
          <w:bCs/>
        </w:rPr>
      </w:pPr>
      <w:r>
        <w:rPr>
          <w:b/>
          <w:bCs/>
        </w:rPr>
        <w:t xml:space="preserve">Supplementary Figure </w:t>
      </w:r>
      <w:r w:rsidRPr="00D72D54">
        <w:rPr>
          <w:b/>
          <w:bCs/>
        </w:rPr>
        <w:fldChar w:fldCharType="begin"/>
      </w:r>
      <w:r w:rsidRPr="00D72D54">
        <w:rPr>
          <w:b/>
          <w:bCs/>
        </w:rPr>
        <w:instrText xml:space="preserve"> SEQ Figure \* ARABIC </w:instrText>
      </w:r>
      <w:r w:rsidRPr="00D72D54">
        <w:rPr>
          <w:b/>
          <w:bCs/>
        </w:rPr>
        <w:fldChar w:fldCharType="separate"/>
      </w:r>
      <w:r w:rsidR="00B0468B">
        <w:rPr>
          <w:b/>
          <w:bCs/>
          <w:noProof/>
        </w:rPr>
        <w:t>6</w:t>
      </w:r>
      <w:r w:rsidRPr="00D72D54">
        <w:rPr>
          <w:b/>
          <w:bCs/>
        </w:rPr>
        <w:fldChar w:fldCharType="end"/>
      </w:r>
      <w:r w:rsidR="00D72D54" w:rsidRPr="00D72D54">
        <w:rPr>
          <w:b/>
          <w:bCs/>
        </w:rPr>
        <w:t>:</w:t>
      </w:r>
      <w:r>
        <w:t xml:space="preserve"> </w:t>
      </w:r>
      <w:r w:rsidRPr="00554AF0">
        <w:rPr>
          <w:rFonts w:ascii="Calibri" w:hAnsi="Calibri" w:cs="Calibri"/>
          <w:i/>
          <w:iCs/>
          <w:color w:val="000000"/>
        </w:rPr>
        <w:t>NELL1</w:t>
      </w:r>
      <w:r>
        <w:rPr>
          <w:rFonts w:ascii="Calibri" w:hAnsi="Calibri" w:cs="Calibri"/>
          <w:color w:val="000000"/>
        </w:rPr>
        <w:t xml:space="preserve"> signal</w:t>
      </w:r>
      <w:r w:rsidRPr="00090A8E">
        <w:rPr>
          <w:lang w:val="en-US"/>
        </w:rPr>
        <w:t xml:space="preserve"> </w:t>
      </w:r>
      <w:r>
        <w:rPr>
          <w:lang w:val="en-US"/>
        </w:rPr>
        <w:t>(</w:t>
      </w:r>
      <w:r w:rsidRPr="00CD2539">
        <w:rPr>
          <w:rFonts w:ascii="Calibri" w:hAnsi="Calibri" w:cs="Calibri"/>
          <w:color w:val="000000"/>
        </w:rPr>
        <w:t>rs529240826</w:t>
      </w:r>
      <w:r>
        <w:rPr>
          <w:rFonts w:ascii="Calibri" w:hAnsi="Calibri" w:cs="Calibri"/>
          <w:color w:val="000000"/>
        </w:rPr>
        <w:t xml:space="preserve">) </w:t>
      </w:r>
      <w:r>
        <w:rPr>
          <w:lang w:val="en-US"/>
        </w:rPr>
        <w:t>regional association plot.</w:t>
      </w:r>
    </w:p>
    <w:p w14:paraId="0622BADF" w14:textId="77777777" w:rsidR="00F22553" w:rsidRDefault="00090A8E" w:rsidP="00F22553">
      <w:pPr>
        <w:keepNext/>
        <w:spacing w:after="0"/>
      </w:pPr>
      <w:r w:rsidRPr="00106573">
        <w:rPr>
          <w:noProof/>
          <w:lang w:eastAsia="en-GB"/>
        </w:rPr>
        <w:lastRenderedPageBreak/>
        <w:drawing>
          <wp:inline distT="0" distB="0" distL="0" distR="0" wp14:anchorId="4769C606" wp14:editId="0941EE33">
            <wp:extent cx="5731510" cy="3975100"/>
            <wp:effectExtent l="0" t="0" r="2540" b="635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5731510" cy="3975100"/>
                    </a:xfrm>
                    <a:prstGeom prst="rect">
                      <a:avLst/>
                    </a:prstGeom>
                  </pic:spPr>
                </pic:pic>
              </a:graphicData>
            </a:graphic>
          </wp:inline>
        </w:drawing>
      </w:r>
    </w:p>
    <w:p w14:paraId="356ECC9C" w14:textId="7AFE517D" w:rsidR="00090A8E" w:rsidRDefault="00F22553" w:rsidP="00F22553">
      <w:pPr>
        <w:rPr>
          <w:b/>
          <w:bCs/>
        </w:rPr>
      </w:pPr>
      <w:r>
        <w:rPr>
          <w:b/>
          <w:bCs/>
        </w:rPr>
        <w:t xml:space="preserve">Supplementary Figure </w:t>
      </w:r>
      <w:r w:rsidRPr="00F22553">
        <w:rPr>
          <w:b/>
          <w:bCs/>
        </w:rPr>
        <w:fldChar w:fldCharType="begin"/>
      </w:r>
      <w:r w:rsidRPr="00F22553">
        <w:rPr>
          <w:b/>
          <w:bCs/>
        </w:rPr>
        <w:instrText xml:space="preserve"> SEQ Figure \* ARABIC </w:instrText>
      </w:r>
      <w:r w:rsidRPr="00F22553">
        <w:rPr>
          <w:b/>
          <w:bCs/>
        </w:rPr>
        <w:fldChar w:fldCharType="separate"/>
      </w:r>
      <w:r w:rsidR="00B0468B">
        <w:rPr>
          <w:b/>
          <w:bCs/>
          <w:noProof/>
        </w:rPr>
        <w:t>7</w:t>
      </w:r>
      <w:r w:rsidRPr="00F22553">
        <w:rPr>
          <w:b/>
          <w:bCs/>
        </w:rPr>
        <w:fldChar w:fldCharType="end"/>
      </w:r>
      <w:r>
        <w:t xml:space="preserve">: </w:t>
      </w:r>
      <w:r w:rsidRPr="00554AF0">
        <w:rPr>
          <w:rFonts w:ascii="Calibri" w:hAnsi="Calibri" w:cs="Calibri"/>
          <w:i/>
          <w:iCs/>
          <w:color w:val="000000"/>
        </w:rPr>
        <w:t>FUT2</w:t>
      </w:r>
      <w:r>
        <w:rPr>
          <w:rFonts w:ascii="Calibri" w:hAnsi="Calibri" w:cs="Calibri"/>
          <w:color w:val="000000"/>
        </w:rPr>
        <w:t xml:space="preserve"> signal (</w:t>
      </w:r>
      <w:r w:rsidRPr="00CD2539">
        <w:rPr>
          <w:rFonts w:ascii="Calibri" w:hAnsi="Calibri" w:cs="Calibri"/>
          <w:color w:val="000000"/>
        </w:rPr>
        <w:t>rs492602</w:t>
      </w:r>
      <w:r>
        <w:rPr>
          <w:rFonts w:ascii="Calibri" w:hAnsi="Calibri" w:cs="Calibri"/>
          <w:color w:val="000000"/>
        </w:rPr>
        <w:t>)</w:t>
      </w:r>
      <w:r w:rsidRPr="00090A8E">
        <w:rPr>
          <w:lang w:val="en-US"/>
        </w:rPr>
        <w:t xml:space="preserve"> </w:t>
      </w:r>
      <w:r>
        <w:rPr>
          <w:lang w:val="en-US"/>
        </w:rPr>
        <w:t>regional association plot.</w:t>
      </w:r>
    </w:p>
    <w:p w14:paraId="63D340B6" w14:textId="77777777" w:rsidR="00F22553" w:rsidRDefault="00B557F6" w:rsidP="00F22553">
      <w:pPr>
        <w:keepNext/>
      </w:pPr>
      <w:r>
        <w:rPr>
          <w:noProof/>
          <w:lang w:eastAsia="en-GB"/>
        </w:rPr>
        <w:lastRenderedPageBreak/>
        <w:drawing>
          <wp:inline distT="0" distB="0" distL="0" distR="0" wp14:anchorId="66407C01" wp14:editId="2413AB1E">
            <wp:extent cx="5734050" cy="4962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4962525"/>
                    </a:xfrm>
                    <a:prstGeom prst="rect">
                      <a:avLst/>
                    </a:prstGeom>
                    <a:noFill/>
                    <a:ln>
                      <a:noFill/>
                    </a:ln>
                  </pic:spPr>
                </pic:pic>
              </a:graphicData>
            </a:graphic>
          </wp:inline>
        </w:drawing>
      </w:r>
    </w:p>
    <w:p w14:paraId="2C7DE93D" w14:textId="4C5B6E6B" w:rsidR="00F22553" w:rsidRPr="001A3FBC" w:rsidRDefault="00F22553" w:rsidP="00F22553">
      <w:pPr>
        <w:rPr>
          <w:rFonts w:eastAsia="Times New Roman" w:cstheme="minorHAnsi"/>
          <w:color w:val="000000"/>
          <w:lang w:val="en-US"/>
        </w:rPr>
      </w:pPr>
      <w:r>
        <w:rPr>
          <w:b/>
          <w:bCs/>
        </w:rPr>
        <w:t xml:space="preserve">Supplementary Figure </w:t>
      </w:r>
      <w:r w:rsidRPr="00F22553">
        <w:rPr>
          <w:b/>
          <w:bCs/>
        </w:rPr>
        <w:fldChar w:fldCharType="begin"/>
      </w:r>
      <w:r w:rsidRPr="00F22553">
        <w:rPr>
          <w:b/>
          <w:bCs/>
        </w:rPr>
        <w:instrText xml:space="preserve"> SEQ Figure \* ARABIC </w:instrText>
      </w:r>
      <w:r w:rsidRPr="00F22553">
        <w:rPr>
          <w:b/>
          <w:bCs/>
        </w:rPr>
        <w:fldChar w:fldCharType="separate"/>
      </w:r>
      <w:r w:rsidR="00B0468B">
        <w:rPr>
          <w:b/>
          <w:bCs/>
          <w:noProof/>
        </w:rPr>
        <w:t>8</w:t>
      </w:r>
      <w:r w:rsidRPr="00F22553">
        <w:rPr>
          <w:b/>
          <w:bCs/>
        </w:rPr>
        <w:fldChar w:fldCharType="end"/>
      </w:r>
      <w:r w:rsidRPr="00F22553">
        <w:rPr>
          <w:rFonts w:eastAsia="Times New Roman" w:cstheme="minorHAnsi"/>
          <w:b/>
          <w:bCs/>
          <w:color w:val="000000"/>
          <w:lang w:val="en-US"/>
        </w:rPr>
        <w:t>:</w:t>
      </w:r>
      <w:r w:rsidRPr="001A3FBC">
        <w:rPr>
          <w:rFonts w:eastAsia="Times New Roman" w:cstheme="minorHAnsi"/>
          <w:b/>
          <w:bCs/>
          <w:color w:val="000000"/>
          <w:lang w:val="en-US"/>
        </w:rPr>
        <w:t xml:space="preserve"> </w:t>
      </w:r>
      <w:r w:rsidRPr="001A3FBC">
        <w:rPr>
          <w:rFonts w:eastAsia="Times New Roman" w:cstheme="minorHAnsi"/>
          <w:color w:val="000000"/>
          <w:lang w:val="en-US"/>
        </w:rPr>
        <w:t>Plot of beta values for association for sentinel variants in smokers</w:t>
      </w:r>
      <w:r>
        <w:rPr>
          <w:rFonts w:eastAsia="Times New Roman" w:cstheme="minorHAnsi"/>
          <w:color w:val="000000"/>
          <w:lang w:val="en-US"/>
        </w:rPr>
        <w:t xml:space="preserve"> (N cases = 5</w:t>
      </w:r>
      <w:r w:rsidR="00FD1FC0">
        <w:rPr>
          <w:rFonts w:eastAsia="Times New Roman" w:cstheme="minorHAnsi"/>
          <w:color w:val="000000"/>
          <w:lang w:val="en-US"/>
        </w:rPr>
        <w:t>,</w:t>
      </w:r>
      <w:r>
        <w:rPr>
          <w:rFonts w:eastAsia="Times New Roman" w:cstheme="minorHAnsi"/>
          <w:color w:val="000000"/>
          <w:lang w:val="en-US"/>
        </w:rPr>
        <w:t>306, N controls = 20</w:t>
      </w:r>
      <w:r w:rsidR="00FD1FC0">
        <w:rPr>
          <w:rFonts w:eastAsia="Times New Roman" w:cstheme="minorHAnsi"/>
          <w:color w:val="000000"/>
          <w:lang w:val="en-US"/>
        </w:rPr>
        <w:t>,</w:t>
      </w:r>
      <w:r>
        <w:rPr>
          <w:rFonts w:eastAsia="Times New Roman" w:cstheme="minorHAnsi"/>
          <w:color w:val="000000"/>
          <w:lang w:val="en-US"/>
        </w:rPr>
        <w:t>913) against beta values for sentinel variants in non-smokers (N cases = 4</w:t>
      </w:r>
      <w:r w:rsidR="00FD1FC0">
        <w:rPr>
          <w:rFonts w:eastAsia="Times New Roman" w:cstheme="minorHAnsi"/>
          <w:color w:val="000000"/>
          <w:lang w:val="en-US"/>
        </w:rPr>
        <w:t>,</w:t>
      </w:r>
      <w:r>
        <w:rPr>
          <w:rFonts w:eastAsia="Times New Roman" w:cstheme="minorHAnsi"/>
          <w:color w:val="000000"/>
          <w:lang w:val="en-US"/>
        </w:rPr>
        <w:t>408, N controls = 27</w:t>
      </w:r>
      <w:r w:rsidR="00FD1FC0">
        <w:rPr>
          <w:rFonts w:eastAsia="Times New Roman" w:cstheme="minorHAnsi"/>
          <w:color w:val="000000"/>
          <w:lang w:val="en-US"/>
        </w:rPr>
        <w:t>,</w:t>
      </w:r>
      <w:r>
        <w:rPr>
          <w:rFonts w:eastAsia="Times New Roman" w:cstheme="minorHAnsi"/>
          <w:color w:val="000000"/>
          <w:lang w:val="en-US"/>
        </w:rPr>
        <w:t>559), sentinel variants labelled with corresponding loci.</w:t>
      </w:r>
    </w:p>
    <w:p w14:paraId="6FCE40B6" w14:textId="77777777" w:rsidR="00F22553" w:rsidRDefault="00000651" w:rsidP="00F22553">
      <w:pPr>
        <w:keepNext/>
      </w:pPr>
      <w:r>
        <w:rPr>
          <w:noProof/>
          <w:lang w:eastAsia="en-GB"/>
        </w:rPr>
        <w:lastRenderedPageBreak/>
        <w:drawing>
          <wp:inline distT="0" distB="0" distL="0" distR="0" wp14:anchorId="02D4D47B" wp14:editId="3501D58D">
            <wp:extent cx="5734050" cy="4962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50" cy="4962525"/>
                    </a:xfrm>
                    <a:prstGeom prst="rect">
                      <a:avLst/>
                    </a:prstGeom>
                    <a:noFill/>
                    <a:ln>
                      <a:noFill/>
                    </a:ln>
                  </pic:spPr>
                </pic:pic>
              </a:graphicData>
            </a:graphic>
          </wp:inline>
        </w:drawing>
      </w:r>
    </w:p>
    <w:p w14:paraId="11E00356" w14:textId="3B3DEF49" w:rsidR="00F22553" w:rsidRDefault="00F22553" w:rsidP="00F22553">
      <w:pPr>
        <w:rPr>
          <w:rFonts w:cstheme="minorHAnsi"/>
          <w:shd w:val="clear" w:color="auto" w:fill="FFFFFF"/>
        </w:rPr>
      </w:pPr>
      <w:r>
        <w:rPr>
          <w:b/>
          <w:bCs/>
        </w:rPr>
        <w:t xml:space="preserve">Supplementary </w:t>
      </w:r>
      <w:r w:rsidRPr="00F22553">
        <w:rPr>
          <w:b/>
          <w:bCs/>
        </w:rPr>
        <w:t xml:space="preserve">Figure </w:t>
      </w:r>
      <w:r w:rsidRPr="00F22553">
        <w:rPr>
          <w:b/>
          <w:bCs/>
        </w:rPr>
        <w:fldChar w:fldCharType="begin"/>
      </w:r>
      <w:r w:rsidRPr="00F22553">
        <w:rPr>
          <w:b/>
          <w:bCs/>
        </w:rPr>
        <w:instrText xml:space="preserve"> SEQ Figure \* ARABIC </w:instrText>
      </w:r>
      <w:r w:rsidRPr="00F22553">
        <w:rPr>
          <w:b/>
          <w:bCs/>
        </w:rPr>
        <w:fldChar w:fldCharType="separate"/>
      </w:r>
      <w:r w:rsidR="00B0468B">
        <w:rPr>
          <w:b/>
          <w:bCs/>
          <w:noProof/>
        </w:rPr>
        <w:t>9</w:t>
      </w:r>
      <w:r w:rsidRPr="00F22553">
        <w:rPr>
          <w:b/>
          <w:bCs/>
        </w:rPr>
        <w:fldChar w:fldCharType="end"/>
      </w:r>
      <w:r w:rsidRPr="00F22553">
        <w:rPr>
          <w:rFonts w:eastAsia="Times New Roman" w:cstheme="minorHAnsi"/>
          <w:b/>
          <w:bCs/>
          <w:color w:val="000000"/>
          <w:lang w:val="en-US"/>
        </w:rPr>
        <w:t>:</w:t>
      </w:r>
      <w:r w:rsidRPr="001A3FBC">
        <w:rPr>
          <w:rFonts w:eastAsia="Times New Roman" w:cstheme="minorHAnsi"/>
          <w:b/>
          <w:bCs/>
          <w:color w:val="000000"/>
          <w:lang w:val="en-US"/>
        </w:rPr>
        <w:t xml:space="preserve"> </w:t>
      </w:r>
      <w:r w:rsidRPr="001A3FBC">
        <w:rPr>
          <w:rFonts w:eastAsia="Times New Roman" w:cstheme="minorHAnsi"/>
          <w:color w:val="000000"/>
          <w:lang w:val="en-US"/>
        </w:rPr>
        <w:t xml:space="preserve">Plot of beta values for association for sentinel variants in </w:t>
      </w:r>
      <w:r>
        <w:rPr>
          <w:rFonts w:eastAsia="Times New Roman" w:cstheme="minorHAnsi"/>
          <w:color w:val="000000"/>
          <w:lang w:val="en-US"/>
        </w:rPr>
        <w:t>those with no history of chronic respiratory disease (N cases = 39</w:t>
      </w:r>
      <w:r w:rsidR="00FD1FC0">
        <w:rPr>
          <w:rFonts w:eastAsia="Times New Roman" w:cstheme="minorHAnsi"/>
          <w:color w:val="000000"/>
          <w:lang w:val="en-US"/>
        </w:rPr>
        <w:t>,</w:t>
      </w:r>
      <w:r>
        <w:rPr>
          <w:rFonts w:eastAsia="Times New Roman" w:cstheme="minorHAnsi"/>
          <w:color w:val="000000"/>
          <w:lang w:val="en-US"/>
        </w:rPr>
        <w:t>967, N controls = 6</w:t>
      </w:r>
      <w:r w:rsidR="00FD1FC0">
        <w:rPr>
          <w:rFonts w:eastAsia="Times New Roman" w:cstheme="minorHAnsi"/>
          <w:color w:val="000000"/>
          <w:lang w:val="en-US"/>
        </w:rPr>
        <w:t>,</w:t>
      </w:r>
      <w:r>
        <w:rPr>
          <w:rFonts w:eastAsia="Times New Roman" w:cstheme="minorHAnsi"/>
          <w:color w:val="000000"/>
          <w:lang w:val="en-US"/>
        </w:rPr>
        <w:t>076</w:t>
      </w:r>
      <w:r>
        <w:rPr>
          <w:rFonts w:cstheme="minorHAnsi"/>
          <w:shd w:val="clear" w:color="auto" w:fill="FFFFFF"/>
        </w:rPr>
        <w:t xml:space="preserve">), </w:t>
      </w:r>
      <w:r>
        <w:rPr>
          <w:rFonts w:eastAsia="Times New Roman" w:cstheme="minorHAnsi"/>
          <w:color w:val="000000"/>
          <w:lang w:val="en-US"/>
        </w:rPr>
        <w:t xml:space="preserve">against beta values for sentinel variants in those with a history of chronic respiratory disease (N cases = </w:t>
      </w:r>
      <w:proofErr w:type="gramStart"/>
      <w:r>
        <w:rPr>
          <w:rFonts w:eastAsia="Times New Roman" w:cstheme="minorHAnsi"/>
          <w:color w:val="000000"/>
          <w:lang w:val="en-US"/>
        </w:rPr>
        <w:t>3</w:t>
      </w:r>
      <w:r w:rsidR="00FD1FC0">
        <w:rPr>
          <w:rFonts w:eastAsia="Times New Roman" w:cstheme="minorHAnsi"/>
          <w:color w:val="000000"/>
          <w:lang w:val="en-US"/>
        </w:rPr>
        <w:t>,</w:t>
      </w:r>
      <w:r>
        <w:rPr>
          <w:rFonts w:eastAsia="Times New Roman" w:cstheme="minorHAnsi"/>
          <w:color w:val="000000"/>
          <w:lang w:val="en-US"/>
        </w:rPr>
        <w:t>741 ,</w:t>
      </w:r>
      <w:proofErr w:type="gramEnd"/>
      <w:r>
        <w:rPr>
          <w:rFonts w:eastAsia="Times New Roman" w:cstheme="minorHAnsi"/>
          <w:color w:val="000000"/>
          <w:lang w:val="en-US"/>
        </w:rPr>
        <w:t xml:space="preserve"> N controls = 9</w:t>
      </w:r>
      <w:r w:rsidR="00FD1FC0">
        <w:rPr>
          <w:rFonts w:eastAsia="Times New Roman" w:cstheme="minorHAnsi"/>
          <w:color w:val="000000"/>
          <w:lang w:val="en-US"/>
        </w:rPr>
        <w:t>,</w:t>
      </w:r>
      <w:r>
        <w:rPr>
          <w:rFonts w:eastAsia="Times New Roman" w:cstheme="minorHAnsi"/>
          <w:color w:val="000000"/>
          <w:lang w:val="en-US"/>
        </w:rPr>
        <w:t xml:space="preserve">118), sentinel variants labelled with corresponding loci. History of respiratory disease defined as one or more of, </w:t>
      </w:r>
      <w:r>
        <w:rPr>
          <w:rFonts w:cstheme="minorHAnsi"/>
          <w:shd w:val="clear" w:color="auto" w:fill="FFFFFF"/>
        </w:rPr>
        <w:t>spirometry defined COPD GOLD1+, doctor diagnosed asthma or doctor diagnosed chronic bronchitis.</w:t>
      </w:r>
    </w:p>
    <w:p w14:paraId="720EE74C" w14:textId="299F3206" w:rsidR="00DD14AB" w:rsidRDefault="00BE0BDA" w:rsidP="00DD14AB">
      <w:pPr>
        <w:keepNext/>
      </w:pPr>
      <w:r>
        <w:rPr>
          <w:rFonts w:cstheme="minorHAnsi"/>
          <w:noProof/>
          <w:shd w:val="clear" w:color="auto" w:fill="FFFFFF"/>
          <w:lang w:eastAsia="en-GB"/>
        </w:rPr>
        <w:lastRenderedPageBreak/>
        <w:drawing>
          <wp:inline distT="0" distB="0" distL="0" distR="0" wp14:anchorId="5C3B341F" wp14:editId="1D5D9163">
            <wp:extent cx="5724525" cy="5476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5476875"/>
                    </a:xfrm>
                    <a:prstGeom prst="rect">
                      <a:avLst/>
                    </a:prstGeom>
                    <a:noFill/>
                    <a:ln>
                      <a:noFill/>
                    </a:ln>
                  </pic:spPr>
                </pic:pic>
              </a:graphicData>
            </a:graphic>
          </wp:inline>
        </w:drawing>
      </w:r>
    </w:p>
    <w:p w14:paraId="1781DF59" w14:textId="4E2AD063" w:rsidR="00DD14AB" w:rsidRDefault="00DD14AB" w:rsidP="00DD14AB">
      <w:pPr>
        <w:rPr>
          <w:rFonts w:eastAsia="Times New Roman" w:cstheme="minorHAnsi"/>
          <w:color w:val="000000"/>
          <w:lang w:val="en-US"/>
        </w:rPr>
      </w:pPr>
      <w:r>
        <w:rPr>
          <w:b/>
          <w:bCs/>
        </w:rPr>
        <w:t xml:space="preserve">Supplementary </w:t>
      </w:r>
      <w:r w:rsidRPr="00F22553">
        <w:rPr>
          <w:b/>
          <w:bCs/>
        </w:rPr>
        <w:t>Figure</w:t>
      </w:r>
      <w:r w:rsidRPr="00DD14AB">
        <w:rPr>
          <w:b/>
          <w:bCs/>
        </w:rPr>
        <w:t xml:space="preserve"> </w:t>
      </w:r>
      <w:r w:rsidRPr="00DD14AB">
        <w:rPr>
          <w:b/>
          <w:bCs/>
        </w:rPr>
        <w:fldChar w:fldCharType="begin"/>
      </w:r>
      <w:r w:rsidRPr="00DD14AB">
        <w:rPr>
          <w:b/>
          <w:bCs/>
        </w:rPr>
        <w:instrText xml:space="preserve"> SEQ Figure \* ARABIC </w:instrText>
      </w:r>
      <w:r w:rsidRPr="00DD14AB">
        <w:rPr>
          <w:b/>
          <w:bCs/>
        </w:rPr>
        <w:fldChar w:fldCharType="separate"/>
      </w:r>
      <w:r w:rsidR="00B0468B">
        <w:rPr>
          <w:b/>
          <w:bCs/>
          <w:noProof/>
        </w:rPr>
        <w:t>10</w:t>
      </w:r>
      <w:r w:rsidRPr="00DD14AB">
        <w:rPr>
          <w:b/>
          <w:bCs/>
        </w:rPr>
        <w:fldChar w:fldCharType="end"/>
      </w:r>
      <w:r w:rsidRPr="00DD14AB">
        <w:rPr>
          <w:b/>
          <w:bCs/>
        </w:rPr>
        <w:t>:</w:t>
      </w:r>
      <w:r>
        <w:t xml:space="preserve"> </w:t>
      </w:r>
      <w:r w:rsidRPr="001A3FBC">
        <w:rPr>
          <w:rFonts w:eastAsia="Times New Roman" w:cstheme="minorHAnsi"/>
          <w:color w:val="000000"/>
          <w:lang w:val="en-US"/>
        </w:rPr>
        <w:t xml:space="preserve">Plot of beta values for association for sentinel variants in </w:t>
      </w:r>
      <w:r>
        <w:rPr>
          <w:rFonts w:eastAsia="Times New Roman" w:cstheme="minorHAnsi"/>
          <w:color w:val="000000"/>
          <w:lang w:val="en-US"/>
        </w:rPr>
        <w:t xml:space="preserve">males (N cases = </w:t>
      </w:r>
      <w:r>
        <w:t>5</w:t>
      </w:r>
      <w:r w:rsidR="00FD1FC0">
        <w:t>,</w:t>
      </w:r>
      <w:r>
        <w:t>589</w:t>
      </w:r>
      <w:r>
        <w:rPr>
          <w:rFonts w:eastAsia="Times New Roman" w:cstheme="minorHAnsi"/>
          <w:color w:val="000000"/>
          <w:lang w:val="en-US"/>
        </w:rPr>
        <w:t xml:space="preserve">, N controls = </w:t>
      </w:r>
      <w:r>
        <w:t>27</w:t>
      </w:r>
      <w:r w:rsidR="00FD1FC0">
        <w:t>,</w:t>
      </w:r>
      <w:r>
        <w:t>880)</w:t>
      </w:r>
      <w:r>
        <w:rPr>
          <w:rFonts w:cstheme="minorHAnsi"/>
          <w:shd w:val="clear" w:color="auto" w:fill="FFFFFF"/>
        </w:rPr>
        <w:t xml:space="preserve">, </w:t>
      </w:r>
      <w:r>
        <w:rPr>
          <w:rFonts w:eastAsia="Times New Roman" w:cstheme="minorHAnsi"/>
          <w:color w:val="000000"/>
          <w:lang w:val="en-US"/>
        </w:rPr>
        <w:t xml:space="preserve">against beta values for sentinel variants </w:t>
      </w:r>
      <w:r w:rsidRPr="001A3FBC">
        <w:rPr>
          <w:rFonts w:eastAsia="Times New Roman" w:cstheme="minorHAnsi"/>
          <w:color w:val="000000"/>
          <w:lang w:val="en-US"/>
        </w:rPr>
        <w:t xml:space="preserve">in </w:t>
      </w:r>
      <w:r>
        <w:rPr>
          <w:rFonts w:eastAsia="Times New Roman" w:cstheme="minorHAnsi"/>
          <w:color w:val="000000"/>
          <w:lang w:val="en-US"/>
        </w:rPr>
        <w:t xml:space="preserve">females (N cases = </w:t>
      </w:r>
      <w:r>
        <w:t>4</w:t>
      </w:r>
      <w:r w:rsidR="00FD1FC0">
        <w:t>,</w:t>
      </w:r>
      <w:r>
        <w:t>124</w:t>
      </w:r>
      <w:r>
        <w:rPr>
          <w:rFonts w:eastAsia="Times New Roman" w:cstheme="minorHAnsi"/>
          <w:color w:val="000000"/>
          <w:lang w:val="en-US"/>
        </w:rPr>
        <w:t xml:space="preserve">, N controls = </w:t>
      </w:r>
      <w:r>
        <w:t>20</w:t>
      </w:r>
      <w:r w:rsidR="00FD1FC0">
        <w:t>,</w:t>
      </w:r>
      <w:r>
        <w:t>579</w:t>
      </w:r>
      <w:r>
        <w:rPr>
          <w:rFonts w:eastAsia="Times New Roman" w:cstheme="minorHAnsi"/>
          <w:color w:val="000000"/>
          <w:lang w:val="en-US"/>
        </w:rPr>
        <w:t>), sentinel variants labelled with corresponding loci.</w:t>
      </w:r>
    </w:p>
    <w:p w14:paraId="249921DB" w14:textId="21B4840F" w:rsidR="00F24A06" w:rsidRDefault="00F24A06">
      <w:pPr>
        <w:rPr>
          <w:rFonts w:eastAsia="Times New Roman" w:cstheme="minorHAnsi"/>
          <w:color w:val="000000"/>
          <w:lang w:val="en-US"/>
        </w:rPr>
      </w:pPr>
      <w:r>
        <w:rPr>
          <w:rFonts w:eastAsia="Times New Roman" w:cstheme="minorHAnsi"/>
          <w:color w:val="000000"/>
          <w:lang w:val="en-US"/>
        </w:rPr>
        <w:br w:type="page"/>
      </w:r>
    </w:p>
    <w:p w14:paraId="17BEFD1C" w14:textId="77777777" w:rsidR="00F24A06" w:rsidRDefault="00F24A06" w:rsidP="00F24A06">
      <w:pPr>
        <w:keepNext/>
      </w:pPr>
      <w:r>
        <w:rPr>
          <w:noProof/>
          <w:lang w:eastAsia="en-GB"/>
        </w:rPr>
        <w:lastRenderedPageBreak/>
        <w:drawing>
          <wp:inline distT="0" distB="0" distL="0" distR="0" wp14:anchorId="76C2433F" wp14:editId="159ACE03">
            <wp:extent cx="5724525" cy="4010025"/>
            <wp:effectExtent l="0" t="0" r="9525" b="9525"/>
            <wp:docPr id="15" name="Picture 15"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 histo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4010025"/>
                    </a:xfrm>
                    <a:prstGeom prst="rect">
                      <a:avLst/>
                    </a:prstGeom>
                    <a:noFill/>
                    <a:ln>
                      <a:noFill/>
                    </a:ln>
                  </pic:spPr>
                </pic:pic>
              </a:graphicData>
            </a:graphic>
          </wp:inline>
        </w:drawing>
      </w:r>
    </w:p>
    <w:p w14:paraId="08E148E1" w14:textId="09E18156" w:rsidR="00F24A06" w:rsidRDefault="002456B3" w:rsidP="00F24A06">
      <w:pPr>
        <w:rPr>
          <w:rFonts w:ascii="Segoe UI" w:hAnsi="Segoe UI" w:cs="Segoe UI"/>
          <w:i/>
          <w:color w:val="201F1E"/>
          <w:sz w:val="23"/>
          <w:szCs w:val="23"/>
          <w:shd w:val="clear" w:color="auto" w:fill="FFFFFF"/>
        </w:rPr>
      </w:pPr>
      <w:r>
        <w:rPr>
          <w:b/>
          <w:bCs/>
        </w:rPr>
        <w:t xml:space="preserve">Supplementary </w:t>
      </w:r>
      <w:r w:rsidR="00F24A06" w:rsidRPr="00F24A06">
        <w:rPr>
          <w:b/>
          <w:bCs/>
        </w:rPr>
        <w:t xml:space="preserve">Figure </w:t>
      </w:r>
      <w:r w:rsidR="00F24A06" w:rsidRPr="00F24A06">
        <w:rPr>
          <w:b/>
          <w:bCs/>
        </w:rPr>
        <w:fldChar w:fldCharType="begin"/>
      </w:r>
      <w:r w:rsidR="00F24A06" w:rsidRPr="00F24A06">
        <w:rPr>
          <w:b/>
          <w:bCs/>
        </w:rPr>
        <w:instrText xml:space="preserve"> SEQ Figure \* ARABIC </w:instrText>
      </w:r>
      <w:r w:rsidR="00F24A06" w:rsidRPr="00F24A06">
        <w:rPr>
          <w:b/>
          <w:bCs/>
        </w:rPr>
        <w:fldChar w:fldCharType="separate"/>
      </w:r>
      <w:r w:rsidR="00B0468B">
        <w:rPr>
          <w:b/>
          <w:bCs/>
          <w:noProof/>
        </w:rPr>
        <w:t>11</w:t>
      </w:r>
      <w:r w:rsidR="00F24A06" w:rsidRPr="00F24A06">
        <w:rPr>
          <w:b/>
          <w:bCs/>
        </w:rPr>
        <w:fldChar w:fldCharType="end"/>
      </w:r>
      <w:r w:rsidR="00F24A06" w:rsidRPr="00F24A06">
        <w:rPr>
          <w:b/>
          <w:bCs/>
        </w:rPr>
        <w:t>:</w:t>
      </w:r>
      <w:r w:rsidR="00F24A06">
        <w:t xml:space="preserve"> </w:t>
      </w:r>
      <w:r w:rsidR="00F24A06" w:rsidRPr="00FD3667">
        <w:t xml:space="preserve">Histogram of month that online questionnaire was completed (field-ID 22500) for </w:t>
      </w:r>
      <w:r w:rsidR="00F63E29">
        <w:t xml:space="preserve">A) all </w:t>
      </w:r>
      <w:r w:rsidR="00F24A06">
        <w:t xml:space="preserve">cases and controls and </w:t>
      </w:r>
      <w:r w:rsidR="00F63E29">
        <w:t xml:space="preserve">B) </w:t>
      </w:r>
      <w:r w:rsidR="00F24A06" w:rsidRPr="00FD3667">
        <w:t>cases</w:t>
      </w:r>
      <w:r w:rsidR="00F24A06">
        <w:t xml:space="preserve"> only</w:t>
      </w:r>
      <w:r w:rsidR="00F24A06" w:rsidRPr="00FD3667">
        <w:t xml:space="preserve"> in </w:t>
      </w:r>
      <w:r w:rsidR="00F63E29">
        <w:t>UK Biobank</w:t>
      </w:r>
      <w:r w:rsidR="00F24A06" w:rsidRPr="00FD3667">
        <w:t>.</w:t>
      </w:r>
    </w:p>
    <w:p w14:paraId="253B0174" w14:textId="45B5A426" w:rsidR="00F24A06" w:rsidRDefault="00F24A06" w:rsidP="00F24A06">
      <w:pPr>
        <w:pStyle w:val="Caption"/>
        <w:rPr>
          <w:rFonts w:cstheme="minorHAnsi"/>
          <w:shd w:val="clear" w:color="auto" w:fill="FFFFFF"/>
        </w:rPr>
      </w:pPr>
    </w:p>
    <w:p w14:paraId="27C33369" w14:textId="6C6225FB" w:rsidR="00DD14AB" w:rsidRPr="001A3FBC" w:rsidRDefault="00DD14AB" w:rsidP="00DD14AB">
      <w:pPr>
        <w:pStyle w:val="Caption"/>
        <w:rPr>
          <w:rFonts w:eastAsia="Times New Roman" w:cstheme="minorHAnsi"/>
          <w:color w:val="000000"/>
          <w:lang w:val="en-US"/>
        </w:rPr>
      </w:pPr>
    </w:p>
    <w:p w14:paraId="06812F2B" w14:textId="24FB2B49" w:rsidR="00EF40F6" w:rsidRDefault="00EF40F6" w:rsidP="00EF40F6">
      <w:pPr>
        <w:rPr>
          <w:noProof/>
        </w:rPr>
      </w:pPr>
    </w:p>
    <w:p w14:paraId="6EB589EE" w14:textId="5B7AE5F1" w:rsidR="0093248B" w:rsidRDefault="00BE0BDA" w:rsidP="0093248B">
      <w:pPr>
        <w:keepNext/>
        <w:tabs>
          <w:tab w:val="left" w:pos="2025"/>
        </w:tabs>
      </w:pPr>
      <w:r>
        <w:rPr>
          <w:noProof/>
          <w:lang w:eastAsia="en-GB"/>
        </w:rPr>
        <w:lastRenderedPageBreak/>
        <w:drawing>
          <wp:inline distT="0" distB="0" distL="0" distR="0" wp14:anchorId="52E9B80A" wp14:editId="14D44098">
            <wp:extent cx="5724525" cy="5476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4525" cy="5476875"/>
                    </a:xfrm>
                    <a:prstGeom prst="rect">
                      <a:avLst/>
                    </a:prstGeom>
                    <a:noFill/>
                    <a:ln>
                      <a:noFill/>
                    </a:ln>
                  </pic:spPr>
                </pic:pic>
              </a:graphicData>
            </a:graphic>
          </wp:inline>
        </w:drawing>
      </w:r>
    </w:p>
    <w:p w14:paraId="05435EEF" w14:textId="72BEA2B0" w:rsidR="0093248B" w:rsidRDefault="0093248B" w:rsidP="0093248B">
      <w:pPr>
        <w:rPr>
          <w:rFonts w:cstheme="minorHAnsi"/>
          <w:shd w:val="clear" w:color="auto" w:fill="FFFFFF"/>
        </w:rPr>
      </w:pPr>
      <w:r>
        <w:rPr>
          <w:b/>
          <w:bCs/>
        </w:rPr>
        <w:t xml:space="preserve">Supplementary </w:t>
      </w:r>
      <w:r w:rsidRPr="00F22553">
        <w:rPr>
          <w:b/>
          <w:bCs/>
        </w:rPr>
        <w:t>Figure</w:t>
      </w:r>
      <w:r>
        <w:t xml:space="preserve"> </w:t>
      </w:r>
      <w:r w:rsidRPr="0093248B">
        <w:rPr>
          <w:b/>
          <w:bCs/>
        </w:rPr>
        <w:fldChar w:fldCharType="begin"/>
      </w:r>
      <w:r w:rsidRPr="0093248B">
        <w:rPr>
          <w:b/>
          <w:bCs/>
        </w:rPr>
        <w:instrText xml:space="preserve"> SEQ Figure \* ARABIC </w:instrText>
      </w:r>
      <w:r w:rsidRPr="0093248B">
        <w:rPr>
          <w:b/>
          <w:bCs/>
        </w:rPr>
        <w:fldChar w:fldCharType="separate"/>
      </w:r>
      <w:r w:rsidR="00B0468B">
        <w:rPr>
          <w:b/>
          <w:bCs/>
          <w:noProof/>
        </w:rPr>
        <w:t>12</w:t>
      </w:r>
      <w:r w:rsidRPr="0093248B">
        <w:rPr>
          <w:b/>
          <w:bCs/>
        </w:rPr>
        <w:fldChar w:fldCharType="end"/>
      </w:r>
      <w:r w:rsidRPr="0093248B">
        <w:rPr>
          <w:b/>
          <w:bCs/>
        </w:rPr>
        <w:t>:</w:t>
      </w:r>
      <w:r>
        <w:rPr>
          <w:b/>
          <w:bCs/>
        </w:rPr>
        <w:t xml:space="preserve"> </w:t>
      </w:r>
      <w:r w:rsidRPr="001A3FBC">
        <w:rPr>
          <w:rFonts w:eastAsia="Times New Roman" w:cstheme="minorHAnsi"/>
          <w:color w:val="000000"/>
          <w:lang w:val="en-US"/>
        </w:rPr>
        <w:t xml:space="preserve">Plot of beta values for association for sentinel variants in </w:t>
      </w:r>
      <w:r>
        <w:rPr>
          <w:rFonts w:eastAsia="Times New Roman" w:cstheme="minorHAnsi"/>
          <w:color w:val="000000"/>
          <w:lang w:val="en-US"/>
        </w:rPr>
        <w:t xml:space="preserve">those who completed the online questionnaire in </w:t>
      </w:r>
      <w:r w:rsidR="004D52BC">
        <w:rPr>
          <w:rFonts w:eastAsia="Times New Roman" w:cstheme="minorHAnsi"/>
          <w:color w:val="000000"/>
          <w:lang w:val="en-US"/>
        </w:rPr>
        <w:t xml:space="preserve">July, August, and September </w:t>
      </w:r>
      <w:r>
        <w:rPr>
          <w:rFonts w:eastAsia="Times New Roman" w:cstheme="minorHAnsi"/>
          <w:color w:val="000000"/>
          <w:lang w:val="en-US"/>
        </w:rPr>
        <w:t xml:space="preserve">(N cases = </w:t>
      </w:r>
      <w:r>
        <w:t>8</w:t>
      </w:r>
      <w:r w:rsidR="00FD1FC0">
        <w:t>,</w:t>
      </w:r>
      <w:r>
        <w:t>416</w:t>
      </w:r>
      <w:r>
        <w:rPr>
          <w:rFonts w:eastAsia="Times New Roman" w:cstheme="minorHAnsi"/>
          <w:color w:val="000000"/>
          <w:lang w:val="en-US"/>
        </w:rPr>
        <w:t xml:space="preserve">, N controls = </w:t>
      </w:r>
      <w:r>
        <w:t>42</w:t>
      </w:r>
      <w:r w:rsidR="00FD1FC0">
        <w:t>,</w:t>
      </w:r>
      <w:r>
        <w:t>627</w:t>
      </w:r>
      <w:r>
        <w:rPr>
          <w:rFonts w:eastAsia="Times New Roman" w:cstheme="minorHAnsi"/>
          <w:color w:val="000000"/>
          <w:lang w:val="en-US"/>
        </w:rPr>
        <w:t>)</w:t>
      </w:r>
      <w:r>
        <w:rPr>
          <w:rFonts w:cstheme="minorHAnsi"/>
          <w:shd w:val="clear" w:color="auto" w:fill="FFFFFF"/>
        </w:rPr>
        <w:t xml:space="preserve">, </w:t>
      </w:r>
      <w:r>
        <w:rPr>
          <w:rFonts w:eastAsia="Times New Roman" w:cstheme="minorHAnsi"/>
          <w:color w:val="000000"/>
          <w:lang w:val="en-US"/>
        </w:rPr>
        <w:t xml:space="preserve">against beta values for sentinel variants </w:t>
      </w:r>
      <w:r w:rsidRPr="001A3FBC">
        <w:rPr>
          <w:rFonts w:eastAsia="Times New Roman" w:cstheme="minorHAnsi"/>
          <w:color w:val="000000"/>
          <w:lang w:val="en-US"/>
        </w:rPr>
        <w:t xml:space="preserve">in </w:t>
      </w:r>
      <w:r>
        <w:rPr>
          <w:rFonts w:eastAsia="Times New Roman" w:cstheme="minorHAnsi"/>
          <w:color w:val="000000"/>
          <w:lang w:val="en-US"/>
        </w:rPr>
        <w:t xml:space="preserve">those who completed the online questionnaire in </w:t>
      </w:r>
      <w:r w:rsidR="004D52BC">
        <w:rPr>
          <w:rFonts w:eastAsia="Times New Roman" w:cstheme="minorHAnsi"/>
          <w:color w:val="000000"/>
          <w:lang w:val="en-US"/>
        </w:rPr>
        <w:t>the other months</w:t>
      </w:r>
      <w:r>
        <w:rPr>
          <w:rFonts w:eastAsia="Times New Roman" w:cstheme="minorHAnsi"/>
          <w:color w:val="000000"/>
          <w:lang w:val="en-US"/>
        </w:rPr>
        <w:t xml:space="preserve"> (N cases = </w:t>
      </w:r>
      <w:r>
        <w:t>1</w:t>
      </w:r>
      <w:r w:rsidR="00FD1FC0">
        <w:t>,</w:t>
      </w:r>
      <w:r>
        <w:t>297</w:t>
      </w:r>
      <w:r>
        <w:rPr>
          <w:rFonts w:eastAsia="Times New Roman" w:cstheme="minorHAnsi"/>
          <w:color w:val="000000"/>
          <w:lang w:val="en-US"/>
        </w:rPr>
        <w:t xml:space="preserve">, N controls = </w:t>
      </w:r>
      <w:r>
        <w:t>5</w:t>
      </w:r>
      <w:r w:rsidR="00FD1FC0">
        <w:t>,</w:t>
      </w:r>
      <w:r>
        <w:t>832</w:t>
      </w:r>
      <w:r>
        <w:rPr>
          <w:rFonts w:cstheme="minorHAnsi"/>
          <w:shd w:val="clear" w:color="auto" w:fill="FFFFFF"/>
        </w:rPr>
        <w:t>)</w:t>
      </w:r>
      <w:r>
        <w:rPr>
          <w:rFonts w:eastAsia="Times New Roman" w:cstheme="minorHAnsi"/>
          <w:color w:val="000000"/>
          <w:lang w:val="en-US"/>
        </w:rPr>
        <w:t xml:space="preserve"> sentinel variants labelled with corresponding loci. July, August, and September</w:t>
      </w:r>
      <w:r w:rsidR="004D52BC">
        <w:rPr>
          <w:rFonts w:eastAsia="Times New Roman" w:cstheme="minorHAnsi"/>
          <w:color w:val="000000"/>
          <w:lang w:val="en-US"/>
        </w:rPr>
        <w:t xml:space="preserve"> selected as these contained the</w:t>
      </w:r>
      <w:r w:rsidR="00F24A06">
        <w:rPr>
          <w:rFonts w:eastAsia="Times New Roman" w:cstheme="minorHAnsi"/>
          <w:color w:val="000000"/>
          <w:lang w:val="en-US"/>
        </w:rPr>
        <w:t xml:space="preserve"> </w:t>
      </w:r>
      <w:r w:rsidR="0053361E">
        <w:rPr>
          <w:rFonts w:eastAsia="Times New Roman" w:cstheme="minorHAnsi"/>
          <w:color w:val="000000"/>
          <w:lang w:val="en-US"/>
        </w:rPr>
        <w:t>most</w:t>
      </w:r>
      <w:r w:rsidR="00F24A06">
        <w:rPr>
          <w:rFonts w:eastAsia="Times New Roman" w:cstheme="minorHAnsi"/>
          <w:color w:val="000000"/>
          <w:lang w:val="en-US"/>
        </w:rPr>
        <w:t xml:space="preserve"> correspondents</w:t>
      </w:r>
      <w:r w:rsidR="004D52BC">
        <w:rPr>
          <w:rFonts w:eastAsia="Times New Roman" w:cstheme="minorHAnsi"/>
          <w:color w:val="000000"/>
          <w:lang w:val="en-US"/>
        </w:rPr>
        <w:t xml:space="preserve"> in months with higher allergen exposure,</w:t>
      </w:r>
      <w:r w:rsidR="00F24A06">
        <w:rPr>
          <w:rFonts w:eastAsia="Times New Roman" w:cstheme="minorHAnsi"/>
          <w:color w:val="000000"/>
          <w:lang w:val="en-US"/>
        </w:rPr>
        <w:t xml:space="preserve"> see Supplementary Figure 11</w:t>
      </w:r>
      <w:r>
        <w:rPr>
          <w:rFonts w:cstheme="minorHAnsi"/>
          <w:shd w:val="clear" w:color="auto" w:fill="FFFFFF"/>
        </w:rPr>
        <w:t>.</w:t>
      </w:r>
    </w:p>
    <w:p w14:paraId="45796566" w14:textId="049DA7E8" w:rsidR="0093248B" w:rsidRPr="0093248B" w:rsidRDefault="0093248B" w:rsidP="0093248B">
      <w:pPr>
        <w:pStyle w:val="Caption"/>
      </w:pPr>
    </w:p>
    <w:p w14:paraId="09459502" w14:textId="77777777" w:rsidR="008D1551" w:rsidRDefault="00EF40F6" w:rsidP="008D1551">
      <w:pPr>
        <w:keepNext/>
        <w:tabs>
          <w:tab w:val="left" w:pos="2025"/>
        </w:tabs>
      </w:pPr>
      <w:r>
        <w:lastRenderedPageBreak/>
        <w:tab/>
      </w:r>
      <w:r w:rsidR="008D1551">
        <w:rPr>
          <w:noProof/>
          <w:lang w:eastAsia="en-GB"/>
        </w:rPr>
        <w:drawing>
          <wp:inline distT="0" distB="0" distL="0" distR="0" wp14:anchorId="5BCCE5E7" wp14:editId="5E9CBB56">
            <wp:extent cx="5724525" cy="5476875"/>
            <wp:effectExtent l="0" t="0" r="9525" b="9525"/>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525" cy="5476875"/>
                    </a:xfrm>
                    <a:prstGeom prst="rect">
                      <a:avLst/>
                    </a:prstGeom>
                    <a:noFill/>
                    <a:ln>
                      <a:noFill/>
                    </a:ln>
                  </pic:spPr>
                </pic:pic>
              </a:graphicData>
            </a:graphic>
          </wp:inline>
        </w:drawing>
      </w:r>
    </w:p>
    <w:p w14:paraId="52B85EDE" w14:textId="5682738C" w:rsidR="00EF40F6" w:rsidRDefault="008D1551" w:rsidP="008D1551">
      <w:pPr>
        <w:rPr>
          <w:lang w:val="en-US"/>
        </w:rPr>
      </w:pPr>
      <w:r>
        <w:rPr>
          <w:b/>
          <w:bCs/>
        </w:rPr>
        <w:t xml:space="preserve">Supplementary </w:t>
      </w:r>
      <w:r w:rsidRPr="00F22553">
        <w:rPr>
          <w:b/>
          <w:bCs/>
        </w:rPr>
        <w:t>Figure</w:t>
      </w:r>
      <w:r>
        <w:t xml:space="preserve"> </w:t>
      </w:r>
      <w:r w:rsidRPr="008D1551">
        <w:rPr>
          <w:b/>
          <w:bCs/>
        </w:rPr>
        <w:fldChar w:fldCharType="begin"/>
      </w:r>
      <w:r w:rsidRPr="008D1551">
        <w:rPr>
          <w:b/>
          <w:bCs/>
        </w:rPr>
        <w:instrText xml:space="preserve"> SEQ Figure \* ARABIC </w:instrText>
      </w:r>
      <w:r w:rsidRPr="008D1551">
        <w:rPr>
          <w:b/>
          <w:bCs/>
        </w:rPr>
        <w:fldChar w:fldCharType="separate"/>
      </w:r>
      <w:r w:rsidR="00B0468B">
        <w:rPr>
          <w:b/>
          <w:bCs/>
          <w:noProof/>
        </w:rPr>
        <w:t>13</w:t>
      </w:r>
      <w:r w:rsidRPr="008D1551">
        <w:rPr>
          <w:b/>
          <w:bCs/>
        </w:rPr>
        <w:fldChar w:fldCharType="end"/>
      </w:r>
      <w:r w:rsidRPr="008D1551">
        <w:rPr>
          <w:b/>
          <w:bCs/>
        </w:rPr>
        <w:t>:</w:t>
      </w:r>
      <w:r>
        <w:rPr>
          <w:b/>
          <w:bCs/>
        </w:rPr>
        <w:t xml:space="preserve"> </w:t>
      </w:r>
      <w:r w:rsidRPr="001A3FBC">
        <w:rPr>
          <w:lang w:val="en-US"/>
        </w:rPr>
        <w:t xml:space="preserve">Plot of beta values for association for sentinel variants </w:t>
      </w:r>
      <w:r>
        <w:rPr>
          <w:lang w:val="en-US"/>
        </w:rPr>
        <w:t xml:space="preserve">with covariate ‘current smoker’ replacing ‘ever smoker’ in discovery sample (N cases = </w:t>
      </w:r>
      <w:r>
        <w:t>9</w:t>
      </w:r>
      <w:r w:rsidR="00FD1FC0">
        <w:t>,</w:t>
      </w:r>
      <w:r>
        <w:t>714</w:t>
      </w:r>
      <w:r>
        <w:rPr>
          <w:lang w:val="en-US"/>
        </w:rPr>
        <w:t xml:space="preserve">, N controls = </w:t>
      </w:r>
      <w:r>
        <w:t>48</w:t>
      </w:r>
      <w:r w:rsidR="00FD1FC0">
        <w:t>,</w:t>
      </w:r>
      <w:r>
        <w:t>471</w:t>
      </w:r>
      <w:r>
        <w:rPr>
          <w:lang w:val="en-US"/>
        </w:rPr>
        <w:t xml:space="preserve">), against beta values for sentinel variants </w:t>
      </w:r>
      <w:r w:rsidRPr="001A3FBC">
        <w:rPr>
          <w:lang w:val="en-US"/>
        </w:rPr>
        <w:t xml:space="preserve">in </w:t>
      </w:r>
      <w:r>
        <w:rPr>
          <w:lang w:val="en-US"/>
        </w:rPr>
        <w:t xml:space="preserve">the discovery with original covariates (N cases = </w:t>
      </w:r>
      <w:r>
        <w:t>9</w:t>
      </w:r>
      <w:r w:rsidR="00FD1FC0">
        <w:t>,</w:t>
      </w:r>
      <w:r>
        <w:t>714</w:t>
      </w:r>
      <w:r>
        <w:rPr>
          <w:lang w:val="en-US"/>
        </w:rPr>
        <w:t xml:space="preserve">, N controls = </w:t>
      </w:r>
      <w:r>
        <w:t>48</w:t>
      </w:r>
      <w:r w:rsidR="00FD1FC0">
        <w:t>,</w:t>
      </w:r>
      <w:r>
        <w:t>471</w:t>
      </w:r>
      <w:r>
        <w:rPr>
          <w:lang w:val="en-US"/>
        </w:rPr>
        <w:t>), sentinel variants labelled with corresponding loci.</w:t>
      </w:r>
    </w:p>
    <w:p w14:paraId="52CE02CC" w14:textId="38A0B150" w:rsidR="005524EB" w:rsidRDefault="005524EB">
      <w:pPr>
        <w:rPr>
          <w:lang w:val="en-US"/>
        </w:rPr>
      </w:pPr>
    </w:p>
    <w:p w14:paraId="0BACE3C2" w14:textId="57B6A3B2" w:rsidR="005524EB" w:rsidRDefault="005524EB">
      <w:r>
        <w:br w:type="page"/>
      </w:r>
    </w:p>
    <w:p w14:paraId="2CEA9F5C" w14:textId="77777777" w:rsidR="00B0468B" w:rsidRDefault="00B0468B" w:rsidP="008D1551">
      <w:pPr>
        <w:sectPr w:rsidR="00B0468B" w:rsidSect="00422545">
          <w:footerReference w:type="default" r:id="rId21"/>
          <w:pgSz w:w="11906" w:h="16838"/>
          <w:pgMar w:top="1440" w:right="1440" w:bottom="1440" w:left="1440" w:header="708" w:footer="708" w:gutter="0"/>
          <w:cols w:space="708"/>
          <w:docGrid w:linePitch="360"/>
        </w:sectPr>
      </w:pPr>
    </w:p>
    <w:p w14:paraId="30B0DB66" w14:textId="77777777" w:rsidR="00B0468B" w:rsidRDefault="005524EB" w:rsidP="00B0468B">
      <w:pPr>
        <w:keepNext/>
      </w:pPr>
      <w:r>
        <w:rPr>
          <w:noProof/>
          <w:lang w:eastAsia="en-GB"/>
        </w:rPr>
        <w:lastRenderedPageBreak/>
        <w:drawing>
          <wp:inline distT="0" distB="0" distL="0" distR="0" wp14:anchorId="37366D27" wp14:editId="097D78FB">
            <wp:extent cx="8925071" cy="431829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_fig14.png"/>
                    <pic:cNvPicPr/>
                  </pic:nvPicPr>
                  <pic:blipFill rotWithShape="1">
                    <a:blip r:embed="rId22">
                      <a:extLst>
                        <a:ext uri="{28A0092B-C50C-407E-A947-70E740481C1C}">
                          <a14:useLocalDpi xmlns:a14="http://schemas.microsoft.com/office/drawing/2010/main" val="0"/>
                        </a:ext>
                      </a:extLst>
                    </a:blip>
                    <a:srcRect l="64" t="2" r="1849" b="15516"/>
                    <a:stretch/>
                  </pic:blipFill>
                  <pic:spPr bwMode="auto">
                    <a:xfrm>
                      <a:off x="0" y="0"/>
                      <a:ext cx="9011374" cy="4360051"/>
                    </a:xfrm>
                    <a:prstGeom prst="rect">
                      <a:avLst/>
                    </a:prstGeom>
                    <a:ln>
                      <a:noFill/>
                    </a:ln>
                    <a:extLst>
                      <a:ext uri="{53640926-AAD7-44D8-BBD7-CCE9431645EC}">
                        <a14:shadowObscured xmlns:a14="http://schemas.microsoft.com/office/drawing/2010/main"/>
                      </a:ext>
                    </a:extLst>
                  </pic:spPr>
                </pic:pic>
              </a:graphicData>
            </a:graphic>
          </wp:inline>
        </w:drawing>
      </w:r>
    </w:p>
    <w:p w14:paraId="00F81366" w14:textId="404D54BC" w:rsidR="00B0468B" w:rsidRPr="00B0468B" w:rsidRDefault="00B0468B" w:rsidP="00B0468B">
      <w:r>
        <w:rPr>
          <w:b/>
        </w:rPr>
        <w:t xml:space="preserve">Supplementary </w:t>
      </w:r>
      <w:r w:rsidRPr="00B0468B">
        <w:rPr>
          <w:b/>
        </w:rPr>
        <w:t xml:space="preserve">Figure </w:t>
      </w:r>
      <w:r w:rsidRPr="00B0468B">
        <w:rPr>
          <w:b/>
        </w:rPr>
        <w:fldChar w:fldCharType="begin"/>
      </w:r>
      <w:r w:rsidRPr="00B0468B">
        <w:rPr>
          <w:b/>
        </w:rPr>
        <w:instrText xml:space="preserve"> SEQ Figure \* ARABIC </w:instrText>
      </w:r>
      <w:r w:rsidRPr="00B0468B">
        <w:rPr>
          <w:b/>
        </w:rPr>
        <w:fldChar w:fldCharType="separate"/>
      </w:r>
      <w:r w:rsidRPr="00B0468B">
        <w:rPr>
          <w:b/>
          <w:noProof/>
        </w:rPr>
        <w:t>14</w:t>
      </w:r>
      <w:r w:rsidRPr="00B0468B">
        <w:rPr>
          <w:b/>
        </w:rPr>
        <w:fldChar w:fldCharType="end"/>
      </w:r>
      <w:r>
        <w:rPr>
          <w:b/>
        </w:rPr>
        <w:t xml:space="preserve"> </w:t>
      </w:r>
      <w:r>
        <w:t xml:space="preserve">Forest plots for results from discovery and replication studies. GS: Generation Scotland, LL1: </w:t>
      </w:r>
      <w:proofErr w:type="spellStart"/>
      <w:r>
        <w:t>LifeLInes</w:t>
      </w:r>
      <w:proofErr w:type="spellEnd"/>
      <w:r>
        <w:t xml:space="preserve"> 1, LL2: </w:t>
      </w:r>
      <w:proofErr w:type="spellStart"/>
      <w:r>
        <w:t>LifeLines</w:t>
      </w:r>
      <w:proofErr w:type="spellEnd"/>
      <w:r>
        <w:t xml:space="preserve"> 2, VV:</w:t>
      </w:r>
      <w:r w:rsidRPr="00B0468B">
        <w:t xml:space="preserve"> </w:t>
      </w:r>
      <w:proofErr w:type="spellStart"/>
      <w:r w:rsidRPr="00B0468B">
        <w:t>Vlagtwedde</w:t>
      </w:r>
      <w:proofErr w:type="spellEnd"/>
      <w:r w:rsidRPr="00B0468B">
        <w:t>-Vlaardingen</w:t>
      </w:r>
      <w:r>
        <w:t xml:space="preserve">. </w:t>
      </w:r>
    </w:p>
    <w:p w14:paraId="60F11E43" w14:textId="77777777" w:rsidR="00B0468B" w:rsidRPr="00B0468B" w:rsidRDefault="00B0468B" w:rsidP="00B0468B">
      <w:pPr>
        <w:rPr>
          <w:b/>
        </w:rPr>
        <w:sectPr w:rsidR="00B0468B" w:rsidRPr="00B0468B" w:rsidSect="00B0468B">
          <w:pgSz w:w="16838" w:h="11906" w:orient="landscape"/>
          <w:pgMar w:top="1440" w:right="1440" w:bottom="1440" w:left="1440" w:header="709" w:footer="709" w:gutter="0"/>
          <w:cols w:space="708"/>
          <w:docGrid w:linePitch="360"/>
        </w:sectPr>
      </w:pPr>
    </w:p>
    <w:p w14:paraId="14B2B7D0" w14:textId="77777777" w:rsidR="005524EB" w:rsidRDefault="005524EB" w:rsidP="008D1551"/>
    <w:p w14:paraId="5DCFC66D" w14:textId="2B27331C" w:rsidR="005524EB" w:rsidRDefault="005524EB"/>
    <w:p w14:paraId="2E689B7B" w14:textId="77777777" w:rsidR="005524EB" w:rsidRPr="008D1551" w:rsidRDefault="005524EB" w:rsidP="008D1551"/>
    <w:p w14:paraId="6BFC68C6" w14:textId="77777777" w:rsidR="00F22553" w:rsidRDefault="006C5B75" w:rsidP="00F22553">
      <w:pPr>
        <w:keepNext/>
        <w:spacing w:after="0"/>
      </w:pPr>
      <w:r>
        <w:rPr>
          <w:noProof/>
          <w:lang w:eastAsia="en-GB"/>
        </w:rPr>
        <w:drawing>
          <wp:inline distT="0" distB="0" distL="0" distR="0" wp14:anchorId="5096CEE8" wp14:editId="448C6F7A">
            <wp:extent cx="5730875" cy="39979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3997960"/>
                    </a:xfrm>
                    <a:prstGeom prst="rect">
                      <a:avLst/>
                    </a:prstGeom>
                    <a:noFill/>
                    <a:ln>
                      <a:noFill/>
                    </a:ln>
                  </pic:spPr>
                </pic:pic>
              </a:graphicData>
            </a:graphic>
          </wp:inline>
        </w:drawing>
      </w:r>
    </w:p>
    <w:p w14:paraId="3466D598" w14:textId="22B87654" w:rsidR="00F22553" w:rsidRDefault="00F22553" w:rsidP="00F22553">
      <w:r>
        <w:rPr>
          <w:b/>
          <w:bCs/>
        </w:rPr>
        <w:t xml:space="preserve">Supplementary Figure </w:t>
      </w:r>
      <w:r w:rsidRPr="00F22553">
        <w:rPr>
          <w:b/>
          <w:bCs/>
        </w:rPr>
        <w:fldChar w:fldCharType="begin"/>
      </w:r>
      <w:r w:rsidRPr="00F22553">
        <w:rPr>
          <w:b/>
          <w:bCs/>
        </w:rPr>
        <w:instrText xml:space="preserve"> SEQ Figure \* ARABIC </w:instrText>
      </w:r>
      <w:r w:rsidRPr="00F22553">
        <w:rPr>
          <w:b/>
          <w:bCs/>
        </w:rPr>
        <w:fldChar w:fldCharType="separate"/>
      </w:r>
      <w:r w:rsidR="00B0468B">
        <w:rPr>
          <w:b/>
          <w:bCs/>
          <w:noProof/>
        </w:rPr>
        <w:t>15</w:t>
      </w:r>
      <w:r w:rsidRPr="00F22553">
        <w:rPr>
          <w:b/>
          <w:bCs/>
        </w:rPr>
        <w:fldChar w:fldCharType="end"/>
      </w:r>
      <w:r>
        <w:t xml:space="preserve">: </w:t>
      </w:r>
      <w:proofErr w:type="spellStart"/>
      <w:r w:rsidRPr="0038548A">
        <w:t>Locuszoom</w:t>
      </w:r>
      <w:proofErr w:type="spellEnd"/>
      <w:r w:rsidRPr="0038548A">
        <w:t xml:space="preserve"> plot for combined results</w:t>
      </w:r>
      <w:r w:rsidR="0004062F">
        <w:t xml:space="preserve"> SNP</w:t>
      </w:r>
      <w:r w:rsidR="00A31B2D">
        <w:t>s</w:t>
      </w:r>
      <w:r w:rsidR="0004062F">
        <w:t>,</w:t>
      </w:r>
      <w:r w:rsidR="00A31B2D">
        <w:t xml:space="preserve"> </w:t>
      </w:r>
      <w:r w:rsidR="0004062F">
        <w:t xml:space="preserve">HLA allele and amino acid </w:t>
      </w:r>
      <w:proofErr w:type="gramStart"/>
      <w:r w:rsidR="0004062F">
        <w:t xml:space="preserve">changes </w:t>
      </w:r>
      <w:r w:rsidRPr="0038548A">
        <w:t xml:space="preserve"> for</w:t>
      </w:r>
      <w:proofErr w:type="gramEnd"/>
      <w:r w:rsidRPr="0038548A">
        <w:t xml:space="preserve"> </w:t>
      </w:r>
      <w:r w:rsidRPr="0038548A">
        <w:rPr>
          <w:rFonts w:eastAsia="Times New Roman" w:cstheme="minorHAnsi"/>
          <w:i/>
          <w:iCs/>
          <w:color w:val="000000"/>
          <w:lang w:val="en-US"/>
        </w:rPr>
        <w:t>HLA-DRB1</w:t>
      </w:r>
      <w:r w:rsidRPr="0038548A">
        <w:rPr>
          <w:rFonts w:eastAsia="Times New Roman" w:cstheme="minorHAnsi"/>
          <w:color w:val="000000"/>
          <w:lang w:val="en-US"/>
        </w:rPr>
        <w:t xml:space="preserve"> locus, HLA alleles have been labelled in black, sentinel variant is labelled and colored blue</w:t>
      </w:r>
      <w:r>
        <w:rPr>
          <w:rFonts w:eastAsia="Times New Roman" w:cstheme="minorHAnsi"/>
          <w:color w:val="000000"/>
          <w:lang w:val="en-US"/>
        </w:rPr>
        <w:t>.</w:t>
      </w:r>
    </w:p>
    <w:p w14:paraId="3729A1EF" w14:textId="77777777" w:rsidR="007A7DF4" w:rsidRDefault="007A7DF4" w:rsidP="007A7DF4"/>
    <w:p w14:paraId="67C8D183" w14:textId="77777777" w:rsidR="00F22553" w:rsidRDefault="00554AF0" w:rsidP="00F22553">
      <w:pPr>
        <w:keepNext/>
        <w:spacing w:after="0"/>
      </w:pPr>
      <w:r>
        <w:rPr>
          <w:noProof/>
          <w:lang w:eastAsia="en-GB"/>
        </w:rPr>
        <w:lastRenderedPageBreak/>
        <w:drawing>
          <wp:inline distT="0" distB="0" distL="0" distR="0" wp14:anchorId="0B3A9CE5" wp14:editId="62A1AB58">
            <wp:extent cx="5720080" cy="4008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0080" cy="4008755"/>
                    </a:xfrm>
                    <a:prstGeom prst="rect">
                      <a:avLst/>
                    </a:prstGeom>
                    <a:noFill/>
                    <a:ln>
                      <a:noFill/>
                    </a:ln>
                  </pic:spPr>
                </pic:pic>
              </a:graphicData>
            </a:graphic>
          </wp:inline>
        </w:drawing>
      </w:r>
    </w:p>
    <w:p w14:paraId="3CCE4C59" w14:textId="279AB873" w:rsidR="001A3FBC" w:rsidRPr="00F22553" w:rsidRDefault="00F22553" w:rsidP="00F22553">
      <w:r>
        <w:rPr>
          <w:b/>
          <w:bCs/>
        </w:rPr>
        <w:t xml:space="preserve">Supplementary Figure </w:t>
      </w:r>
      <w:r w:rsidRPr="00F22553">
        <w:rPr>
          <w:b/>
          <w:bCs/>
        </w:rPr>
        <w:fldChar w:fldCharType="begin"/>
      </w:r>
      <w:r w:rsidRPr="00F22553">
        <w:rPr>
          <w:b/>
          <w:bCs/>
        </w:rPr>
        <w:instrText xml:space="preserve"> SEQ Figure \* ARABIC </w:instrText>
      </w:r>
      <w:r w:rsidRPr="00F22553">
        <w:rPr>
          <w:b/>
          <w:bCs/>
        </w:rPr>
        <w:fldChar w:fldCharType="separate"/>
      </w:r>
      <w:r w:rsidR="00B0468B">
        <w:rPr>
          <w:b/>
          <w:bCs/>
          <w:noProof/>
        </w:rPr>
        <w:t>16</w:t>
      </w:r>
      <w:r w:rsidRPr="00F22553">
        <w:rPr>
          <w:b/>
          <w:bCs/>
        </w:rPr>
        <w:fldChar w:fldCharType="end"/>
      </w:r>
      <w:r>
        <w:rPr>
          <w:b/>
          <w:bCs/>
        </w:rPr>
        <w:t>:</w:t>
      </w:r>
      <w:r>
        <w:t xml:space="preserve"> </w:t>
      </w:r>
      <w:proofErr w:type="spellStart"/>
      <w:r>
        <w:t>Locuszoom</w:t>
      </w:r>
      <w:proofErr w:type="spellEnd"/>
      <w:r>
        <w:t xml:space="preserve"> plot for </w:t>
      </w:r>
      <w:r w:rsidR="00A31B2D" w:rsidRPr="0038548A">
        <w:t>combined results</w:t>
      </w:r>
      <w:r w:rsidR="00A31B2D">
        <w:t xml:space="preserve"> SNPs, HLA allele and amino acid changes </w:t>
      </w:r>
      <w:r w:rsidR="00A31B2D" w:rsidRPr="0038548A">
        <w:t xml:space="preserve">for </w:t>
      </w:r>
      <w:r w:rsidR="00A31B2D" w:rsidRPr="0038548A">
        <w:rPr>
          <w:rFonts w:eastAsia="Times New Roman" w:cstheme="minorHAnsi"/>
          <w:i/>
          <w:iCs/>
          <w:color w:val="000000"/>
          <w:lang w:val="en-US"/>
        </w:rPr>
        <w:t>HLA-DRB1</w:t>
      </w:r>
      <w:r w:rsidR="00A31B2D" w:rsidRPr="0038548A">
        <w:rPr>
          <w:rFonts w:eastAsia="Times New Roman" w:cstheme="minorHAnsi"/>
          <w:color w:val="000000"/>
          <w:lang w:val="en-US"/>
        </w:rPr>
        <w:t xml:space="preserve"> locus</w:t>
      </w:r>
      <w:r>
        <w:rPr>
          <w:lang w:val="en-US"/>
        </w:rPr>
        <w:t xml:space="preserve"> conditioned on HLA allele </w:t>
      </w:r>
      <w:r w:rsidRPr="006C5B75">
        <w:rPr>
          <w:lang w:val="en-US"/>
        </w:rPr>
        <w:t>AA_DRB1_233_32656004_T</w:t>
      </w:r>
      <w:r>
        <w:rPr>
          <w:lang w:val="en-US"/>
        </w:rPr>
        <w:t xml:space="preserve"> </w:t>
      </w:r>
      <w:r>
        <w:t>(</w:t>
      </w:r>
      <w:r w:rsidRPr="003233DB">
        <w:rPr>
          <w:i/>
          <w:iCs/>
        </w:rPr>
        <w:t>DRB1</w:t>
      </w:r>
      <w:r w:rsidRPr="00FE7E4B">
        <w:t>*03:147</w:t>
      </w:r>
      <w:r>
        <w:t xml:space="preserve">), </w:t>
      </w:r>
      <w:r>
        <w:rPr>
          <w:lang w:val="en-US"/>
        </w:rPr>
        <w:t>HLA alleles have been labelled in black, sentinel variant is labelled and colored blue</w:t>
      </w:r>
    </w:p>
    <w:p w14:paraId="6EA62EFB" w14:textId="5153D683" w:rsidR="001A3FBC" w:rsidRDefault="001A3FBC">
      <w:pPr>
        <w:rPr>
          <w:rFonts w:eastAsia="Times New Roman" w:cstheme="minorHAnsi"/>
          <w:color w:val="000000"/>
          <w:sz w:val="20"/>
          <w:szCs w:val="20"/>
          <w:lang w:val="en-US"/>
        </w:rPr>
      </w:pPr>
      <w:r>
        <w:rPr>
          <w:rFonts w:eastAsia="Times New Roman" w:cstheme="minorHAnsi"/>
          <w:color w:val="000000"/>
          <w:sz w:val="20"/>
          <w:szCs w:val="20"/>
          <w:lang w:val="en-US"/>
        </w:rPr>
        <w:br w:type="page"/>
      </w:r>
    </w:p>
    <w:p w14:paraId="2CF507CF" w14:textId="77777777" w:rsidR="00F22553" w:rsidRDefault="00554AF0" w:rsidP="00F22553">
      <w:pPr>
        <w:keepNext/>
      </w:pPr>
      <w:r w:rsidRPr="00106573">
        <w:rPr>
          <w:noProof/>
          <w:lang w:eastAsia="en-GB"/>
        </w:rPr>
        <w:lastRenderedPageBreak/>
        <w:drawing>
          <wp:inline distT="0" distB="0" distL="0" distR="0" wp14:anchorId="0E3C73A0" wp14:editId="402C6E62">
            <wp:extent cx="5731510" cy="3532505"/>
            <wp:effectExtent l="0" t="0" r="254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a:stretch>
                      <a:fillRect/>
                    </a:stretch>
                  </pic:blipFill>
                  <pic:spPr>
                    <a:xfrm>
                      <a:off x="0" y="0"/>
                      <a:ext cx="5731510" cy="3532505"/>
                    </a:xfrm>
                    <a:prstGeom prst="rect">
                      <a:avLst/>
                    </a:prstGeom>
                  </pic:spPr>
                </pic:pic>
              </a:graphicData>
            </a:graphic>
          </wp:inline>
        </w:drawing>
      </w:r>
    </w:p>
    <w:p w14:paraId="4DA94E57" w14:textId="40BC4A32" w:rsidR="00554AF0" w:rsidRPr="00F22553" w:rsidRDefault="00F22553" w:rsidP="00554AF0">
      <w:r>
        <w:rPr>
          <w:b/>
          <w:bCs/>
        </w:rPr>
        <w:t xml:space="preserve">Supplementary </w:t>
      </w:r>
      <w:r w:rsidRPr="00F22553">
        <w:rPr>
          <w:b/>
          <w:bCs/>
        </w:rPr>
        <w:t xml:space="preserve">Figure </w:t>
      </w:r>
      <w:r w:rsidRPr="00F22553">
        <w:rPr>
          <w:b/>
          <w:bCs/>
        </w:rPr>
        <w:fldChar w:fldCharType="begin"/>
      </w:r>
      <w:r w:rsidRPr="00F22553">
        <w:rPr>
          <w:b/>
          <w:bCs/>
        </w:rPr>
        <w:instrText xml:space="preserve"> SEQ Figure \* ARABIC </w:instrText>
      </w:r>
      <w:r w:rsidRPr="00F22553">
        <w:rPr>
          <w:b/>
          <w:bCs/>
        </w:rPr>
        <w:fldChar w:fldCharType="separate"/>
      </w:r>
      <w:r w:rsidR="00B0468B">
        <w:rPr>
          <w:b/>
          <w:bCs/>
          <w:noProof/>
        </w:rPr>
        <w:t>17</w:t>
      </w:r>
      <w:r w:rsidRPr="00F22553">
        <w:rPr>
          <w:b/>
          <w:bCs/>
        </w:rPr>
        <w:fldChar w:fldCharType="end"/>
      </w:r>
      <w:r>
        <w:rPr>
          <w:b/>
          <w:bCs/>
        </w:rPr>
        <w:t xml:space="preserve">: </w:t>
      </w:r>
      <w:r w:rsidRPr="00087A01">
        <w:rPr>
          <w:bCs/>
        </w:rPr>
        <w:t>Region plot of</w:t>
      </w:r>
      <w:r>
        <w:rPr>
          <w:bCs/>
        </w:rPr>
        <w:t xml:space="preserve"> </w:t>
      </w:r>
      <w:r w:rsidRPr="002B35CB">
        <w:rPr>
          <w:b/>
        </w:rPr>
        <w:t>rs779167905</w:t>
      </w:r>
      <w:r>
        <w:rPr>
          <w:b/>
        </w:rPr>
        <w:t xml:space="preserve"> signal</w:t>
      </w:r>
      <w:r>
        <w:t xml:space="preserve"> conditioned on</w:t>
      </w:r>
      <w:r>
        <w:rPr>
          <w:b/>
          <w:bCs/>
        </w:rPr>
        <w:t xml:space="preserve"> </w:t>
      </w:r>
      <w:r w:rsidRPr="00087A01">
        <w:rPr>
          <w:bCs/>
        </w:rPr>
        <w:t xml:space="preserve">IPF signal </w:t>
      </w:r>
      <w:r w:rsidRPr="00106573">
        <w:rPr>
          <w:b/>
          <w:bCs/>
        </w:rPr>
        <w:t>rs7934606</w:t>
      </w:r>
      <w:r>
        <w:t xml:space="preserve"> (</w:t>
      </w:r>
      <w:r w:rsidRPr="00106573">
        <w:t>r</w:t>
      </w:r>
      <w:r w:rsidRPr="00106573">
        <w:rPr>
          <w:vertAlign w:val="superscript"/>
        </w:rPr>
        <w:t>2</w:t>
      </w:r>
      <w:r w:rsidRPr="00106573">
        <w:t xml:space="preserve"> = 0.005 with </w:t>
      </w:r>
      <w:r>
        <w:t>chronic sputum</w:t>
      </w:r>
      <w:r w:rsidRPr="00106573">
        <w:t xml:space="preserve"> </w:t>
      </w:r>
      <w:r>
        <w:t>sentinel</w:t>
      </w:r>
      <w:r w:rsidRPr="00106573">
        <w:t xml:space="preserve"> rs779167905</w:t>
      </w:r>
      <w:r>
        <w:t>, a</w:t>
      </w:r>
      <w:r w:rsidRPr="00106573">
        <w:t xml:space="preserve">fter conditioning </w:t>
      </w:r>
      <w:r>
        <w:t>chronic sputum</w:t>
      </w:r>
      <w:r w:rsidRPr="00106573">
        <w:t xml:space="preserve"> P = 5.67×10</w:t>
      </w:r>
      <w:r w:rsidRPr="00106573">
        <w:rPr>
          <w:vertAlign w:val="superscript"/>
        </w:rPr>
        <w:t>-11</w:t>
      </w:r>
      <w:r>
        <w:t>)</w:t>
      </w:r>
    </w:p>
    <w:p w14:paraId="027A573E" w14:textId="77777777" w:rsidR="00F22553" w:rsidRDefault="00554AF0" w:rsidP="00F22553">
      <w:pPr>
        <w:keepNext/>
      </w:pPr>
      <w:r w:rsidRPr="00106573">
        <w:rPr>
          <w:noProof/>
          <w:lang w:eastAsia="en-GB"/>
        </w:rPr>
        <w:drawing>
          <wp:inline distT="0" distB="0" distL="0" distR="0" wp14:anchorId="0393745B" wp14:editId="4AE376DD">
            <wp:extent cx="5731510" cy="3535680"/>
            <wp:effectExtent l="0" t="0" r="2540" b="762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a:stretch>
                      <a:fillRect/>
                    </a:stretch>
                  </pic:blipFill>
                  <pic:spPr>
                    <a:xfrm>
                      <a:off x="0" y="0"/>
                      <a:ext cx="5731510" cy="3535680"/>
                    </a:xfrm>
                    <a:prstGeom prst="rect">
                      <a:avLst/>
                    </a:prstGeom>
                  </pic:spPr>
                </pic:pic>
              </a:graphicData>
            </a:graphic>
          </wp:inline>
        </w:drawing>
      </w:r>
    </w:p>
    <w:p w14:paraId="7A508060" w14:textId="4BCD3BC2" w:rsidR="00F22553" w:rsidRPr="00106573" w:rsidRDefault="00F22553" w:rsidP="00F22553">
      <w:r>
        <w:rPr>
          <w:b/>
          <w:bCs/>
        </w:rPr>
        <w:t xml:space="preserve">Supplementary Figure </w:t>
      </w:r>
      <w:r w:rsidRPr="00F22553">
        <w:rPr>
          <w:b/>
          <w:bCs/>
        </w:rPr>
        <w:fldChar w:fldCharType="begin"/>
      </w:r>
      <w:r w:rsidRPr="00F22553">
        <w:rPr>
          <w:b/>
          <w:bCs/>
        </w:rPr>
        <w:instrText xml:space="preserve"> SEQ Figure \* ARABIC </w:instrText>
      </w:r>
      <w:r w:rsidRPr="00F22553">
        <w:rPr>
          <w:b/>
          <w:bCs/>
        </w:rPr>
        <w:fldChar w:fldCharType="separate"/>
      </w:r>
      <w:r w:rsidR="00B0468B">
        <w:rPr>
          <w:b/>
          <w:bCs/>
          <w:noProof/>
        </w:rPr>
        <w:t>18</w:t>
      </w:r>
      <w:r w:rsidRPr="00F22553">
        <w:rPr>
          <w:b/>
          <w:bCs/>
        </w:rPr>
        <w:fldChar w:fldCharType="end"/>
      </w:r>
      <w:r>
        <w:rPr>
          <w:b/>
          <w:bCs/>
        </w:rPr>
        <w:t xml:space="preserve">: </w:t>
      </w:r>
      <w:r w:rsidRPr="00087A01">
        <w:rPr>
          <w:bCs/>
        </w:rPr>
        <w:t>Region plot of</w:t>
      </w:r>
      <w:r>
        <w:rPr>
          <w:bCs/>
        </w:rPr>
        <w:t xml:space="preserve"> </w:t>
      </w:r>
      <w:r w:rsidRPr="002B35CB">
        <w:rPr>
          <w:b/>
        </w:rPr>
        <w:t>rs779167905</w:t>
      </w:r>
      <w:r>
        <w:rPr>
          <w:b/>
        </w:rPr>
        <w:t xml:space="preserve"> signal</w:t>
      </w:r>
      <w:r>
        <w:t xml:space="preserve"> conditioned on</w:t>
      </w:r>
      <w:r>
        <w:rPr>
          <w:b/>
          <w:bCs/>
        </w:rPr>
        <w:t xml:space="preserve"> </w:t>
      </w:r>
      <w:r>
        <w:rPr>
          <w:bCs/>
        </w:rPr>
        <w:t xml:space="preserve">moderate to severe asthma signal </w:t>
      </w:r>
      <w:r w:rsidRPr="00106573">
        <w:rPr>
          <w:b/>
          <w:bCs/>
        </w:rPr>
        <w:t>rs11603634</w:t>
      </w:r>
      <w:r>
        <w:t xml:space="preserve"> (</w:t>
      </w:r>
      <w:r w:rsidRPr="00106573">
        <w:t>r</w:t>
      </w:r>
      <w:r w:rsidRPr="00106573">
        <w:rPr>
          <w:vertAlign w:val="superscript"/>
        </w:rPr>
        <w:t>2</w:t>
      </w:r>
      <w:r w:rsidRPr="00106573">
        <w:t xml:space="preserve"> = 0.451 with </w:t>
      </w:r>
      <w:r>
        <w:t>chronic sputum</w:t>
      </w:r>
      <w:r w:rsidRPr="00106573">
        <w:t xml:space="preserve"> </w:t>
      </w:r>
      <w:r>
        <w:t>sentinel</w:t>
      </w:r>
      <w:r w:rsidRPr="00106573">
        <w:t xml:space="preserve"> rs779167905</w:t>
      </w:r>
      <w:r>
        <w:t>, a</w:t>
      </w:r>
      <w:r w:rsidRPr="00106573">
        <w:t xml:space="preserve">fter conditioning </w:t>
      </w:r>
      <w:r>
        <w:t>chronic sputum</w:t>
      </w:r>
      <w:r w:rsidRPr="00106573">
        <w:t xml:space="preserve"> P = 0.0039</w:t>
      </w:r>
      <w:r>
        <w:t>)</w:t>
      </w:r>
    </w:p>
    <w:p w14:paraId="3A95C466" w14:textId="7D59D330" w:rsidR="007A7DF4" w:rsidRPr="007A7DF4" w:rsidRDefault="007A7DF4" w:rsidP="00F22553">
      <w:pPr>
        <w:pStyle w:val="Caption"/>
      </w:pPr>
    </w:p>
    <w:p w14:paraId="40A2BEEF" w14:textId="77777777" w:rsidR="00F22553" w:rsidRDefault="00C920A6" w:rsidP="00F22553">
      <w:pPr>
        <w:keepNext/>
      </w:pPr>
      <w:r>
        <w:rPr>
          <w:noProof/>
          <w:lang w:eastAsia="en-GB"/>
        </w:rPr>
        <w:lastRenderedPageBreak/>
        <w:drawing>
          <wp:inline distT="0" distB="0" distL="0" distR="0" wp14:anchorId="64499A1D" wp14:editId="7B5A7AB7">
            <wp:extent cx="5734050" cy="3219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07A3F9CF" w14:textId="39646F0A" w:rsidR="006C5B75" w:rsidRDefault="00F22553" w:rsidP="00F22553">
      <w:pPr>
        <w:rPr>
          <w:noProof/>
        </w:rPr>
      </w:pPr>
      <w:r>
        <w:rPr>
          <w:b/>
          <w:bCs/>
        </w:rPr>
        <w:t xml:space="preserve">Supplementary Figure </w:t>
      </w:r>
      <w:r w:rsidR="00C33318" w:rsidRPr="00B0468B">
        <w:rPr>
          <w:b/>
        </w:rPr>
        <w:fldChar w:fldCharType="begin"/>
      </w:r>
      <w:r w:rsidR="00C33318" w:rsidRPr="00B0468B">
        <w:rPr>
          <w:b/>
        </w:rPr>
        <w:instrText xml:space="preserve"> SEQ Figure \* ARABIC </w:instrText>
      </w:r>
      <w:r w:rsidR="00C33318" w:rsidRPr="00B0468B">
        <w:rPr>
          <w:b/>
        </w:rPr>
        <w:fldChar w:fldCharType="separate"/>
      </w:r>
      <w:r w:rsidR="00B0468B" w:rsidRPr="00B0468B">
        <w:rPr>
          <w:b/>
          <w:noProof/>
        </w:rPr>
        <w:t>19</w:t>
      </w:r>
      <w:r w:rsidR="00C33318" w:rsidRPr="00B0468B">
        <w:rPr>
          <w:b/>
          <w:noProof/>
        </w:rPr>
        <w:fldChar w:fldCharType="end"/>
      </w:r>
      <w:r>
        <w:rPr>
          <w:b/>
          <w:bCs/>
        </w:rPr>
        <w:t xml:space="preserve">: </w:t>
      </w:r>
      <w:r w:rsidRPr="00C920A6">
        <w:t xml:space="preserve">Results for eQTL colocalization for the </w:t>
      </w:r>
      <w:r w:rsidRPr="00E0448C">
        <w:rPr>
          <w:i/>
          <w:iCs/>
        </w:rPr>
        <w:t>NKX3</w:t>
      </w:r>
      <w:r w:rsidRPr="00C920A6">
        <w:t xml:space="preserve">-1 locus using variant </w:t>
      </w:r>
      <w:r w:rsidRPr="00C920A6">
        <w:rPr>
          <w:rFonts w:ascii="Calibri" w:hAnsi="Calibri" w:cs="Calibri"/>
          <w:b/>
          <w:bCs/>
          <w:color w:val="000000"/>
        </w:rPr>
        <w:t>rs79401075</w:t>
      </w:r>
      <w:r>
        <w:rPr>
          <w:rFonts w:ascii="Calibri" w:hAnsi="Calibri" w:cs="Calibri"/>
          <w:b/>
          <w:bCs/>
          <w:color w:val="000000"/>
        </w:rPr>
        <w:t xml:space="preserve">. </w:t>
      </w:r>
      <w:r w:rsidRPr="00FF4A0D">
        <w:rPr>
          <w:rFonts w:ascii="Calibri" w:hAnsi="Calibri" w:cs="Calibri"/>
          <w:color w:val="000000"/>
        </w:rPr>
        <w:t>T</w:t>
      </w:r>
      <w:r w:rsidRPr="00C920A6">
        <w:t xml:space="preserve">he numbers within the table are the posterior probability of colocalization (H4), </w:t>
      </w:r>
      <w:r>
        <w:t xml:space="preserve">with </w:t>
      </w:r>
      <w:r w:rsidRPr="00C920A6">
        <w:t xml:space="preserve">results aligned to the risk allele A for the </w:t>
      </w:r>
      <w:r w:rsidRPr="00C920A6">
        <w:rPr>
          <w:rFonts w:ascii="Calibri" w:hAnsi="Calibri" w:cs="Calibri"/>
          <w:b/>
          <w:bCs/>
          <w:color w:val="000000"/>
        </w:rPr>
        <w:t xml:space="preserve">rs79401075 </w:t>
      </w:r>
      <w:r w:rsidRPr="00C920A6">
        <w:rPr>
          <w:rFonts w:ascii="Calibri" w:hAnsi="Calibri" w:cs="Calibri"/>
          <w:color w:val="000000"/>
        </w:rPr>
        <w:t>variant.</w:t>
      </w:r>
      <w:r>
        <w:rPr>
          <w:rFonts w:ascii="Calibri" w:hAnsi="Calibri" w:cs="Calibri"/>
          <w:color w:val="000000"/>
        </w:rPr>
        <w:t xml:space="preserve"> Missing numbers indicate no data was available for the respective gene and tissue.</w:t>
      </w:r>
    </w:p>
    <w:p w14:paraId="00D96692" w14:textId="6B3596BB" w:rsidR="00BC48F6" w:rsidRDefault="00C920A6" w:rsidP="007A7DF4">
      <w:pPr>
        <w:spacing w:after="0"/>
      </w:pPr>
      <w:r>
        <w:tab/>
      </w:r>
    </w:p>
    <w:p w14:paraId="01E47827" w14:textId="77777777" w:rsidR="00BC48F6" w:rsidRDefault="00BC48F6">
      <w:r>
        <w:br w:type="page"/>
      </w:r>
    </w:p>
    <w:p w14:paraId="7BE407BC" w14:textId="04D7582E" w:rsidR="00BC48F6" w:rsidRDefault="00BC48F6" w:rsidP="00BC48F6">
      <w:pPr>
        <w:pStyle w:val="Heading1"/>
      </w:pPr>
      <w:bookmarkStart w:id="10" w:name="_Toc112271557"/>
      <w:r w:rsidRPr="00831E4C">
        <w:lastRenderedPageBreak/>
        <w:t>Supp</w:t>
      </w:r>
      <w:r>
        <w:t>lementary</w:t>
      </w:r>
      <w:r w:rsidRPr="00831E4C">
        <w:t xml:space="preserve"> Table Legends</w:t>
      </w:r>
      <w:bookmarkEnd w:id="10"/>
    </w:p>
    <w:p w14:paraId="7609A30A" w14:textId="77777777" w:rsidR="00BC48F6" w:rsidRDefault="00BC48F6" w:rsidP="00BC48F6">
      <w:pPr>
        <w:rPr>
          <w:b/>
          <w:bCs/>
          <w:u w:val="single"/>
        </w:rPr>
      </w:pPr>
    </w:p>
    <w:p w14:paraId="6AC0BEA0" w14:textId="68DB833A" w:rsidR="00BC48F6" w:rsidRPr="00690A79" w:rsidRDefault="00BC48F6" w:rsidP="00BC48F6">
      <w:pPr>
        <w:spacing w:after="0" w:line="240" w:lineRule="auto"/>
        <w:rPr>
          <w:rFonts w:ascii="Calibri" w:eastAsia="Times New Roman" w:hAnsi="Calibri" w:cs="Calibri"/>
          <w:color w:val="000000"/>
          <w:lang w:eastAsia="en-GB"/>
        </w:rPr>
      </w:pPr>
      <w:r w:rsidRPr="00831E4C">
        <w:rPr>
          <w:rFonts w:ascii="Calibri" w:eastAsia="Times New Roman" w:hAnsi="Calibri" w:cs="Calibri"/>
          <w:b/>
          <w:bCs/>
          <w:color w:val="000000"/>
          <w:lang w:eastAsia="en-GB"/>
        </w:rPr>
        <w:t xml:space="preserve">Supplementary Table 1: </w:t>
      </w:r>
      <w:r w:rsidRPr="00831E4C">
        <w:rPr>
          <w:rFonts w:ascii="Calibri" w:eastAsia="Times New Roman" w:hAnsi="Calibri" w:cs="Calibri"/>
          <w:color w:val="000000"/>
          <w:lang w:eastAsia="en-GB"/>
        </w:rPr>
        <w:t>Diagnostic codes used for bronchiectasis</w:t>
      </w:r>
      <w:r>
        <w:rPr>
          <w:rFonts w:ascii="Calibri" w:eastAsia="Times New Roman" w:hAnsi="Calibri" w:cs="Calibri"/>
          <w:color w:val="000000"/>
          <w:lang w:eastAsia="en-GB"/>
        </w:rPr>
        <w:t>.</w:t>
      </w:r>
      <w:r w:rsidR="00AA4EA7">
        <w:rPr>
          <w:rFonts w:ascii="Calibri" w:eastAsia="Times New Roman" w:hAnsi="Calibri" w:cs="Calibri"/>
          <w:color w:val="000000"/>
          <w:lang w:eastAsia="en-GB"/>
        </w:rPr>
        <w:t xml:space="preserve"> Source of codes V3=Read V3 codes, V2=Read V2 codes, ICD10=</w:t>
      </w:r>
      <w:r w:rsidR="00AA4EA7" w:rsidRPr="00AA4EA7">
        <w:rPr>
          <w:rFonts w:ascii="Calibri" w:eastAsia="Times New Roman" w:hAnsi="Calibri" w:cs="Calibri"/>
          <w:color w:val="000000"/>
          <w:lang w:eastAsia="en-GB"/>
        </w:rPr>
        <w:t>International classification of disease 10th edition</w:t>
      </w:r>
      <w:r w:rsidR="00AA4EA7">
        <w:rPr>
          <w:rFonts w:ascii="Calibri" w:eastAsia="Times New Roman" w:hAnsi="Calibri" w:cs="Calibri"/>
          <w:color w:val="000000"/>
          <w:lang w:eastAsia="en-GB"/>
        </w:rPr>
        <w:t xml:space="preserve">, </w:t>
      </w:r>
      <w:r w:rsidR="00AA4EA7" w:rsidRPr="00AA4EA7">
        <w:rPr>
          <w:rFonts w:ascii="Calibri" w:eastAsia="Times New Roman" w:hAnsi="Calibri" w:cs="Calibri"/>
          <w:color w:val="000000"/>
          <w:lang w:eastAsia="en-GB"/>
        </w:rPr>
        <w:t>ICD9 = International classification of disease 10th edition</w:t>
      </w:r>
      <w:r w:rsidR="00AA4EA7">
        <w:rPr>
          <w:rFonts w:ascii="Calibri" w:eastAsia="Times New Roman" w:hAnsi="Calibri" w:cs="Calibri"/>
          <w:color w:val="000000"/>
          <w:lang w:eastAsia="en-GB"/>
        </w:rPr>
        <w:t xml:space="preserve">, </w:t>
      </w:r>
      <w:r w:rsidR="00AA4EA7" w:rsidRPr="00AA4EA7">
        <w:rPr>
          <w:rFonts w:ascii="Calibri" w:eastAsia="Times New Roman" w:hAnsi="Calibri" w:cs="Calibri"/>
          <w:color w:val="000000"/>
          <w:lang w:eastAsia="en-GB"/>
        </w:rPr>
        <w:t>MD = Mortality data (ICD10 code)</w:t>
      </w:r>
      <w:r w:rsidR="00AA4EA7">
        <w:rPr>
          <w:rFonts w:ascii="Calibri" w:eastAsia="Times New Roman" w:hAnsi="Calibri" w:cs="Calibri"/>
          <w:color w:val="000000"/>
          <w:lang w:eastAsia="en-GB"/>
        </w:rPr>
        <w:t xml:space="preserve">, </w:t>
      </w:r>
      <w:r w:rsidR="00AA4EA7" w:rsidRPr="00AA4EA7">
        <w:rPr>
          <w:rFonts w:ascii="Calibri" w:eastAsia="Times New Roman" w:hAnsi="Calibri" w:cs="Calibri"/>
          <w:color w:val="000000"/>
          <w:lang w:eastAsia="en-GB"/>
        </w:rPr>
        <w:t>SR = Self report UK Biobank code</w:t>
      </w:r>
      <w:r w:rsidR="00AA4EA7">
        <w:rPr>
          <w:rFonts w:ascii="Calibri" w:eastAsia="Times New Roman" w:hAnsi="Calibri" w:cs="Calibri"/>
          <w:color w:val="000000"/>
          <w:lang w:eastAsia="en-GB"/>
        </w:rPr>
        <w:t xml:space="preserve"> (data-field 20002). Read V3 and Read V2 are primary care codes extracted from the primary care records. ICD10 codes are extracted from the hospital episodic statistics and mortality data. </w:t>
      </w:r>
    </w:p>
    <w:p w14:paraId="7F5DF409" w14:textId="60CFA1A2" w:rsidR="00BC48F6" w:rsidRPr="00831E4C" w:rsidRDefault="00BC48F6" w:rsidP="00BC48F6">
      <w:pPr>
        <w:spacing w:after="0" w:line="240" w:lineRule="auto"/>
        <w:rPr>
          <w:rFonts w:ascii="Calibri" w:eastAsia="Times New Roman" w:hAnsi="Calibri" w:cs="Calibri"/>
          <w:b/>
          <w:bCs/>
          <w:color w:val="000000"/>
          <w:lang w:eastAsia="en-GB"/>
        </w:rPr>
      </w:pPr>
      <w:r w:rsidRPr="00831E4C">
        <w:rPr>
          <w:rFonts w:ascii="Calibri" w:eastAsia="Times New Roman" w:hAnsi="Calibri" w:cs="Calibri"/>
          <w:b/>
          <w:bCs/>
          <w:color w:val="000000"/>
          <w:lang w:eastAsia="en-GB"/>
        </w:rPr>
        <w:t xml:space="preserve">Supplementary Table 2: </w:t>
      </w:r>
      <w:r w:rsidRPr="00831E4C">
        <w:rPr>
          <w:rFonts w:ascii="Calibri" w:eastAsia="Times New Roman" w:hAnsi="Calibri" w:cs="Calibri"/>
          <w:color w:val="000000"/>
          <w:lang w:eastAsia="en-GB"/>
        </w:rPr>
        <w:t>Diagnostic codes used for cystic fibrosis</w:t>
      </w:r>
      <w:r>
        <w:rPr>
          <w:rFonts w:ascii="Calibri" w:eastAsia="Times New Roman" w:hAnsi="Calibri" w:cs="Calibri"/>
          <w:color w:val="000000"/>
          <w:lang w:eastAsia="en-GB"/>
        </w:rPr>
        <w:t>.</w:t>
      </w:r>
      <w:r w:rsidR="00AA4EA7">
        <w:rPr>
          <w:rFonts w:ascii="Calibri" w:eastAsia="Times New Roman" w:hAnsi="Calibri" w:cs="Calibri"/>
          <w:color w:val="000000"/>
          <w:lang w:eastAsia="en-GB"/>
        </w:rPr>
        <w:t xml:space="preserve"> Source of codes V3=Read V3 codes, V2=Read V2 codes, ICD10=</w:t>
      </w:r>
      <w:r w:rsidR="00AA4EA7" w:rsidRPr="00AA4EA7">
        <w:rPr>
          <w:rFonts w:ascii="Calibri" w:eastAsia="Times New Roman" w:hAnsi="Calibri" w:cs="Calibri"/>
          <w:color w:val="000000"/>
          <w:lang w:eastAsia="en-GB"/>
        </w:rPr>
        <w:t>International classification of disease 10th edition</w:t>
      </w:r>
      <w:r w:rsidR="00AA4EA7">
        <w:rPr>
          <w:rFonts w:ascii="Calibri" w:eastAsia="Times New Roman" w:hAnsi="Calibri" w:cs="Calibri"/>
          <w:color w:val="000000"/>
          <w:lang w:eastAsia="en-GB"/>
        </w:rPr>
        <w:t xml:space="preserve">, </w:t>
      </w:r>
      <w:r w:rsidR="00AA4EA7" w:rsidRPr="00AA4EA7">
        <w:rPr>
          <w:rFonts w:ascii="Calibri" w:eastAsia="Times New Roman" w:hAnsi="Calibri" w:cs="Calibri"/>
          <w:color w:val="000000"/>
          <w:lang w:eastAsia="en-GB"/>
        </w:rPr>
        <w:t>ICD9 = International classification of disease 10th edition</w:t>
      </w:r>
      <w:r w:rsidR="00AA4EA7">
        <w:rPr>
          <w:rFonts w:ascii="Calibri" w:eastAsia="Times New Roman" w:hAnsi="Calibri" w:cs="Calibri"/>
          <w:color w:val="000000"/>
          <w:lang w:eastAsia="en-GB"/>
        </w:rPr>
        <w:t xml:space="preserve">, </w:t>
      </w:r>
      <w:r w:rsidR="00AA4EA7" w:rsidRPr="00AA4EA7">
        <w:rPr>
          <w:rFonts w:ascii="Calibri" w:eastAsia="Times New Roman" w:hAnsi="Calibri" w:cs="Calibri"/>
          <w:color w:val="000000"/>
          <w:lang w:eastAsia="en-GB"/>
        </w:rPr>
        <w:t>MD = Mortality data (ICD10 code)</w:t>
      </w:r>
      <w:r w:rsidR="00AA4EA7">
        <w:rPr>
          <w:rFonts w:ascii="Calibri" w:eastAsia="Times New Roman" w:hAnsi="Calibri" w:cs="Calibri"/>
          <w:color w:val="000000"/>
          <w:lang w:eastAsia="en-GB"/>
        </w:rPr>
        <w:t xml:space="preserve">. Read V3 and Read V2 are primary care codes extracted from the primary care records. ICD10 codes are extracted from the hospital episodic statistics and mortality data.  </w:t>
      </w:r>
    </w:p>
    <w:p w14:paraId="65EAD7A5" w14:textId="64D880BC" w:rsidR="00690A79" w:rsidRPr="00690A79" w:rsidRDefault="00BC48F6" w:rsidP="00BC48F6">
      <w:pPr>
        <w:spacing w:after="0" w:line="240" w:lineRule="auto"/>
        <w:rPr>
          <w:rFonts w:ascii="Calibri" w:eastAsia="Times New Roman" w:hAnsi="Calibri" w:cs="Calibri"/>
          <w:color w:val="000000"/>
          <w:lang w:eastAsia="en-GB"/>
        </w:rPr>
      </w:pPr>
      <w:r w:rsidRPr="00831E4C">
        <w:rPr>
          <w:rFonts w:ascii="Calibri" w:eastAsia="Times New Roman" w:hAnsi="Calibri" w:cs="Calibri"/>
          <w:b/>
          <w:bCs/>
          <w:color w:val="000000"/>
          <w:lang w:eastAsia="en-GB"/>
        </w:rPr>
        <w:t xml:space="preserve">Supplementary Table 3: </w:t>
      </w:r>
      <w:r w:rsidRPr="00831E4C">
        <w:rPr>
          <w:rFonts w:ascii="Calibri" w:eastAsia="Times New Roman" w:hAnsi="Calibri" w:cs="Calibri"/>
          <w:color w:val="000000"/>
          <w:lang w:eastAsia="en-GB"/>
        </w:rPr>
        <w:t>eQTL tissues and data source searched</w:t>
      </w:r>
      <w:r>
        <w:rPr>
          <w:rFonts w:ascii="Calibri" w:eastAsia="Times New Roman" w:hAnsi="Calibri" w:cs="Calibri"/>
          <w:color w:val="000000"/>
          <w:lang w:eastAsia="en-GB"/>
        </w:rPr>
        <w:t>.</w:t>
      </w:r>
    </w:p>
    <w:p w14:paraId="5ED75140" w14:textId="3F3B6683" w:rsidR="00690A79" w:rsidRPr="00831E4C" w:rsidRDefault="00BC48F6" w:rsidP="00BC48F6">
      <w:pPr>
        <w:spacing w:after="0" w:line="240" w:lineRule="auto"/>
        <w:rPr>
          <w:rFonts w:ascii="Calibri" w:eastAsia="Times New Roman" w:hAnsi="Calibri" w:cs="Calibri"/>
          <w:b/>
          <w:bCs/>
          <w:color w:val="000000"/>
          <w:lang w:eastAsia="en-GB"/>
        </w:rPr>
      </w:pPr>
      <w:r w:rsidRPr="00831E4C">
        <w:rPr>
          <w:rFonts w:ascii="Calibri" w:eastAsia="Times New Roman" w:hAnsi="Calibri" w:cs="Calibri"/>
          <w:b/>
          <w:bCs/>
          <w:color w:val="000000"/>
          <w:lang w:eastAsia="en-GB"/>
        </w:rPr>
        <w:t xml:space="preserve">Supplementary Table 4a: </w:t>
      </w:r>
      <w:r w:rsidRPr="00831E4C">
        <w:rPr>
          <w:rFonts w:ascii="Calibri" w:eastAsia="Times New Roman" w:hAnsi="Calibri" w:cs="Calibri"/>
          <w:color w:val="000000"/>
          <w:lang w:eastAsia="en-GB"/>
        </w:rPr>
        <w:t>Demographics, ever smoking status</w:t>
      </w:r>
      <w:r w:rsidR="0025328D">
        <w:rPr>
          <w:rFonts w:ascii="Calibri" w:eastAsia="Times New Roman" w:hAnsi="Calibri" w:cs="Calibri"/>
          <w:color w:val="000000"/>
          <w:lang w:eastAsia="en-GB"/>
        </w:rPr>
        <w:t xml:space="preserve"> (</w:t>
      </w:r>
      <w:r w:rsidR="0025328D">
        <w:rPr>
          <w:rFonts w:cstheme="minorHAnsi"/>
        </w:rPr>
        <w:t xml:space="preserve">UK Biobank data-field </w:t>
      </w:r>
      <w:r w:rsidR="0025328D" w:rsidRPr="00CD2539">
        <w:rPr>
          <w:rFonts w:cstheme="minorHAnsi"/>
        </w:rPr>
        <w:t>22</w:t>
      </w:r>
      <w:r w:rsidR="0025328D">
        <w:rPr>
          <w:rFonts w:cstheme="minorHAnsi"/>
        </w:rPr>
        <w:t>016)</w:t>
      </w:r>
      <w:r w:rsidRPr="00831E4C">
        <w:rPr>
          <w:rFonts w:ascii="Calibri" w:eastAsia="Times New Roman" w:hAnsi="Calibri" w:cs="Calibri"/>
          <w:color w:val="000000"/>
          <w:lang w:eastAsia="en-GB"/>
        </w:rPr>
        <w:t>, doctor diagnosed asthma</w:t>
      </w:r>
      <w:r w:rsidR="00F17B14">
        <w:rPr>
          <w:rFonts w:ascii="Calibri" w:eastAsia="Times New Roman" w:hAnsi="Calibri" w:cs="Calibri"/>
          <w:color w:val="000000"/>
          <w:lang w:eastAsia="en-GB"/>
        </w:rPr>
        <w:t xml:space="preserve"> (</w:t>
      </w:r>
      <w:r w:rsidR="00F17B14">
        <w:rPr>
          <w:rFonts w:cstheme="minorHAnsi"/>
        </w:rPr>
        <w:t xml:space="preserve">UK Biobank data-field </w:t>
      </w:r>
      <w:r w:rsidR="00F17B14" w:rsidRPr="00CD2539">
        <w:rPr>
          <w:rFonts w:cstheme="minorHAnsi"/>
        </w:rPr>
        <w:t>22127</w:t>
      </w:r>
      <w:r w:rsidR="00F17B14">
        <w:rPr>
          <w:rFonts w:cstheme="minorHAnsi"/>
        </w:rPr>
        <w:t>)</w:t>
      </w:r>
      <w:r w:rsidRPr="00831E4C">
        <w:rPr>
          <w:rFonts w:ascii="Calibri" w:eastAsia="Times New Roman" w:hAnsi="Calibri" w:cs="Calibri"/>
          <w:color w:val="000000"/>
          <w:lang w:eastAsia="en-GB"/>
        </w:rPr>
        <w:t>, doctor diagnosed chronic bronchitis</w:t>
      </w:r>
      <w:r w:rsidR="00F17B14">
        <w:rPr>
          <w:rFonts w:ascii="Calibri" w:eastAsia="Times New Roman" w:hAnsi="Calibri" w:cs="Calibri"/>
          <w:color w:val="000000"/>
          <w:lang w:eastAsia="en-GB"/>
        </w:rPr>
        <w:t xml:space="preserve"> (</w:t>
      </w:r>
      <w:r w:rsidR="00F17B14">
        <w:rPr>
          <w:rFonts w:cstheme="minorHAnsi"/>
        </w:rPr>
        <w:t xml:space="preserve">UK Biobank data-field </w:t>
      </w:r>
      <w:r w:rsidR="00F17B14" w:rsidRPr="00CD2539">
        <w:rPr>
          <w:rFonts w:cstheme="minorHAnsi"/>
        </w:rPr>
        <w:t>2212</w:t>
      </w:r>
      <w:r w:rsidR="0025328D">
        <w:rPr>
          <w:rFonts w:cstheme="minorHAnsi"/>
        </w:rPr>
        <w:t>9)</w:t>
      </w:r>
      <w:r w:rsidRPr="00831E4C">
        <w:rPr>
          <w:rFonts w:ascii="Calibri" w:eastAsia="Times New Roman" w:hAnsi="Calibri" w:cs="Calibri"/>
          <w:color w:val="000000"/>
          <w:lang w:eastAsia="en-GB"/>
        </w:rPr>
        <w:t xml:space="preserve">, cough and moderate to severe asthma status of </w:t>
      </w:r>
      <w:r w:rsidR="00F17B14">
        <w:rPr>
          <w:rFonts w:ascii="Calibri" w:eastAsia="Times New Roman" w:hAnsi="Calibri" w:cs="Calibri"/>
          <w:color w:val="000000"/>
          <w:lang w:eastAsia="en-GB"/>
        </w:rPr>
        <w:t>those who</w:t>
      </w:r>
      <w:r w:rsidRPr="00831E4C">
        <w:rPr>
          <w:rFonts w:ascii="Calibri" w:eastAsia="Times New Roman" w:hAnsi="Calibri" w:cs="Calibri"/>
          <w:color w:val="000000"/>
          <w:lang w:eastAsia="en-GB"/>
        </w:rPr>
        <w:t xml:space="preserve"> answered yes or no to the question “do you bring up phlegm/sputum/mucus daily?”</w:t>
      </w:r>
      <w:r w:rsidR="00F17B14">
        <w:rPr>
          <w:rFonts w:ascii="Calibri" w:eastAsia="Times New Roman" w:hAnsi="Calibri" w:cs="Calibri"/>
          <w:color w:val="000000"/>
          <w:lang w:eastAsia="en-GB"/>
        </w:rPr>
        <w:t xml:space="preserve"> and were viable cases or controls</w:t>
      </w:r>
      <w:r w:rsidRPr="00831E4C">
        <w:rPr>
          <w:rFonts w:ascii="Calibri" w:eastAsia="Times New Roman" w:hAnsi="Calibri" w:cs="Calibri"/>
          <w:color w:val="000000"/>
          <w:lang w:eastAsia="en-GB"/>
        </w:rPr>
        <w:t>.</w:t>
      </w:r>
      <w:r w:rsidRPr="00831E4C">
        <w:rPr>
          <w:rFonts w:ascii="Calibri" w:eastAsia="Times New Roman" w:hAnsi="Calibri" w:cs="Calibri"/>
          <w:b/>
          <w:bCs/>
          <w:color w:val="000000"/>
          <w:lang w:eastAsia="en-GB"/>
        </w:rPr>
        <w:t xml:space="preserve">  </w:t>
      </w:r>
    </w:p>
    <w:p w14:paraId="28F7AF0E" w14:textId="41038613" w:rsidR="00690A79" w:rsidRPr="00690A79" w:rsidRDefault="00BC48F6" w:rsidP="00BC48F6">
      <w:pPr>
        <w:spacing w:after="0" w:line="240" w:lineRule="auto"/>
        <w:rPr>
          <w:rFonts w:ascii="Calibri" w:eastAsia="Times New Roman" w:hAnsi="Calibri" w:cs="Calibri"/>
          <w:color w:val="000000"/>
          <w:lang w:eastAsia="en-GB"/>
        </w:rPr>
      </w:pPr>
      <w:r w:rsidRPr="00831E4C">
        <w:rPr>
          <w:rFonts w:ascii="Calibri" w:eastAsia="Times New Roman" w:hAnsi="Calibri" w:cs="Calibri"/>
          <w:b/>
          <w:bCs/>
          <w:color w:val="000000"/>
          <w:lang w:eastAsia="en-GB"/>
        </w:rPr>
        <w:t xml:space="preserve">Supplementary Table 4b: </w:t>
      </w:r>
      <w:r w:rsidRPr="00831E4C">
        <w:rPr>
          <w:rFonts w:ascii="Calibri" w:eastAsia="Times New Roman" w:hAnsi="Calibri" w:cs="Calibri"/>
          <w:color w:val="000000"/>
          <w:lang w:eastAsia="en-GB"/>
        </w:rPr>
        <w:t>COPD status based on spirometry of cases and controls (spirometry-derived phenotypes are only available in those with spirometry data that passed quality control</w:t>
      </w:r>
      <w:r w:rsidR="0025328D">
        <w:rPr>
          <w:rFonts w:ascii="Calibri" w:eastAsia="Times New Roman" w:hAnsi="Calibri" w:cs="Calibri"/>
          <w:color w:val="000000"/>
          <w:lang w:eastAsia="en-GB"/>
        </w:rPr>
        <w:t>)</w:t>
      </w:r>
      <w:r>
        <w:rPr>
          <w:rFonts w:ascii="Calibri" w:eastAsia="Times New Roman" w:hAnsi="Calibri" w:cs="Calibri"/>
          <w:color w:val="000000"/>
          <w:lang w:eastAsia="en-GB"/>
        </w:rPr>
        <w:t>.</w:t>
      </w:r>
    </w:p>
    <w:p w14:paraId="20373AB2" w14:textId="77777777" w:rsidR="00BC48F6" w:rsidRPr="00831E4C" w:rsidRDefault="00BC48F6" w:rsidP="00BC48F6">
      <w:pPr>
        <w:spacing w:after="0" w:line="240" w:lineRule="auto"/>
        <w:rPr>
          <w:rFonts w:ascii="Calibri" w:eastAsia="Times New Roman" w:hAnsi="Calibri" w:cs="Calibri"/>
          <w:color w:val="000000"/>
          <w:lang w:eastAsia="en-GB"/>
        </w:rPr>
      </w:pPr>
      <w:r w:rsidRPr="00831E4C">
        <w:rPr>
          <w:rFonts w:ascii="Calibri" w:eastAsia="Times New Roman" w:hAnsi="Calibri" w:cs="Calibri"/>
          <w:b/>
          <w:bCs/>
          <w:color w:val="000000"/>
          <w:lang w:eastAsia="en-GB"/>
        </w:rPr>
        <w:t xml:space="preserve">Supplementary Table 4c: </w:t>
      </w:r>
      <w:r w:rsidRPr="00831E4C">
        <w:rPr>
          <w:rFonts w:ascii="Calibri" w:eastAsia="Times New Roman" w:hAnsi="Calibri" w:cs="Calibri"/>
          <w:color w:val="000000"/>
          <w:lang w:eastAsia="en-GB"/>
        </w:rPr>
        <w:t>Bronchiectasis and cystic fibrosis status of cases and controls (primary care, secondary care, mortality and self-reported phenotypes). Only individuals with linked primary care data included in the comparison.</w:t>
      </w:r>
    </w:p>
    <w:p w14:paraId="01D37644" w14:textId="6C505DD3" w:rsidR="00BC48F6" w:rsidRPr="00831E4C" w:rsidRDefault="00BC48F6" w:rsidP="00BC48F6">
      <w:pPr>
        <w:spacing w:after="0" w:line="240" w:lineRule="auto"/>
        <w:rPr>
          <w:rFonts w:ascii="Calibri" w:eastAsia="Times New Roman" w:hAnsi="Calibri" w:cs="Calibri"/>
          <w:b/>
          <w:bCs/>
          <w:color w:val="000000"/>
          <w:lang w:eastAsia="en-GB"/>
        </w:rPr>
      </w:pPr>
      <w:r w:rsidRPr="00831E4C">
        <w:rPr>
          <w:rFonts w:ascii="Calibri" w:eastAsia="Times New Roman" w:hAnsi="Calibri" w:cs="Calibri"/>
          <w:b/>
          <w:bCs/>
          <w:color w:val="000000"/>
          <w:lang w:eastAsia="en-GB"/>
        </w:rPr>
        <w:t xml:space="preserve">Supplementary Table 5: </w:t>
      </w:r>
      <w:r w:rsidRPr="00831E4C">
        <w:rPr>
          <w:rFonts w:ascii="Calibri" w:eastAsia="Times New Roman" w:hAnsi="Calibri" w:cs="Calibri"/>
          <w:color w:val="000000"/>
          <w:lang w:eastAsia="en-GB"/>
        </w:rPr>
        <w:t xml:space="preserve">Subgroup analysis for </w:t>
      </w:r>
      <w:r w:rsidR="0025328D" w:rsidRPr="00831E4C">
        <w:rPr>
          <w:rFonts w:ascii="Calibri" w:eastAsia="Times New Roman" w:hAnsi="Calibri" w:cs="Calibri"/>
          <w:color w:val="000000"/>
          <w:lang w:eastAsia="en-GB"/>
        </w:rPr>
        <w:t>sentinel</w:t>
      </w:r>
      <w:r w:rsidRPr="00831E4C">
        <w:rPr>
          <w:rFonts w:ascii="Calibri" w:eastAsia="Times New Roman" w:hAnsi="Calibri" w:cs="Calibri"/>
          <w:color w:val="000000"/>
          <w:lang w:eastAsia="en-GB"/>
        </w:rPr>
        <w:t xml:space="preserve"> SNPs in sensitivity analyses</w:t>
      </w:r>
      <w:r>
        <w:rPr>
          <w:rFonts w:ascii="Calibri" w:eastAsia="Times New Roman" w:hAnsi="Calibri" w:cs="Calibri"/>
          <w:color w:val="000000"/>
          <w:lang w:eastAsia="en-GB"/>
        </w:rPr>
        <w:t>.</w:t>
      </w:r>
      <w:r w:rsidR="0025328D">
        <w:rPr>
          <w:rFonts w:ascii="Calibri" w:eastAsia="Times New Roman" w:hAnsi="Calibri" w:cs="Calibri"/>
          <w:color w:val="000000"/>
          <w:lang w:eastAsia="en-GB"/>
        </w:rPr>
        <w:t xml:space="preserve"> </w:t>
      </w:r>
      <w:r w:rsidR="0025328D" w:rsidRPr="0025328D">
        <w:rPr>
          <w:rFonts w:ascii="Calibri" w:eastAsia="Times New Roman" w:hAnsi="Calibri" w:cs="Calibri"/>
          <w:color w:val="000000"/>
          <w:lang w:eastAsia="en-GB"/>
        </w:rPr>
        <w:t xml:space="preserve">#CHROM </w:t>
      </w:r>
      <w:proofErr w:type="gramStart"/>
      <w:r w:rsidR="0025328D" w:rsidRPr="0025328D">
        <w:rPr>
          <w:rFonts w:ascii="Calibri" w:eastAsia="Times New Roman" w:hAnsi="Calibri" w:cs="Calibri"/>
          <w:color w:val="000000"/>
          <w:lang w:eastAsia="en-GB"/>
        </w:rPr>
        <w:t>=  Chromosome</w:t>
      </w:r>
      <w:proofErr w:type="gramEnd"/>
      <w:r w:rsidR="0025328D">
        <w:rPr>
          <w:rFonts w:ascii="Calibri" w:eastAsia="Times New Roman" w:hAnsi="Calibri" w:cs="Calibri"/>
          <w:color w:val="000000"/>
          <w:lang w:eastAsia="en-GB"/>
        </w:rPr>
        <w:t xml:space="preserve">, </w:t>
      </w:r>
      <w:r w:rsidR="0025328D" w:rsidRPr="0025328D">
        <w:rPr>
          <w:rFonts w:ascii="Calibri" w:eastAsia="Times New Roman" w:hAnsi="Calibri" w:cs="Calibri"/>
          <w:color w:val="000000"/>
          <w:lang w:eastAsia="en-GB"/>
        </w:rPr>
        <w:t>POS = position</w:t>
      </w:r>
      <w:r w:rsidR="0025328D">
        <w:rPr>
          <w:rFonts w:ascii="Calibri" w:eastAsia="Times New Roman" w:hAnsi="Calibri" w:cs="Calibri"/>
          <w:color w:val="000000"/>
          <w:lang w:eastAsia="en-GB"/>
        </w:rPr>
        <w:t xml:space="preserve">, </w:t>
      </w:r>
      <w:r w:rsidR="0025328D" w:rsidRPr="0025328D">
        <w:rPr>
          <w:rFonts w:ascii="Calibri" w:eastAsia="Times New Roman" w:hAnsi="Calibri" w:cs="Calibri"/>
          <w:color w:val="000000"/>
          <w:lang w:eastAsia="en-GB"/>
        </w:rPr>
        <w:t>REF = reference allele</w:t>
      </w:r>
      <w:r w:rsidR="0025328D">
        <w:rPr>
          <w:rFonts w:ascii="Calibri" w:eastAsia="Times New Roman" w:hAnsi="Calibri" w:cs="Calibri"/>
          <w:color w:val="000000"/>
          <w:lang w:eastAsia="en-GB"/>
        </w:rPr>
        <w:t xml:space="preserve">, </w:t>
      </w:r>
      <w:r w:rsidR="0025328D" w:rsidRPr="0025328D">
        <w:rPr>
          <w:rFonts w:ascii="Calibri" w:eastAsia="Times New Roman" w:hAnsi="Calibri" w:cs="Calibri"/>
          <w:color w:val="000000"/>
          <w:lang w:eastAsia="en-GB"/>
        </w:rPr>
        <w:t>ALT = alternative allele</w:t>
      </w:r>
      <w:r w:rsidR="0025328D">
        <w:rPr>
          <w:rFonts w:ascii="Calibri" w:eastAsia="Times New Roman" w:hAnsi="Calibri" w:cs="Calibri"/>
          <w:color w:val="000000"/>
          <w:lang w:eastAsia="en-GB"/>
        </w:rPr>
        <w:t>,</w:t>
      </w:r>
      <w:r w:rsidR="007D5588">
        <w:rPr>
          <w:rFonts w:ascii="Calibri" w:eastAsia="Times New Roman" w:hAnsi="Calibri" w:cs="Calibri"/>
          <w:color w:val="000000"/>
          <w:lang w:eastAsia="en-GB"/>
        </w:rPr>
        <w:t xml:space="preserve"> CT = count,</w:t>
      </w:r>
      <w:r w:rsidR="0025328D">
        <w:rPr>
          <w:rFonts w:ascii="Calibri" w:eastAsia="Times New Roman" w:hAnsi="Calibri" w:cs="Calibri"/>
          <w:color w:val="000000"/>
          <w:lang w:eastAsia="en-GB"/>
        </w:rPr>
        <w:t xml:space="preserve"> </w:t>
      </w:r>
      <w:r w:rsidR="0025328D" w:rsidRPr="0025328D">
        <w:rPr>
          <w:rFonts w:ascii="Calibri" w:eastAsia="Times New Roman" w:hAnsi="Calibri" w:cs="Calibri"/>
          <w:color w:val="000000"/>
          <w:lang w:eastAsia="en-GB"/>
        </w:rPr>
        <w:t>SE = standard error</w:t>
      </w:r>
      <w:r w:rsidR="0025328D">
        <w:rPr>
          <w:rFonts w:ascii="Calibri" w:eastAsia="Times New Roman" w:hAnsi="Calibri" w:cs="Calibri"/>
          <w:color w:val="000000"/>
          <w:lang w:eastAsia="en-GB"/>
        </w:rPr>
        <w:t>, A1 is the tested allele</w:t>
      </w:r>
      <w:r w:rsidR="0004632B">
        <w:rPr>
          <w:rFonts w:ascii="Calibri" w:eastAsia="Times New Roman" w:hAnsi="Calibri" w:cs="Calibri"/>
          <w:color w:val="000000"/>
          <w:lang w:eastAsia="en-GB"/>
        </w:rPr>
        <w:t>.</w:t>
      </w:r>
    </w:p>
    <w:p w14:paraId="286CB9A4" w14:textId="3F616D3F" w:rsidR="00BC48F6" w:rsidRDefault="00BC48F6" w:rsidP="00BC48F6">
      <w:pPr>
        <w:spacing w:after="0" w:line="240" w:lineRule="auto"/>
        <w:rPr>
          <w:rFonts w:ascii="Calibri" w:eastAsia="Times New Roman" w:hAnsi="Calibri" w:cs="Calibri"/>
          <w:color w:val="000000"/>
          <w:lang w:eastAsia="en-GB"/>
        </w:rPr>
      </w:pPr>
      <w:r w:rsidRPr="00831E4C">
        <w:rPr>
          <w:rFonts w:ascii="Calibri" w:eastAsia="Times New Roman" w:hAnsi="Calibri" w:cs="Calibri"/>
          <w:b/>
          <w:bCs/>
          <w:color w:val="000000"/>
          <w:lang w:eastAsia="en-GB"/>
        </w:rPr>
        <w:t xml:space="preserve">Supplementary Table 6: </w:t>
      </w:r>
      <w:r w:rsidRPr="00831E4C">
        <w:rPr>
          <w:rFonts w:ascii="Calibri" w:eastAsia="Times New Roman" w:hAnsi="Calibri" w:cs="Calibri"/>
          <w:color w:val="000000"/>
          <w:lang w:eastAsia="en-GB"/>
        </w:rPr>
        <w:t xml:space="preserve">Results for GWAS look-ups, results aligned </w:t>
      </w:r>
      <w:r w:rsidR="007D5588" w:rsidRPr="007D5588">
        <w:rPr>
          <w:rFonts w:ascii="Calibri" w:eastAsia="Times New Roman" w:hAnsi="Calibri" w:cs="Calibri"/>
          <w:color w:val="000000"/>
          <w:lang w:eastAsia="en-GB"/>
        </w:rPr>
        <w:t>the chronic sputum production risk allele for all loci.</w:t>
      </w:r>
    </w:p>
    <w:p w14:paraId="6E1A7F20" w14:textId="0B5440E7" w:rsidR="00BC48F6" w:rsidRPr="00831E4C" w:rsidRDefault="00BC48F6" w:rsidP="00BC48F6">
      <w:pPr>
        <w:spacing w:after="0" w:line="240" w:lineRule="auto"/>
        <w:rPr>
          <w:rFonts w:ascii="Calibri" w:eastAsia="Times New Roman" w:hAnsi="Calibri" w:cs="Calibri"/>
          <w:color w:val="000000"/>
          <w:lang w:eastAsia="en-GB"/>
        </w:rPr>
      </w:pPr>
      <w:r w:rsidRPr="00831E4C">
        <w:rPr>
          <w:rFonts w:ascii="Calibri" w:eastAsia="Times New Roman" w:hAnsi="Calibri" w:cs="Calibri"/>
          <w:b/>
          <w:bCs/>
          <w:color w:val="000000"/>
          <w:lang w:eastAsia="en-GB"/>
        </w:rPr>
        <w:t xml:space="preserve">Supplementary Table 7: </w:t>
      </w:r>
      <w:r w:rsidRPr="00831E4C">
        <w:rPr>
          <w:rFonts w:ascii="Calibri" w:eastAsia="Times New Roman" w:hAnsi="Calibri" w:cs="Calibri"/>
          <w:color w:val="000000"/>
          <w:lang w:eastAsia="en-GB"/>
        </w:rPr>
        <w:t>PheWAS results, all results aligned to risk allele for chronic sputum production</w:t>
      </w:r>
      <w:r>
        <w:rPr>
          <w:rFonts w:ascii="Calibri" w:eastAsia="Times New Roman" w:hAnsi="Calibri" w:cs="Calibri"/>
          <w:color w:val="000000"/>
          <w:lang w:eastAsia="en-GB"/>
        </w:rPr>
        <w:t>.</w:t>
      </w:r>
      <w:r w:rsidR="00810DE1">
        <w:rPr>
          <w:rFonts w:ascii="Calibri" w:eastAsia="Times New Roman" w:hAnsi="Calibri" w:cs="Calibri"/>
          <w:color w:val="000000"/>
          <w:lang w:eastAsia="en-GB"/>
        </w:rPr>
        <w:t xml:space="preserve"> </w:t>
      </w:r>
      <w:r w:rsidR="00810DE1" w:rsidRPr="00810DE1">
        <w:rPr>
          <w:rFonts w:ascii="Calibri" w:eastAsia="Times New Roman" w:hAnsi="Calibri" w:cs="Calibri"/>
          <w:color w:val="000000"/>
          <w:lang w:eastAsia="en-GB"/>
        </w:rPr>
        <w:t>HLA-DRB1</w:t>
      </w:r>
      <w:r w:rsidR="00810DE1">
        <w:rPr>
          <w:rFonts w:ascii="Calibri" w:eastAsia="Times New Roman" w:hAnsi="Calibri" w:cs="Calibri"/>
          <w:color w:val="000000"/>
          <w:lang w:eastAsia="en-GB"/>
        </w:rPr>
        <w:t xml:space="preserve"> results obtained from Deep-PheWAS.</w:t>
      </w:r>
      <w:r w:rsidR="007D5588">
        <w:rPr>
          <w:rFonts w:ascii="Calibri" w:eastAsia="Times New Roman" w:hAnsi="Calibri" w:cs="Calibri"/>
          <w:color w:val="000000"/>
          <w:lang w:eastAsia="en-GB"/>
        </w:rPr>
        <w:t xml:space="preserve"> </w:t>
      </w:r>
      <w:r w:rsidR="007D5588" w:rsidRPr="0025328D">
        <w:rPr>
          <w:rFonts w:ascii="Calibri" w:eastAsia="Times New Roman" w:hAnsi="Calibri" w:cs="Calibri"/>
          <w:color w:val="000000"/>
          <w:lang w:eastAsia="en-GB"/>
        </w:rPr>
        <w:t>SE = standard error</w:t>
      </w:r>
      <w:r w:rsidR="007D5588">
        <w:rPr>
          <w:rFonts w:ascii="Calibri" w:eastAsia="Times New Roman" w:hAnsi="Calibri" w:cs="Calibri"/>
          <w:color w:val="000000"/>
          <w:lang w:eastAsia="en-GB"/>
        </w:rPr>
        <w:t>,</w:t>
      </w:r>
      <w:r w:rsidR="00810DE1">
        <w:rPr>
          <w:rFonts w:ascii="Calibri" w:eastAsia="Times New Roman" w:hAnsi="Calibri" w:cs="Calibri"/>
          <w:color w:val="000000"/>
          <w:lang w:eastAsia="en-GB"/>
        </w:rPr>
        <w:t xml:space="preserve"> FRD=false discovery rate, only results with FDR &lt;0.01 are reported.</w:t>
      </w:r>
    </w:p>
    <w:p w14:paraId="098BE876" w14:textId="02C59423" w:rsidR="00BC48F6" w:rsidRPr="00810DE1" w:rsidRDefault="00BC48F6" w:rsidP="00BC48F6">
      <w:pPr>
        <w:spacing w:after="0" w:line="240" w:lineRule="auto"/>
        <w:rPr>
          <w:rFonts w:ascii="Calibri" w:eastAsia="Times New Roman" w:hAnsi="Calibri" w:cs="Calibri"/>
          <w:color w:val="000000"/>
          <w:lang w:eastAsia="en-GB"/>
        </w:rPr>
      </w:pPr>
      <w:r w:rsidRPr="00831E4C">
        <w:rPr>
          <w:rFonts w:ascii="Calibri" w:eastAsia="Times New Roman" w:hAnsi="Calibri" w:cs="Calibri"/>
          <w:b/>
          <w:bCs/>
          <w:color w:val="000000"/>
          <w:lang w:eastAsia="en-GB"/>
        </w:rPr>
        <w:t xml:space="preserve">Supplementary Table 8: </w:t>
      </w:r>
      <w:r w:rsidRPr="00831E4C">
        <w:rPr>
          <w:rFonts w:ascii="Calibri" w:eastAsia="Times New Roman" w:hAnsi="Calibri" w:cs="Calibri"/>
          <w:color w:val="000000"/>
          <w:lang w:eastAsia="en-GB"/>
        </w:rPr>
        <w:t>Associations with previously reported GWAS in Open Targets Genetics Portal</w:t>
      </w:r>
      <w:r>
        <w:rPr>
          <w:rFonts w:ascii="Calibri" w:eastAsia="Times New Roman" w:hAnsi="Calibri" w:cs="Calibri"/>
          <w:color w:val="000000"/>
          <w:lang w:eastAsia="en-GB"/>
        </w:rPr>
        <w:t>.</w:t>
      </w:r>
      <w:r w:rsidR="00810DE1">
        <w:rPr>
          <w:rFonts w:ascii="Calibri" w:eastAsia="Times New Roman" w:hAnsi="Calibri" w:cs="Calibri"/>
          <w:color w:val="000000"/>
          <w:lang w:eastAsia="en-GB"/>
        </w:rPr>
        <w:t xml:space="preserve"> PMID=</w:t>
      </w:r>
      <w:proofErr w:type="spellStart"/>
      <w:r w:rsidR="00810DE1">
        <w:rPr>
          <w:rFonts w:ascii="Calibri" w:eastAsia="Times New Roman" w:hAnsi="Calibri" w:cs="Calibri"/>
          <w:color w:val="000000"/>
          <w:lang w:eastAsia="en-GB"/>
        </w:rPr>
        <w:t>Pubmed</w:t>
      </w:r>
      <w:proofErr w:type="spellEnd"/>
      <w:r w:rsidR="00810DE1">
        <w:rPr>
          <w:rFonts w:ascii="Calibri" w:eastAsia="Times New Roman" w:hAnsi="Calibri" w:cs="Calibri"/>
          <w:color w:val="000000"/>
          <w:lang w:eastAsia="en-GB"/>
        </w:rPr>
        <w:t xml:space="preserve"> ID. Only results with P&lt;5x10</w:t>
      </w:r>
      <w:r w:rsidR="00810DE1">
        <w:rPr>
          <w:rFonts w:ascii="Calibri" w:eastAsia="Times New Roman" w:hAnsi="Calibri" w:cs="Calibri"/>
          <w:color w:val="000000"/>
          <w:vertAlign w:val="superscript"/>
          <w:lang w:eastAsia="en-GB"/>
        </w:rPr>
        <w:t>-8</w:t>
      </w:r>
      <w:r w:rsidR="00810DE1">
        <w:rPr>
          <w:rFonts w:ascii="Calibri" w:eastAsia="Times New Roman" w:hAnsi="Calibri" w:cs="Calibri"/>
          <w:color w:val="000000"/>
          <w:lang w:eastAsia="en-GB"/>
        </w:rPr>
        <w:t xml:space="preserve"> reported.</w:t>
      </w:r>
      <w:r w:rsidR="0004632B">
        <w:rPr>
          <w:rFonts w:ascii="Calibri" w:eastAsia="Times New Roman" w:hAnsi="Calibri" w:cs="Calibri"/>
          <w:color w:val="000000"/>
          <w:lang w:eastAsia="en-GB"/>
        </w:rPr>
        <w:t xml:space="preserve"> OR=Odds ratio, P=p-value.</w:t>
      </w:r>
    </w:p>
    <w:p w14:paraId="5761B7D4" w14:textId="06F5BC30" w:rsidR="00BC48F6" w:rsidRDefault="00BC48F6" w:rsidP="00BC48F6">
      <w:pPr>
        <w:spacing w:after="0" w:line="240" w:lineRule="auto"/>
        <w:rPr>
          <w:rFonts w:ascii="Calibri" w:eastAsia="Times New Roman" w:hAnsi="Calibri" w:cs="Calibri"/>
          <w:color w:val="000000"/>
          <w:lang w:eastAsia="en-GB"/>
        </w:rPr>
      </w:pPr>
      <w:r w:rsidRPr="00831E4C">
        <w:rPr>
          <w:rFonts w:ascii="Calibri" w:eastAsia="Times New Roman" w:hAnsi="Calibri" w:cs="Calibri"/>
          <w:b/>
          <w:bCs/>
          <w:color w:val="000000"/>
          <w:lang w:eastAsia="en-GB"/>
        </w:rPr>
        <w:t xml:space="preserve">Supplementary Table 9: </w:t>
      </w:r>
      <w:r w:rsidR="00810DE1" w:rsidRPr="00810DE1">
        <w:rPr>
          <w:rFonts w:ascii="Calibri" w:eastAsia="Times New Roman" w:hAnsi="Calibri" w:cs="Calibri"/>
          <w:color w:val="000000"/>
          <w:lang w:eastAsia="en-GB"/>
        </w:rPr>
        <w:t>Ensemble variant effect predictor (</w:t>
      </w:r>
      <w:r w:rsidRPr="00831E4C">
        <w:rPr>
          <w:rFonts w:ascii="Calibri" w:eastAsia="Times New Roman" w:hAnsi="Calibri" w:cs="Calibri"/>
          <w:color w:val="000000"/>
          <w:lang w:eastAsia="en-GB"/>
        </w:rPr>
        <w:t>VEP</w:t>
      </w:r>
      <w:r w:rsidR="00810DE1">
        <w:rPr>
          <w:rFonts w:ascii="Calibri" w:eastAsia="Times New Roman" w:hAnsi="Calibri" w:cs="Calibri"/>
          <w:color w:val="000000"/>
          <w:lang w:eastAsia="en-GB"/>
        </w:rPr>
        <w:t>)</w:t>
      </w:r>
      <w:r w:rsidRPr="00831E4C">
        <w:rPr>
          <w:rFonts w:ascii="Calibri" w:eastAsia="Times New Roman" w:hAnsi="Calibri" w:cs="Calibri"/>
          <w:color w:val="000000"/>
          <w:lang w:eastAsia="en-GB"/>
        </w:rPr>
        <w:t xml:space="preserve"> results for </w:t>
      </w:r>
      <w:r w:rsidRPr="00831E4C">
        <w:rPr>
          <w:rFonts w:ascii="Calibri" w:eastAsia="Times New Roman" w:hAnsi="Calibri" w:cs="Calibri"/>
          <w:i/>
          <w:iCs/>
          <w:color w:val="000000"/>
          <w:lang w:eastAsia="en-GB"/>
        </w:rPr>
        <w:t>FUT2</w:t>
      </w:r>
      <w:r w:rsidRPr="00831E4C">
        <w:rPr>
          <w:rFonts w:ascii="Calibri" w:eastAsia="Times New Roman" w:hAnsi="Calibri" w:cs="Calibri"/>
          <w:color w:val="000000"/>
          <w:lang w:eastAsia="en-GB"/>
        </w:rPr>
        <w:t xml:space="preserve"> locus</w:t>
      </w:r>
      <w:r>
        <w:rPr>
          <w:rFonts w:ascii="Calibri" w:eastAsia="Times New Roman" w:hAnsi="Calibri" w:cs="Calibri"/>
          <w:color w:val="000000"/>
          <w:lang w:eastAsia="en-GB"/>
        </w:rPr>
        <w:t>.</w:t>
      </w:r>
    </w:p>
    <w:p w14:paraId="5AD62C5C" w14:textId="79014DD7" w:rsidR="00BC48F6" w:rsidRPr="00831E4C" w:rsidRDefault="00BC48F6" w:rsidP="00BC48F6">
      <w:pPr>
        <w:spacing w:after="0" w:line="240" w:lineRule="auto"/>
        <w:rPr>
          <w:rFonts w:ascii="Calibri" w:eastAsia="Times New Roman" w:hAnsi="Calibri" w:cs="Calibri"/>
          <w:color w:val="000000"/>
          <w:lang w:eastAsia="en-GB"/>
        </w:rPr>
      </w:pPr>
      <w:r w:rsidRPr="00831E4C">
        <w:rPr>
          <w:rFonts w:ascii="Calibri" w:eastAsia="Times New Roman" w:hAnsi="Calibri" w:cs="Calibri"/>
          <w:b/>
          <w:bCs/>
          <w:color w:val="000000"/>
          <w:lang w:eastAsia="en-GB"/>
        </w:rPr>
        <w:t xml:space="preserve">Supplementary Table 10: </w:t>
      </w:r>
      <w:r w:rsidRPr="00831E4C">
        <w:rPr>
          <w:rFonts w:ascii="Calibri" w:eastAsia="Times New Roman" w:hAnsi="Calibri" w:cs="Calibri"/>
          <w:color w:val="000000"/>
          <w:lang w:eastAsia="en-GB"/>
        </w:rPr>
        <w:t>Results for credible sets for each of the 5 non HLA signals, results aligned to chronic sputum</w:t>
      </w:r>
      <w:r w:rsidR="007D5588">
        <w:rPr>
          <w:rFonts w:ascii="Calibri" w:eastAsia="Times New Roman" w:hAnsi="Calibri" w:cs="Calibri"/>
          <w:color w:val="000000"/>
          <w:lang w:eastAsia="en-GB"/>
        </w:rPr>
        <w:t xml:space="preserve"> production</w:t>
      </w:r>
      <w:r w:rsidRPr="00831E4C">
        <w:rPr>
          <w:rFonts w:ascii="Calibri" w:eastAsia="Times New Roman" w:hAnsi="Calibri" w:cs="Calibri"/>
          <w:color w:val="000000"/>
          <w:lang w:eastAsia="en-GB"/>
        </w:rPr>
        <w:t xml:space="preserve"> risk allele for all variants</w:t>
      </w:r>
      <w:r>
        <w:rPr>
          <w:rFonts w:ascii="Calibri" w:eastAsia="Times New Roman" w:hAnsi="Calibri" w:cs="Calibri"/>
          <w:color w:val="000000"/>
          <w:lang w:eastAsia="en-GB"/>
        </w:rPr>
        <w:t>.</w:t>
      </w:r>
    </w:p>
    <w:p w14:paraId="6570B849" w14:textId="0026AC86" w:rsidR="00BC48F6" w:rsidRDefault="00BC48F6" w:rsidP="00BC48F6">
      <w:pPr>
        <w:spacing w:after="0" w:line="240" w:lineRule="auto"/>
        <w:rPr>
          <w:rFonts w:ascii="Calibri" w:eastAsia="Times New Roman" w:hAnsi="Calibri" w:cs="Calibri"/>
          <w:color w:val="000000"/>
          <w:lang w:eastAsia="en-GB"/>
        </w:rPr>
      </w:pPr>
      <w:r w:rsidRPr="00831E4C">
        <w:rPr>
          <w:rFonts w:ascii="Calibri" w:eastAsia="Times New Roman" w:hAnsi="Calibri" w:cs="Calibri"/>
          <w:b/>
          <w:bCs/>
          <w:color w:val="000000"/>
          <w:lang w:eastAsia="en-GB"/>
        </w:rPr>
        <w:t xml:space="preserve">Supplementary Table 11: </w:t>
      </w:r>
      <w:r w:rsidRPr="00831E4C">
        <w:rPr>
          <w:rFonts w:ascii="Calibri" w:eastAsia="Times New Roman" w:hAnsi="Calibri" w:cs="Calibri"/>
          <w:color w:val="000000"/>
          <w:lang w:eastAsia="en-GB"/>
        </w:rPr>
        <w:t>eQTL co-localisation results, results aligned to risk allele for chronic sputum</w:t>
      </w:r>
      <w:r w:rsidR="007D5588">
        <w:rPr>
          <w:rFonts w:ascii="Calibri" w:eastAsia="Times New Roman" w:hAnsi="Calibri" w:cs="Calibri"/>
          <w:color w:val="000000"/>
          <w:lang w:eastAsia="en-GB"/>
        </w:rPr>
        <w:t xml:space="preserve"> production</w:t>
      </w:r>
      <w:r>
        <w:rPr>
          <w:rFonts w:ascii="Calibri" w:eastAsia="Times New Roman" w:hAnsi="Calibri" w:cs="Calibri"/>
          <w:color w:val="000000"/>
          <w:lang w:eastAsia="en-GB"/>
        </w:rPr>
        <w:t>.</w:t>
      </w:r>
      <w:r w:rsidR="00810DE1">
        <w:rPr>
          <w:rFonts w:ascii="Calibri" w:eastAsia="Times New Roman" w:hAnsi="Calibri" w:cs="Calibri"/>
          <w:color w:val="000000"/>
          <w:lang w:eastAsia="en-GB"/>
        </w:rPr>
        <w:t xml:space="preserve"> </w:t>
      </w:r>
      <w:r w:rsidR="00810DE1" w:rsidRPr="00810DE1">
        <w:rPr>
          <w:rFonts w:ascii="Calibri" w:eastAsia="Times New Roman" w:hAnsi="Calibri" w:cs="Calibri"/>
          <w:color w:val="000000"/>
          <w:lang w:eastAsia="en-GB"/>
        </w:rPr>
        <w:t>H4 = posterior probability of the signals being the same</w:t>
      </w:r>
      <w:r w:rsidR="0004632B">
        <w:rPr>
          <w:rFonts w:ascii="Calibri" w:eastAsia="Times New Roman" w:hAnsi="Calibri" w:cs="Calibri"/>
          <w:color w:val="000000"/>
          <w:lang w:eastAsia="en-GB"/>
        </w:rPr>
        <w:t>.</w:t>
      </w:r>
    </w:p>
    <w:p w14:paraId="305AB3D1" w14:textId="5A79D985" w:rsidR="00BC48F6" w:rsidRPr="00831E4C" w:rsidRDefault="00BC48F6" w:rsidP="00BC48F6">
      <w:pPr>
        <w:spacing w:after="0" w:line="240" w:lineRule="auto"/>
        <w:rPr>
          <w:rFonts w:ascii="Calibri" w:eastAsia="Times New Roman" w:hAnsi="Calibri" w:cs="Calibri"/>
          <w:b/>
          <w:bCs/>
          <w:color w:val="000000"/>
          <w:lang w:eastAsia="en-GB"/>
        </w:rPr>
      </w:pPr>
      <w:r w:rsidRPr="00831E4C">
        <w:rPr>
          <w:rFonts w:ascii="Calibri" w:eastAsia="Times New Roman" w:hAnsi="Calibri" w:cs="Calibri"/>
          <w:b/>
          <w:bCs/>
          <w:color w:val="000000"/>
          <w:lang w:eastAsia="en-GB"/>
        </w:rPr>
        <w:t xml:space="preserve">Supplementary Table 12: </w:t>
      </w:r>
      <w:r w:rsidRPr="00831E4C">
        <w:rPr>
          <w:rFonts w:ascii="Calibri" w:eastAsia="Times New Roman" w:hAnsi="Calibri" w:cs="Calibri"/>
          <w:color w:val="000000"/>
          <w:lang w:eastAsia="en-GB"/>
        </w:rPr>
        <w:t>Read V3 codes for sputum in original sample and stratified by current smoking status (field-ID 22506)</w:t>
      </w:r>
      <w:r>
        <w:rPr>
          <w:rFonts w:ascii="Calibri" w:eastAsia="Times New Roman" w:hAnsi="Calibri" w:cs="Calibri"/>
          <w:color w:val="000000"/>
          <w:lang w:eastAsia="en-GB"/>
        </w:rPr>
        <w:t>.</w:t>
      </w:r>
      <w:r w:rsidR="00810DE1">
        <w:rPr>
          <w:rFonts w:ascii="Calibri" w:eastAsia="Times New Roman" w:hAnsi="Calibri" w:cs="Calibri"/>
          <w:color w:val="000000"/>
          <w:lang w:eastAsia="en-GB"/>
        </w:rPr>
        <w:t xml:space="preserve"> </w:t>
      </w:r>
      <w:r w:rsidR="009E245D">
        <w:rPr>
          <w:rFonts w:ascii="Calibri" w:eastAsia="Times New Roman" w:hAnsi="Calibri" w:cs="Calibri"/>
          <w:color w:val="000000"/>
          <w:lang w:eastAsia="en-GB"/>
        </w:rPr>
        <w:t xml:space="preserve">Read V3 are primary care codes extracted from the primary care </w:t>
      </w:r>
      <w:r w:rsidR="00D072E7">
        <w:rPr>
          <w:rFonts w:ascii="Calibri" w:eastAsia="Times New Roman" w:hAnsi="Calibri" w:cs="Calibri"/>
          <w:color w:val="000000"/>
          <w:lang w:eastAsia="en-GB"/>
        </w:rPr>
        <w:t>records. *</w:t>
      </w:r>
      <w:r w:rsidR="00810DE1" w:rsidRPr="00810DE1">
        <w:t xml:space="preserve"> </w:t>
      </w:r>
      <w:r w:rsidR="00D072E7">
        <w:t>=</w:t>
      </w:r>
      <w:r w:rsidR="00810DE1" w:rsidRPr="00810DE1">
        <w:rPr>
          <w:rFonts w:ascii="Calibri" w:eastAsia="Times New Roman" w:hAnsi="Calibri" w:cs="Calibri"/>
          <w:color w:val="000000"/>
          <w:lang w:eastAsia="en-GB"/>
        </w:rPr>
        <w:t xml:space="preserve">Overall </w:t>
      </w:r>
      <w:proofErr w:type="spellStart"/>
      <w:r w:rsidR="00810DE1" w:rsidRPr="00810DE1">
        <w:rPr>
          <w:rFonts w:ascii="Calibri" w:eastAsia="Times New Roman" w:hAnsi="Calibri" w:cs="Calibri"/>
          <w:color w:val="000000"/>
          <w:lang w:eastAsia="en-GB"/>
        </w:rPr>
        <w:t>N_cases</w:t>
      </w:r>
      <w:proofErr w:type="spellEnd"/>
      <w:r w:rsidR="00810DE1" w:rsidRPr="00810DE1">
        <w:rPr>
          <w:rFonts w:ascii="Calibri" w:eastAsia="Times New Roman" w:hAnsi="Calibri" w:cs="Calibri"/>
          <w:color w:val="000000"/>
          <w:lang w:eastAsia="en-GB"/>
        </w:rPr>
        <w:t xml:space="preserve"> = 4498, </w:t>
      </w:r>
      <w:proofErr w:type="spellStart"/>
      <w:r w:rsidR="00810DE1" w:rsidRPr="00810DE1">
        <w:rPr>
          <w:rFonts w:ascii="Calibri" w:eastAsia="Times New Roman" w:hAnsi="Calibri" w:cs="Calibri"/>
          <w:color w:val="000000"/>
          <w:lang w:eastAsia="en-GB"/>
        </w:rPr>
        <w:t>N_controls</w:t>
      </w:r>
      <w:proofErr w:type="spellEnd"/>
      <w:r w:rsidR="00810DE1" w:rsidRPr="00810DE1">
        <w:rPr>
          <w:rFonts w:ascii="Calibri" w:eastAsia="Times New Roman" w:hAnsi="Calibri" w:cs="Calibri"/>
          <w:color w:val="000000"/>
          <w:lang w:eastAsia="en-GB"/>
        </w:rPr>
        <w:t xml:space="preserve"> = 45403</w:t>
      </w:r>
      <w:r w:rsidR="00810DE1">
        <w:rPr>
          <w:rFonts w:ascii="Calibri" w:eastAsia="Times New Roman" w:hAnsi="Calibri" w:cs="Calibri"/>
          <w:color w:val="000000"/>
          <w:lang w:eastAsia="en-GB"/>
        </w:rPr>
        <w:t>, **</w:t>
      </w:r>
      <w:r w:rsidR="00D072E7">
        <w:rPr>
          <w:rFonts w:ascii="Calibri" w:eastAsia="Times New Roman" w:hAnsi="Calibri" w:cs="Calibri"/>
          <w:color w:val="000000"/>
          <w:lang w:eastAsia="en-GB"/>
        </w:rPr>
        <w:t>=</w:t>
      </w:r>
      <w:r w:rsidR="00810DE1" w:rsidRPr="00810DE1">
        <w:t xml:space="preserve"> </w:t>
      </w:r>
      <w:r w:rsidR="00810DE1" w:rsidRPr="00810DE1">
        <w:rPr>
          <w:rFonts w:ascii="Calibri" w:eastAsia="Times New Roman" w:hAnsi="Calibri" w:cs="Calibri"/>
          <w:color w:val="000000"/>
          <w:lang w:eastAsia="en-GB"/>
        </w:rPr>
        <w:t xml:space="preserve">Overall </w:t>
      </w:r>
      <w:proofErr w:type="spellStart"/>
      <w:r w:rsidR="00810DE1" w:rsidRPr="00810DE1">
        <w:rPr>
          <w:rFonts w:ascii="Calibri" w:eastAsia="Times New Roman" w:hAnsi="Calibri" w:cs="Calibri"/>
          <w:color w:val="000000"/>
          <w:lang w:eastAsia="en-GB"/>
        </w:rPr>
        <w:t>N_cases</w:t>
      </w:r>
      <w:proofErr w:type="spellEnd"/>
      <w:r w:rsidR="00810DE1" w:rsidRPr="00810DE1">
        <w:rPr>
          <w:rFonts w:ascii="Calibri" w:eastAsia="Times New Roman" w:hAnsi="Calibri" w:cs="Calibri"/>
          <w:color w:val="000000"/>
          <w:lang w:eastAsia="en-GB"/>
        </w:rPr>
        <w:t xml:space="preserve"> = 440, </w:t>
      </w:r>
      <w:proofErr w:type="spellStart"/>
      <w:r w:rsidR="00810DE1" w:rsidRPr="00810DE1">
        <w:rPr>
          <w:rFonts w:ascii="Calibri" w:eastAsia="Times New Roman" w:hAnsi="Calibri" w:cs="Calibri"/>
          <w:color w:val="000000"/>
          <w:lang w:eastAsia="en-GB"/>
        </w:rPr>
        <w:t>N_controls</w:t>
      </w:r>
      <w:proofErr w:type="spellEnd"/>
      <w:r w:rsidR="00810DE1" w:rsidRPr="00810DE1">
        <w:rPr>
          <w:rFonts w:ascii="Calibri" w:eastAsia="Times New Roman" w:hAnsi="Calibri" w:cs="Calibri"/>
          <w:color w:val="000000"/>
          <w:lang w:eastAsia="en-GB"/>
        </w:rPr>
        <w:t xml:space="preserve"> = 1509</w:t>
      </w:r>
      <w:r w:rsidR="00810DE1">
        <w:rPr>
          <w:rFonts w:ascii="Calibri" w:eastAsia="Times New Roman" w:hAnsi="Calibri" w:cs="Calibri"/>
          <w:color w:val="000000"/>
          <w:lang w:eastAsia="en-GB"/>
        </w:rPr>
        <w:t>, ***</w:t>
      </w:r>
      <w:r w:rsidR="00D072E7">
        <w:rPr>
          <w:rFonts w:ascii="Calibri" w:eastAsia="Times New Roman" w:hAnsi="Calibri" w:cs="Calibri"/>
          <w:color w:val="000000"/>
          <w:lang w:eastAsia="en-GB"/>
        </w:rPr>
        <w:t>=</w:t>
      </w:r>
      <w:r w:rsidR="00810DE1" w:rsidRPr="00810DE1">
        <w:t xml:space="preserve"> </w:t>
      </w:r>
      <w:r w:rsidR="00810DE1" w:rsidRPr="00810DE1">
        <w:rPr>
          <w:rFonts w:ascii="Calibri" w:eastAsia="Times New Roman" w:hAnsi="Calibri" w:cs="Calibri"/>
          <w:color w:val="000000"/>
          <w:lang w:eastAsia="en-GB"/>
        </w:rPr>
        <w:t xml:space="preserve">Overall </w:t>
      </w:r>
      <w:proofErr w:type="spellStart"/>
      <w:r w:rsidR="00810DE1" w:rsidRPr="00810DE1">
        <w:rPr>
          <w:rFonts w:ascii="Calibri" w:eastAsia="Times New Roman" w:hAnsi="Calibri" w:cs="Calibri"/>
          <w:color w:val="000000"/>
          <w:lang w:eastAsia="en-GB"/>
        </w:rPr>
        <w:t>N_cases</w:t>
      </w:r>
      <w:proofErr w:type="spellEnd"/>
      <w:r w:rsidR="00810DE1" w:rsidRPr="00810DE1">
        <w:rPr>
          <w:rFonts w:ascii="Calibri" w:eastAsia="Times New Roman" w:hAnsi="Calibri" w:cs="Calibri"/>
          <w:color w:val="000000"/>
          <w:lang w:eastAsia="en-GB"/>
        </w:rPr>
        <w:t xml:space="preserve"> = 4041, </w:t>
      </w:r>
      <w:proofErr w:type="spellStart"/>
      <w:r w:rsidR="00810DE1" w:rsidRPr="00810DE1">
        <w:rPr>
          <w:rFonts w:ascii="Calibri" w:eastAsia="Times New Roman" w:hAnsi="Calibri" w:cs="Calibri"/>
          <w:color w:val="000000"/>
          <w:lang w:eastAsia="en-GB"/>
        </w:rPr>
        <w:t>N_controls</w:t>
      </w:r>
      <w:proofErr w:type="spellEnd"/>
      <w:r w:rsidR="00810DE1" w:rsidRPr="00810DE1">
        <w:rPr>
          <w:rFonts w:ascii="Calibri" w:eastAsia="Times New Roman" w:hAnsi="Calibri" w:cs="Calibri"/>
          <w:color w:val="000000"/>
          <w:lang w:eastAsia="en-GB"/>
        </w:rPr>
        <w:t xml:space="preserve"> = 43676</w:t>
      </w:r>
      <w:r w:rsidR="00810DE1">
        <w:rPr>
          <w:rFonts w:ascii="Calibri" w:eastAsia="Times New Roman" w:hAnsi="Calibri" w:cs="Calibri"/>
          <w:color w:val="000000"/>
          <w:lang w:eastAsia="en-GB"/>
        </w:rPr>
        <w:t>.</w:t>
      </w:r>
    </w:p>
    <w:p w14:paraId="24F8788E" w14:textId="0F8AC161" w:rsidR="00C920A6" w:rsidRPr="00C920A6" w:rsidRDefault="009E245D" w:rsidP="007A7DF4">
      <w:pPr>
        <w:spacing w:after="0"/>
      </w:pPr>
      <w:r w:rsidRPr="009E245D">
        <w:rPr>
          <w:b/>
          <w:bCs/>
        </w:rPr>
        <w:t>Supplementary Table 13:</w:t>
      </w:r>
      <w:r w:rsidRPr="009E245D">
        <w:t xml:space="preserve"> </w:t>
      </w:r>
      <w:r w:rsidR="00D072E7" w:rsidRPr="00D072E7">
        <w:t>Results and meta-analysis from the five additional studies for the six sentinel variants.</w:t>
      </w:r>
      <w:r w:rsidR="00D072E7">
        <w:t xml:space="preserve"> *=</w:t>
      </w:r>
      <w:r w:rsidR="00D072E7" w:rsidRPr="00D072E7">
        <w:t xml:space="preserve"> rs10902094 proxy</w:t>
      </w:r>
      <w:r w:rsidR="00D072E7">
        <w:t>, **=</w:t>
      </w:r>
      <w:r w:rsidR="00D072E7" w:rsidRPr="00D072E7">
        <w:t xml:space="preserve"> rs143032234 proxy</w:t>
      </w:r>
      <w:r w:rsidR="00D072E7">
        <w:t>,</w:t>
      </w:r>
      <w:r w:rsidR="00D072E7" w:rsidRPr="00D072E7">
        <w:t xml:space="preserve"> ª</w:t>
      </w:r>
      <w:r w:rsidR="00D072E7">
        <w:t>=</w:t>
      </w:r>
      <w:r w:rsidR="00D072E7" w:rsidRPr="00D072E7">
        <w:t xml:space="preserve"> rs504963 proxy</w:t>
      </w:r>
      <w:r w:rsidR="00D072E7">
        <w:t>. P=p-value, OR= Odds ratio, CI= Confidence Interval.</w:t>
      </w:r>
    </w:p>
    <w:sectPr w:rsidR="00C920A6" w:rsidRPr="00C920A6" w:rsidSect="004225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95855" w14:textId="77777777" w:rsidR="00016FC4" w:rsidRDefault="00016FC4" w:rsidP="00AD7BDC">
      <w:pPr>
        <w:spacing w:after="0" w:line="240" w:lineRule="auto"/>
      </w:pPr>
      <w:r>
        <w:separator/>
      </w:r>
    </w:p>
  </w:endnote>
  <w:endnote w:type="continuationSeparator" w:id="0">
    <w:p w14:paraId="0E411EBB" w14:textId="77777777" w:rsidR="00016FC4" w:rsidRDefault="00016FC4" w:rsidP="00AD7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062420"/>
      <w:docPartObj>
        <w:docPartGallery w:val="Page Numbers (Bottom of Page)"/>
        <w:docPartUnique/>
      </w:docPartObj>
    </w:sdtPr>
    <w:sdtEndPr>
      <w:rPr>
        <w:noProof/>
      </w:rPr>
    </w:sdtEndPr>
    <w:sdtContent>
      <w:p w14:paraId="038C73D8" w14:textId="14D45C6D" w:rsidR="00AD7BDC" w:rsidRDefault="00AD7BDC">
        <w:pPr>
          <w:pStyle w:val="Footer"/>
          <w:jc w:val="right"/>
        </w:pPr>
        <w:r>
          <w:fldChar w:fldCharType="begin"/>
        </w:r>
        <w:r>
          <w:instrText xml:space="preserve"> PAGE   \* MERGEFORMAT </w:instrText>
        </w:r>
        <w:r>
          <w:fldChar w:fldCharType="separate"/>
        </w:r>
        <w:r w:rsidR="008F3A1F">
          <w:rPr>
            <w:noProof/>
          </w:rPr>
          <w:t>1</w:t>
        </w:r>
        <w:r>
          <w:rPr>
            <w:noProof/>
          </w:rPr>
          <w:fldChar w:fldCharType="end"/>
        </w:r>
      </w:p>
    </w:sdtContent>
  </w:sdt>
  <w:p w14:paraId="42852720" w14:textId="77777777" w:rsidR="00AD7BDC" w:rsidRDefault="00AD7B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38E52" w14:textId="77777777" w:rsidR="00016FC4" w:rsidRDefault="00016FC4" w:rsidP="00AD7BDC">
      <w:pPr>
        <w:spacing w:after="0" w:line="240" w:lineRule="auto"/>
      </w:pPr>
      <w:r>
        <w:separator/>
      </w:r>
    </w:p>
  </w:footnote>
  <w:footnote w:type="continuationSeparator" w:id="0">
    <w:p w14:paraId="01C74EC8" w14:textId="77777777" w:rsidR="00016FC4" w:rsidRDefault="00016FC4" w:rsidP="00AD7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A91FFA"/>
    <w:multiLevelType w:val="hybridMultilevel"/>
    <w:tmpl w:val="00C61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28679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193"/>
    <w:rsid w:val="00000651"/>
    <w:rsid w:val="00010979"/>
    <w:rsid w:val="00016FC4"/>
    <w:rsid w:val="0004062F"/>
    <w:rsid w:val="0004632B"/>
    <w:rsid w:val="00047D0F"/>
    <w:rsid w:val="00066604"/>
    <w:rsid w:val="00077852"/>
    <w:rsid w:val="00090A8E"/>
    <w:rsid w:val="000D0E07"/>
    <w:rsid w:val="0013649B"/>
    <w:rsid w:val="001A3FBC"/>
    <w:rsid w:val="001E5A8C"/>
    <w:rsid w:val="001E5E60"/>
    <w:rsid w:val="002456B3"/>
    <w:rsid w:val="002506B3"/>
    <w:rsid w:val="0025328D"/>
    <w:rsid w:val="00256EA6"/>
    <w:rsid w:val="00262381"/>
    <w:rsid w:val="00284267"/>
    <w:rsid w:val="00293EF8"/>
    <w:rsid w:val="002E742F"/>
    <w:rsid w:val="00313E89"/>
    <w:rsid w:val="00366F4B"/>
    <w:rsid w:val="003823C5"/>
    <w:rsid w:val="0038548A"/>
    <w:rsid w:val="003A671D"/>
    <w:rsid w:val="003D363A"/>
    <w:rsid w:val="003F16C5"/>
    <w:rsid w:val="00400193"/>
    <w:rsid w:val="00422545"/>
    <w:rsid w:val="0043793A"/>
    <w:rsid w:val="0045774E"/>
    <w:rsid w:val="00472359"/>
    <w:rsid w:val="0047264D"/>
    <w:rsid w:val="004A68C4"/>
    <w:rsid w:val="004D0752"/>
    <w:rsid w:val="004D52BC"/>
    <w:rsid w:val="004E1269"/>
    <w:rsid w:val="00500EA8"/>
    <w:rsid w:val="005165AD"/>
    <w:rsid w:val="0053361E"/>
    <w:rsid w:val="005524EB"/>
    <w:rsid w:val="00554AF0"/>
    <w:rsid w:val="00571BF2"/>
    <w:rsid w:val="005B0AA7"/>
    <w:rsid w:val="005C3C9B"/>
    <w:rsid w:val="00615EE7"/>
    <w:rsid w:val="00625042"/>
    <w:rsid w:val="00690A79"/>
    <w:rsid w:val="00692BA3"/>
    <w:rsid w:val="006B16B1"/>
    <w:rsid w:val="006B5009"/>
    <w:rsid w:val="006B7786"/>
    <w:rsid w:val="006B7F74"/>
    <w:rsid w:val="006C5B75"/>
    <w:rsid w:val="006F704B"/>
    <w:rsid w:val="007A0E06"/>
    <w:rsid w:val="007A7DF4"/>
    <w:rsid w:val="007B1C1A"/>
    <w:rsid w:val="007C2668"/>
    <w:rsid w:val="007D5588"/>
    <w:rsid w:val="007E294D"/>
    <w:rsid w:val="00810DE1"/>
    <w:rsid w:val="008D1551"/>
    <w:rsid w:val="008F3A1F"/>
    <w:rsid w:val="00903F56"/>
    <w:rsid w:val="0093248B"/>
    <w:rsid w:val="009420D4"/>
    <w:rsid w:val="00975058"/>
    <w:rsid w:val="009A1C69"/>
    <w:rsid w:val="009B6E73"/>
    <w:rsid w:val="009E245D"/>
    <w:rsid w:val="009E5835"/>
    <w:rsid w:val="009F168C"/>
    <w:rsid w:val="009F6AE8"/>
    <w:rsid w:val="00A31B2D"/>
    <w:rsid w:val="00A432AF"/>
    <w:rsid w:val="00A50837"/>
    <w:rsid w:val="00A85977"/>
    <w:rsid w:val="00A87EDC"/>
    <w:rsid w:val="00A94A0D"/>
    <w:rsid w:val="00A953F2"/>
    <w:rsid w:val="00A97E69"/>
    <w:rsid w:val="00AA4EA7"/>
    <w:rsid w:val="00AB5C92"/>
    <w:rsid w:val="00AD2876"/>
    <w:rsid w:val="00AD7BDC"/>
    <w:rsid w:val="00B0468B"/>
    <w:rsid w:val="00B557F6"/>
    <w:rsid w:val="00B81FDA"/>
    <w:rsid w:val="00BC48F6"/>
    <w:rsid w:val="00BE02EC"/>
    <w:rsid w:val="00BE0BDA"/>
    <w:rsid w:val="00C33318"/>
    <w:rsid w:val="00C459C5"/>
    <w:rsid w:val="00C920A6"/>
    <w:rsid w:val="00CB7AAF"/>
    <w:rsid w:val="00D072E7"/>
    <w:rsid w:val="00D347D2"/>
    <w:rsid w:val="00D40756"/>
    <w:rsid w:val="00D72D54"/>
    <w:rsid w:val="00D859D4"/>
    <w:rsid w:val="00D923C3"/>
    <w:rsid w:val="00D92B0E"/>
    <w:rsid w:val="00D939C6"/>
    <w:rsid w:val="00DC3309"/>
    <w:rsid w:val="00DC5489"/>
    <w:rsid w:val="00DD14AB"/>
    <w:rsid w:val="00E0448C"/>
    <w:rsid w:val="00E34CBF"/>
    <w:rsid w:val="00EC7A28"/>
    <w:rsid w:val="00EF40F6"/>
    <w:rsid w:val="00F12098"/>
    <w:rsid w:val="00F17B14"/>
    <w:rsid w:val="00F22553"/>
    <w:rsid w:val="00F24A06"/>
    <w:rsid w:val="00F37DB3"/>
    <w:rsid w:val="00F53AB6"/>
    <w:rsid w:val="00F63E29"/>
    <w:rsid w:val="00F809D7"/>
    <w:rsid w:val="00FD1F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59FB4"/>
  <w15:chartTrackingRefBased/>
  <w15:docId w15:val="{085DA490-0C6E-4305-A945-D8737039B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363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A7DF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5774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01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193"/>
    <w:rPr>
      <w:rFonts w:ascii="Segoe UI" w:hAnsi="Segoe UI" w:cs="Segoe UI"/>
      <w:sz w:val="18"/>
      <w:szCs w:val="18"/>
    </w:rPr>
  </w:style>
  <w:style w:type="paragraph" w:styleId="ListParagraph">
    <w:name w:val="List Paragraph"/>
    <w:basedOn w:val="Normal"/>
    <w:uiPriority w:val="34"/>
    <w:qFormat/>
    <w:rsid w:val="005C3C9B"/>
    <w:pPr>
      <w:ind w:left="720"/>
      <w:contextualSpacing/>
    </w:pPr>
  </w:style>
  <w:style w:type="character" w:styleId="CommentReference">
    <w:name w:val="annotation reference"/>
    <w:basedOn w:val="DefaultParagraphFont"/>
    <w:uiPriority w:val="99"/>
    <w:semiHidden/>
    <w:unhideWhenUsed/>
    <w:rsid w:val="001E5A8C"/>
    <w:rPr>
      <w:sz w:val="16"/>
      <w:szCs w:val="16"/>
    </w:rPr>
  </w:style>
  <w:style w:type="paragraph" w:styleId="CommentText">
    <w:name w:val="annotation text"/>
    <w:basedOn w:val="Normal"/>
    <w:link w:val="CommentTextChar"/>
    <w:uiPriority w:val="99"/>
    <w:unhideWhenUsed/>
    <w:rsid w:val="001E5A8C"/>
    <w:pPr>
      <w:spacing w:line="240" w:lineRule="auto"/>
    </w:pPr>
    <w:rPr>
      <w:sz w:val="20"/>
      <w:szCs w:val="20"/>
    </w:rPr>
  </w:style>
  <w:style w:type="character" w:customStyle="1" w:styleId="CommentTextChar">
    <w:name w:val="Comment Text Char"/>
    <w:basedOn w:val="DefaultParagraphFont"/>
    <w:link w:val="CommentText"/>
    <w:uiPriority w:val="99"/>
    <w:rsid w:val="001E5A8C"/>
    <w:rPr>
      <w:sz w:val="20"/>
      <w:szCs w:val="20"/>
    </w:rPr>
  </w:style>
  <w:style w:type="paragraph" w:styleId="CommentSubject">
    <w:name w:val="annotation subject"/>
    <w:basedOn w:val="CommentText"/>
    <w:next w:val="CommentText"/>
    <w:link w:val="CommentSubjectChar"/>
    <w:uiPriority w:val="99"/>
    <w:semiHidden/>
    <w:unhideWhenUsed/>
    <w:rsid w:val="001E5A8C"/>
    <w:rPr>
      <w:b/>
      <w:bCs/>
    </w:rPr>
  </w:style>
  <w:style w:type="character" w:customStyle="1" w:styleId="CommentSubjectChar">
    <w:name w:val="Comment Subject Char"/>
    <w:basedOn w:val="CommentTextChar"/>
    <w:link w:val="CommentSubject"/>
    <w:uiPriority w:val="99"/>
    <w:semiHidden/>
    <w:rsid w:val="001E5A8C"/>
    <w:rPr>
      <w:b/>
      <w:bCs/>
      <w:sz w:val="20"/>
      <w:szCs w:val="20"/>
    </w:rPr>
  </w:style>
  <w:style w:type="paragraph" w:styleId="Header">
    <w:name w:val="header"/>
    <w:basedOn w:val="Normal"/>
    <w:link w:val="HeaderChar"/>
    <w:uiPriority w:val="99"/>
    <w:unhideWhenUsed/>
    <w:rsid w:val="00AD7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BDC"/>
  </w:style>
  <w:style w:type="paragraph" w:styleId="Footer">
    <w:name w:val="footer"/>
    <w:basedOn w:val="Normal"/>
    <w:link w:val="FooterChar"/>
    <w:uiPriority w:val="99"/>
    <w:unhideWhenUsed/>
    <w:rsid w:val="00AD7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7BDC"/>
  </w:style>
  <w:style w:type="paragraph" w:styleId="Bibliography">
    <w:name w:val="Bibliography"/>
    <w:basedOn w:val="Normal"/>
    <w:next w:val="Normal"/>
    <w:uiPriority w:val="37"/>
    <w:unhideWhenUsed/>
    <w:rsid w:val="003D363A"/>
    <w:pPr>
      <w:spacing w:after="0" w:line="240" w:lineRule="auto"/>
      <w:ind w:left="720" w:hanging="720"/>
    </w:pPr>
  </w:style>
  <w:style w:type="character" w:customStyle="1" w:styleId="Heading1Char">
    <w:name w:val="Heading 1 Char"/>
    <w:basedOn w:val="DefaultParagraphFont"/>
    <w:link w:val="Heading1"/>
    <w:uiPriority w:val="9"/>
    <w:rsid w:val="003D363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A7DF4"/>
    <w:pPr>
      <w:spacing w:line="259" w:lineRule="auto"/>
      <w:outlineLvl w:val="9"/>
    </w:pPr>
    <w:rPr>
      <w:lang w:val="en-US"/>
    </w:rPr>
  </w:style>
  <w:style w:type="paragraph" w:styleId="TOC1">
    <w:name w:val="toc 1"/>
    <w:basedOn w:val="Normal"/>
    <w:next w:val="Normal"/>
    <w:autoRedefine/>
    <w:uiPriority w:val="39"/>
    <w:unhideWhenUsed/>
    <w:rsid w:val="007A7DF4"/>
    <w:pPr>
      <w:spacing w:after="100"/>
    </w:pPr>
  </w:style>
  <w:style w:type="character" w:styleId="Hyperlink">
    <w:name w:val="Hyperlink"/>
    <w:basedOn w:val="DefaultParagraphFont"/>
    <w:uiPriority w:val="99"/>
    <w:unhideWhenUsed/>
    <w:rsid w:val="007A7DF4"/>
    <w:rPr>
      <w:color w:val="0000FF" w:themeColor="hyperlink"/>
      <w:u w:val="single"/>
    </w:rPr>
  </w:style>
  <w:style w:type="character" w:customStyle="1" w:styleId="Heading2Char">
    <w:name w:val="Heading 2 Char"/>
    <w:basedOn w:val="DefaultParagraphFont"/>
    <w:link w:val="Heading2"/>
    <w:uiPriority w:val="9"/>
    <w:rsid w:val="007A7DF4"/>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7A7DF4"/>
    <w:pPr>
      <w:spacing w:after="100"/>
      <w:ind w:left="220"/>
    </w:pPr>
  </w:style>
  <w:style w:type="paragraph" w:styleId="Caption">
    <w:name w:val="caption"/>
    <w:basedOn w:val="Normal"/>
    <w:next w:val="Normal"/>
    <w:uiPriority w:val="35"/>
    <w:unhideWhenUsed/>
    <w:qFormat/>
    <w:rsid w:val="00F22553"/>
    <w:pPr>
      <w:spacing w:line="240" w:lineRule="auto"/>
    </w:pPr>
    <w:rPr>
      <w:i/>
      <w:iCs/>
      <w:color w:val="1F497D" w:themeColor="text2"/>
      <w:sz w:val="18"/>
      <w:szCs w:val="18"/>
    </w:rPr>
  </w:style>
  <w:style w:type="character" w:customStyle="1" w:styleId="Heading3Char">
    <w:name w:val="Heading 3 Char"/>
    <w:basedOn w:val="DefaultParagraphFont"/>
    <w:link w:val="Heading3"/>
    <w:uiPriority w:val="9"/>
    <w:rsid w:val="0045774E"/>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6F704B"/>
    <w:pPr>
      <w:spacing w:after="0" w:line="240" w:lineRule="auto"/>
    </w:pPr>
  </w:style>
  <w:style w:type="paragraph" w:customStyle="1" w:styleId="paragraph">
    <w:name w:val="paragraph"/>
    <w:basedOn w:val="Normal"/>
    <w:rsid w:val="00D407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40756"/>
  </w:style>
  <w:style w:type="character" w:customStyle="1" w:styleId="findhit">
    <w:name w:val="findhit"/>
    <w:basedOn w:val="DefaultParagraphFont"/>
    <w:rsid w:val="00D40756"/>
  </w:style>
  <w:style w:type="character" w:customStyle="1" w:styleId="eop">
    <w:name w:val="eop"/>
    <w:basedOn w:val="DefaultParagraphFont"/>
    <w:rsid w:val="00D40756"/>
  </w:style>
  <w:style w:type="paragraph" w:customStyle="1" w:styleId="p">
    <w:name w:val="p"/>
    <w:basedOn w:val="Normal"/>
    <w:rsid w:val="005B0AA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EC7A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C7A28"/>
    <w:pPr>
      <w:spacing w:after="0" w:line="240" w:lineRule="auto"/>
    </w:pPr>
  </w:style>
  <w:style w:type="paragraph" w:styleId="TOC3">
    <w:name w:val="toc 3"/>
    <w:basedOn w:val="Normal"/>
    <w:next w:val="Normal"/>
    <w:autoRedefine/>
    <w:uiPriority w:val="39"/>
    <w:unhideWhenUsed/>
    <w:rsid w:val="005165A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24616">
      <w:bodyDiv w:val="1"/>
      <w:marLeft w:val="0"/>
      <w:marRight w:val="0"/>
      <w:marTop w:val="0"/>
      <w:marBottom w:val="0"/>
      <w:divBdr>
        <w:top w:val="none" w:sz="0" w:space="0" w:color="auto"/>
        <w:left w:val="none" w:sz="0" w:space="0" w:color="auto"/>
        <w:bottom w:val="none" w:sz="0" w:space="0" w:color="auto"/>
        <w:right w:val="none" w:sz="0" w:space="0" w:color="auto"/>
      </w:divBdr>
      <w:divsChild>
        <w:div w:id="1720133587">
          <w:marLeft w:val="0"/>
          <w:marRight w:val="0"/>
          <w:marTop w:val="0"/>
          <w:marBottom w:val="0"/>
          <w:divBdr>
            <w:top w:val="none" w:sz="0" w:space="0" w:color="auto"/>
            <w:left w:val="none" w:sz="0" w:space="0" w:color="auto"/>
            <w:bottom w:val="none" w:sz="0" w:space="0" w:color="auto"/>
            <w:right w:val="none" w:sz="0" w:space="0" w:color="auto"/>
          </w:divBdr>
        </w:div>
        <w:div w:id="1494175810">
          <w:marLeft w:val="0"/>
          <w:marRight w:val="0"/>
          <w:marTop w:val="0"/>
          <w:marBottom w:val="0"/>
          <w:divBdr>
            <w:top w:val="none" w:sz="0" w:space="0" w:color="auto"/>
            <w:left w:val="none" w:sz="0" w:space="0" w:color="auto"/>
            <w:bottom w:val="none" w:sz="0" w:space="0" w:color="auto"/>
            <w:right w:val="none" w:sz="0" w:space="0" w:color="auto"/>
          </w:divBdr>
        </w:div>
        <w:div w:id="62991975">
          <w:marLeft w:val="0"/>
          <w:marRight w:val="0"/>
          <w:marTop w:val="0"/>
          <w:marBottom w:val="0"/>
          <w:divBdr>
            <w:top w:val="none" w:sz="0" w:space="0" w:color="auto"/>
            <w:left w:val="none" w:sz="0" w:space="0" w:color="auto"/>
            <w:bottom w:val="none" w:sz="0" w:space="0" w:color="auto"/>
            <w:right w:val="none" w:sz="0" w:space="0" w:color="auto"/>
          </w:divBdr>
        </w:div>
        <w:div w:id="1229421960">
          <w:marLeft w:val="0"/>
          <w:marRight w:val="0"/>
          <w:marTop w:val="0"/>
          <w:marBottom w:val="0"/>
          <w:divBdr>
            <w:top w:val="none" w:sz="0" w:space="0" w:color="auto"/>
            <w:left w:val="none" w:sz="0" w:space="0" w:color="auto"/>
            <w:bottom w:val="none" w:sz="0" w:space="0" w:color="auto"/>
            <w:right w:val="none" w:sz="0" w:space="0" w:color="auto"/>
          </w:divBdr>
        </w:div>
      </w:divsChild>
    </w:div>
    <w:div w:id="431586618">
      <w:bodyDiv w:val="1"/>
      <w:marLeft w:val="0"/>
      <w:marRight w:val="0"/>
      <w:marTop w:val="0"/>
      <w:marBottom w:val="0"/>
      <w:divBdr>
        <w:top w:val="none" w:sz="0" w:space="0" w:color="auto"/>
        <w:left w:val="none" w:sz="0" w:space="0" w:color="auto"/>
        <w:bottom w:val="none" w:sz="0" w:space="0" w:color="auto"/>
        <w:right w:val="none" w:sz="0" w:space="0" w:color="auto"/>
      </w:divBdr>
    </w:div>
    <w:div w:id="1203665778">
      <w:bodyDiv w:val="1"/>
      <w:marLeft w:val="0"/>
      <w:marRight w:val="0"/>
      <w:marTop w:val="0"/>
      <w:marBottom w:val="0"/>
      <w:divBdr>
        <w:top w:val="none" w:sz="0" w:space="0" w:color="auto"/>
        <w:left w:val="none" w:sz="0" w:space="0" w:color="auto"/>
        <w:bottom w:val="none" w:sz="0" w:space="0" w:color="auto"/>
        <w:right w:val="none" w:sz="0" w:space="0" w:color="auto"/>
      </w:divBdr>
    </w:div>
    <w:div w:id="1332100520">
      <w:bodyDiv w:val="1"/>
      <w:marLeft w:val="0"/>
      <w:marRight w:val="0"/>
      <w:marTop w:val="0"/>
      <w:marBottom w:val="0"/>
      <w:divBdr>
        <w:top w:val="none" w:sz="0" w:space="0" w:color="auto"/>
        <w:left w:val="none" w:sz="0" w:space="0" w:color="auto"/>
        <w:bottom w:val="none" w:sz="0" w:space="0" w:color="auto"/>
        <w:right w:val="none" w:sz="0" w:space="0" w:color="auto"/>
      </w:divBdr>
    </w:div>
    <w:div w:id="1693263224">
      <w:bodyDiv w:val="1"/>
      <w:marLeft w:val="0"/>
      <w:marRight w:val="0"/>
      <w:marTop w:val="0"/>
      <w:marBottom w:val="0"/>
      <w:divBdr>
        <w:top w:val="none" w:sz="0" w:space="0" w:color="auto"/>
        <w:left w:val="none" w:sz="0" w:space="0" w:color="auto"/>
        <w:bottom w:val="none" w:sz="0" w:space="0" w:color="auto"/>
        <w:right w:val="none" w:sz="0" w:space="0" w:color="auto"/>
      </w:divBdr>
    </w:div>
    <w:div w:id="196873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68504-50BD-4365-AC14-3366E0E11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20</Pages>
  <Words>8589</Words>
  <Characters>48962</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Packer</dc:creator>
  <cp:keywords/>
  <dc:description/>
  <cp:lastModifiedBy>Richard Packer</cp:lastModifiedBy>
  <cp:revision>10</cp:revision>
  <dcterms:created xsi:type="dcterms:W3CDTF">2022-08-15T21:24:00Z</dcterms:created>
  <dcterms:modified xsi:type="dcterms:W3CDTF">2022-08-24T21:33:00Z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zotero-version="6.0.10"&gt;&lt;session id="m2bp9FDg"/&gt;&lt;style id="http://www.zotero.org/styles/bioinformatics" hasBibliography="1" bibliographyStyleHasBeenSet="1"/&gt;&lt;prefs&gt;&lt;pref name="fieldType" value="Field"/&gt;&lt;/prefs&gt;&lt;/data&gt;</vt:lpwstr>
  </property>
</Properties>
</file>