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A74" w14:textId="77777777" w:rsidR="005268F9" w:rsidRPr="005268F9" w:rsidRDefault="005268F9" w:rsidP="005268F9">
      <w:pPr>
        <w:ind w:right="2761"/>
        <w:rPr>
          <w:rFonts w:ascii="Times New Roman" w:hAnsi="Times New Roman" w:cs="Times New Roman"/>
          <w:b/>
          <w:sz w:val="24"/>
          <w:szCs w:val="24"/>
          <w:lang w:val="en-AU"/>
        </w:rPr>
      </w:pPr>
      <w:bookmarkStart w:id="0" w:name="_Hlk14464142"/>
      <w:r w:rsidRPr="005268F9">
        <w:rPr>
          <w:rFonts w:ascii="Times New Roman" w:hAnsi="Times New Roman" w:cs="Times New Roman"/>
          <w:b/>
          <w:sz w:val="24"/>
          <w:szCs w:val="24"/>
          <w:lang w:val="en-AU"/>
        </w:rPr>
        <w:t>S2 Table: Percentage of low birth weight and adjusted relative risk of balanced-plate intervention compared to usual programs.</w:t>
      </w:r>
    </w:p>
    <w:tbl>
      <w:tblPr>
        <w:tblStyle w:val="TableGrid"/>
        <w:tblW w:w="1388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718"/>
        <w:gridCol w:w="1219"/>
        <w:gridCol w:w="873"/>
        <w:gridCol w:w="834"/>
        <w:gridCol w:w="842"/>
        <w:gridCol w:w="853"/>
        <w:gridCol w:w="1340"/>
        <w:gridCol w:w="1456"/>
        <w:gridCol w:w="1091"/>
        <w:gridCol w:w="1546"/>
      </w:tblGrid>
      <w:tr w:rsidR="005268F9" w:rsidRPr="005268F9" w14:paraId="065EB524" w14:textId="77777777" w:rsidTr="002357AE">
        <w:trPr>
          <w:trHeight w:val="410"/>
        </w:trPr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0868284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349A47F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Number of participants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B386BDC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Low birth weight (&lt;2,500g)</w:t>
            </w:r>
          </w:p>
        </w:tc>
        <w:tc>
          <w:tcPr>
            <w:tcW w:w="5433" w:type="dxa"/>
            <w:gridSpan w:val="4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E8EC66A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 xml:space="preserve">Adjusted relative </w:t>
            </w:r>
            <w:proofErr w:type="spellStart"/>
            <w:r w:rsidRPr="005268F9">
              <w:rPr>
                <w:b/>
              </w:rPr>
              <w:t>risk</w:t>
            </w:r>
            <w:r w:rsidRPr="005268F9">
              <w:rPr>
                <w:b/>
                <w:vertAlign w:val="superscript"/>
              </w:rPr>
              <w:t>a</w:t>
            </w:r>
            <w:proofErr w:type="spellEnd"/>
          </w:p>
        </w:tc>
      </w:tr>
      <w:tr w:rsidR="005268F9" w:rsidRPr="005268F9" w14:paraId="284D0574" w14:textId="77777777" w:rsidTr="002357AE">
        <w:trPr>
          <w:trHeight w:val="386"/>
        </w:trPr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A57D761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7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6EE9203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Intervention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964349C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Control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443355C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Intervention</w:t>
            </w:r>
          </w:p>
          <w:p w14:paraId="516311D1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n (%)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0AF6174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Control</w:t>
            </w:r>
          </w:p>
          <w:p w14:paraId="433A99E0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n (%)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A2DEE15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Estimate</w:t>
            </w:r>
          </w:p>
        </w:tc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F136EF4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(95%CI)</w:t>
            </w:r>
          </w:p>
        </w:tc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7943984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b/>
              </w:rPr>
              <w:t>P-value</w:t>
            </w:r>
          </w:p>
        </w:tc>
        <w:tc>
          <w:tcPr>
            <w:tcW w:w="1545" w:type="dxa"/>
            <w:tcBorders>
              <w:top w:val="single" w:sz="6" w:space="0" w:color="auto"/>
              <w:bottom w:val="single" w:sz="6" w:space="0" w:color="auto"/>
            </w:tcBorders>
          </w:tcPr>
          <w:p w14:paraId="0C6F639C" w14:textId="77777777" w:rsidR="005268F9" w:rsidRPr="005268F9" w:rsidRDefault="005268F9" w:rsidP="002357AE">
            <w:pPr>
              <w:spacing w:after="60"/>
              <w:jc w:val="center"/>
              <w:rPr>
                <w:b/>
              </w:rPr>
            </w:pPr>
            <w:r w:rsidRPr="005268F9">
              <w:rPr>
                <w:rFonts w:eastAsia="Times New Roman"/>
                <w:b/>
                <w:color w:val="000000"/>
                <w:lang w:val="en-AU" w:eastAsia="en-US"/>
              </w:rPr>
              <w:t>P-value for interaction</w:t>
            </w:r>
          </w:p>
        </w:tc>
      </w:tr>
      <w:tr w:rsidR="005268F9" w:rsidRPr="005268F9" w14:paraId="31D8CBAE" w14:textId="77777777" w:rsidTr="002357AE">
        <w:trPr>
          <w:trHeight w:val="233"/>
        </w:trPr>
        <w:tc>
          <w:tcPr>
            <w:tcW w:w="2115" w:type="dxa"/>
            <w:tcBorders>
              <w:top w:val="single" w:sz="6" w:space="0" w:color="auto"/>
            </w:tcBorders>
            <w:hideMark/>
          </w:tcPr>
          <w:p w14:paraId="2DD70C4F" w14:textId="77777777" w:rsidR="005268F9" w:rsidRPr="005268F9" w:rsidRDefault="005268F9" w:rsidP="002357AE">
            <w:pPr>
              <w:spacing w:after="60"/>
              <w:rPr>
                <w:b/>
                <w:bCs/>
              </w:rPr>
            </w:pPr>
            <w:r w:rsidRPr="005268F9">
              <w:rPr>
                <w:b/>
                <w:bCs/>
              </w:rPr>
              <w:t>Overall</w:t>
            </w:r>
          </w:p>
        </w:tc>
        <w:tc>
          <w:tcPr>
            <w:tcW w:w="1718" w:type="dxa"/>
            <w:tcBorders>
              <w:top w:val="single" w:sz="6" w:space="0" w:color="auto"/>
            </w:tcBorders>
            <w:hideMark/>
          </w:tcPr>
          <w:p w14:paraId="2DFFEC05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382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hideMark/>
          </w:tcPr>
          <w:p w14:paraId="4E0E53EE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397</w:t>
            </w:r>
          </w:p>
        </w:tc>
        <w:tc>
          <w:tcPr>
            <w:tcW w:w="873" w:type="dxa"/>
            <w:tcBorders>
              <w:top w:val="single" w:sz="6" w:space="0" w:color="auto"/>
            </w:tcBorders>
            <w:hideMark/>
          </w:tcPr>
          <w:p w14:paraId="16B6C2AE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37</w:t>
            </w:r>
          </w:p>
        </w:tc>
        <w:tc>
          <w:tcPr>
            <w:tcW w:w="833" w:type="dxa"/>
            <w:tcBorders>
              <w:top w:val="single" w:sz="6" w:space="0" w:color="auto"/>
            </w:tcBorders>
            <w:hideMark/>
          </w:tcPr>
          <w:p w14:paraId="7C57524B" w14:textId="77777777" w:rsidR="005268F9" w:rsidRPr="005268F9" w:rsidRDefault="005268F9" w:rsidP="002357AE">
            <w:pPr>
              <w:spacing w:after="60"/>
            </w:pPr>
            <w:r w:rsidRPr="005268F9">
              <w:t>(10)</w:t>
            </w:r>
          </w:p>
        </w:tc>
        <w:tc>
          <w:tcPr>
            <w:tcW w:w="842" w:type="dxa"/>
            <w:tcBorders>
              <w:top w:val="single" w:sz="6" w:space="0" w:color="auto"/>
            </w:tcBorders>
            <w:hideMark/>
          </w:tcPr>
          <w:p w14:paraId="3CFCF338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87</w:t>
            </w:r>
          </w:p>
        </w:tc>
        <w:tc>
          <w:tcPr>
            <w:tcW w:w="852" w:type="dxa"/>
            <w:tcBorders>
              <w:top w:val="single" w:sz="6" w:space="0" w:color="auto"/>
            </w:tcBorders>
            <w:hideMark/>
          </w:tcPr>
          <w:p w14:paraId="4F0B7B71" w14:textId="77777777" w:rsidR="005268F9" w:rsidRPr="005268F9" w:rsidRDefault="005268F9" w:rsidP="002357AE">
            <w:pPr>
              <w:spacing w:after="60"/>
            </w:pPr>
            <w:r w:rsidRPr="005268F9">
              <w:t>(22)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7E90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0BFE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(0.29, 0.98)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D329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0.042</w:t>
            </w:r>
          </w:p>
        </w:tc>
        <w:tc>
          <w:tcPr>
            <w:tcW w:w="1545" w:type="dxa"/>
            <w:tcBorders>
              <w:top w:val="single" w:sz="6" w:space="0" w:color="auto"/>
            </w:tcBorders>
          </w:tcPr>
          <w:p w14:paraId="1304951A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53DB2CB7" w14:textId="77777777" w:rsidTr="002357AE">
        <w:trPr>
          <w:trHeight w:val="233"/>
        </w:trPr>
        <w:tc>
          <w:tcPr>
            <w:tcW w:w="2115" w:type="dxa"/>
            <w:hideMark/>
          </w:tcPr>
          <w:p w14:paraId="650AA5C1" w14:textId="77777777" w:rsidR="005268F9" w:rsidRPr="005268F9" w:rsidRDefault="005268F9" w:rsidP="002357AE">
            <w:pPr>
              <w:spacing w:after="60"/>
              <w:rPr>
                <w:b/>
                <w:bCs/>
              </w:rPr>
            </w:pPr>
            <w:r w:rsidRPr="005268F9">
              <w:rPr>
                <w:b/>
                <w:bCs/>
              </w:rPr>
              <w:t>Mother’s age</w:t>
            </w:r>
            <w:r w:rsidRPr="005268F9">
              <w:rPr>
                <w:b/>
                <w:bCs/>
                <w:vertAlign w:val="superscript"/>
              </w:rPr>
              <w:t>1</w:t>
            </w:r>
            <w:r w:rsidRPr="005268F9">
              <w:rPr>
                <w:b/>
                <w:bCs/>
              </w:rPr>
              <w:t xml:space="preserve"> (years)</w:t>
            </w:r>
          </w:p>
        </w:tc>
        <w:tc>
          <w:tcPr>
            <w:tcW w:w="1718" w:type="dxa"/>
            <w:hideMark/>
          </w:tcPr>
          <w:p w14:paraId="6485CB42" w14:textId="77777777" w:rsidR="005268F9" w:rsidRPr="005268F9" w:rsidRDefault="005268F9" w:rsidP="002357AE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14:paraId="7BD37D43" w14:textId="77777777" w:rsidR="005268F9" w:rsidRPr="005268F9" w:rsidRDefault="005268F9" w:rsidP="002357AE">
            <w:pPr>
              <w:spacing w:after="60"/>
              <w:jc w:val="center"/>
            </w:pPr>
          </w:p>
        </w:tc>
        <w:tc>
          <w:tcPr>
            <w:tcW w:w="873" w:type="dxa"/>
            <w:hideMark/>
          </w:tcPr>
          <w:p w14:paraId="7B796ED2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33" w:type="dxa"/>
            <w:hideMark/>
          </w:tcPr>
          <w:p w14:paraId="7C9D5550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842" w:type="dxa"/>
            <w:hideMark/>
          </w:tcPr>
          <w:p w14:paraId="3ADED4F9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52" w:type="dxa"/>
            <w:hideMark/>
          </w:tcPr>
          <w:p w14:paraId="119D387D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D9B1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843AD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1EA8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0.183</w:t>
            </w:r>
          </w:p>
        </w:tc>
        <w:tc>
          <w:tcPr>
            <w:tcW w:w="1545" w:type="dxa"/>
          </w:tcPr>
          <w:p w14:paraId="543A18ED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0.183</w:t>
            </w:r>
          </w:p>
        </w:tc>
      </w:tr>
      <w:tr w:rsidR="005268F9" w:rsidRPr="005268F9" w14:paraId="1A531328" w14:textId="77777777" w:rsidTr="002357AE">
        <w:trPr>
          <w:trHeight w:val="233"/>
        </w:trPr>
        <w:tc>
          <w:tcPr>
            <w:tcW w:w="2115" w:type="dxa"/>
            <w:hideMark/>
          </w:tcPr>
          <w:p w14:paraId="1A4F428C" w14:textId="77777777" w:rsidR="005268F9" w:rsidRPr="005268F9" w:rsidRDefault="005268F9" w:rsidP="002357AE">
            <w:pPr>
              <w:spacing w:after="60"/>
            </w:pPr>
            <w:r w:rsidRPr="005268F9">
              <w:t xml:space="preserve">&lt;20 </w:t>
            </w:r>
          </w:p>
        </w:tc>
        <w:tc>
          <w:tcPr>
            <w:tcW w:w="1718" w:type="dxa"/>
            <w:hideMark/>
          </w:tcPr>
          <w:p w14:paraId="6DB8B512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80</w:t>
            </w:r>
          </w:p>
        </w:tc>
        <w:tc>
          <w:tcPr>
            <w:tcW w:w="1219" w:type="dxa"/>
            <w:hideMark/>
          </w:tcPr>
          <w:p w14:paraId="620766ED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64</w:t>
            </w:r>
          </w:p>
        </w:tc>
        <w:tc>
          <w:tcPr>
            <w:tcW w:w="873" w:type="dxa"/>
            <w:hideMark/>
          </w:tcPr>
          <w:p w14:paraId="510487CF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6</w:t>
            </w:r>
          </w:p>
        </w:tc>
        <w:tc>
          <w:tcPr>
            <w:tcW w:w="833" w:type="dxa"/>
            <w:hideMark/>
          </w:tcPr>
          <w:p w14:paraId="35DAF7C0" w14:textId="77777777" w:rsidR="005268F9" w:rsidRPr="005268F9" w:rsidRDefault="005268F9" w:rsidP="002357AE">
            <w:pPr>
              <w:spacing w:after="60"/>
            </w:pPr>
            <w:r w:rsidRPr="005268F9">
              <w:t>(8)</w:t>
            </w:r>
          </w:p>
        </w:tc>
        <w:tc>
          <w:tcPr>
            <w:tcW w:w="842" w:type="dxa"/>
            <w:hideMark/>
          </w:tcPr>
          <w:p w14:paraId="2C5F5BA4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17</w:t>
            </w:r>
          </w:p>
        </w:tc>
        <w:tc>
          <w:tcPr>
            <w:tcW w:w="852" w:type="dxa"/>
            <w:hideMark/>
          </w:tcPr>
          <w:p w14:paraId="614B62B7" w14:textId="77777777" w:rsidR="005268F9" w:rsidRPr="005268F9" w:rsidRDefault="005268F9" w:rsidP="002357AE">
            <w:pPr>
              <w:spacing w:after="60"/>
            </w:pPr>
            <w:r w:rsidRPr="005268F9">
              <w:t>(27)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6F2E7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15B64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(0.13, 0.68)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CC24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0.004</w:t>
            </w:r>
          </w:p>
        </w:tc>
        <w:tc>
          <w:tcPr>
            <w:tcW w:w="1545" w:type="dxa"/>
          </w:tcPr>
          <w:p w14:paraId="57635F7D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23B33BCD" w14:textId="77777777" w:rsidTr="002357AE">
        <w:trPr>
          <w:trHeight w:val="233"/>
        </w:trPr>
        <w:tc>
          <w:tcPr>
            <w:tcW w:w="2115" w:type="dxa"/>
            <w:hideMark/>
          </w:tcPr>
          <w:p w14:paraId="0012A9B8" w14:textId="77777777" w:rsidR="005268F9" w:rsidRPr="005268F9" w:rsidRDefault="005268F9" w:rsidP="002357AE">
            <w:pPr>
              <w:spacing w:after="60"/>
            </w:pPr>
            <w:r w:rsidRPr="005268F9">
              <w:t>&gt;=20</w:t>
            </w:r>
          </w:p>
        </w:tc>
        <w:tc>
          <w:tcPr>
            <w:tcW w:w="1718" w:type="dxa"/>
            <w:hideMark/>
          </w:tcPr>
          <w:p w14:paraId="6705B68F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288</w:t>
            </w:r>
          </w:p>
        </w:tc>
        <w:tc>
          <w:tcPr>
            <w:tcW w:w="1219" w:type="dxa"/>
            <w:hideMark/>
          </w:tcPr>
          <w:p w14:paraId="61396710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313</w:t>
            </w:r>
          </w:p>
        </w:tc>
        <w:tc>
          <w:tcPr>
            <w:tcW w:w="873" w:type="dxa"/>
            <w:hideMark/>
          </w:tcPr>
          <w:p w14:paraId="7233B37E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31</w:t>
            </w:r>
          </w:p>
        </w:tc>
        <w:tc>
          <w:tcPr>
            <w:tcW w:w="833" w:type="dxa"/>
            <w:hideMark/>
          </w:tcPr>
          <w:p w14:paraId="4479CB14" w14:textId="77777777" w:rsidR="005268F9" w:rsidRPr="005268F9" w:rsidRDefault="005268F9" w:rsidP="002357AE">
            <w:pPr>
              <w:spacing w:after="60"/>
            </w:pPr>
            <w:r w:rsidRPr="005268F9">
              <w:t>(11)</w:t>
            </w:r>
          </w:p>
        </w:tc>
        <w:tc>
          <w:tcPr>
            <w:tcW w:w="842" w:type="dxa"/>
            <w:hideMark/>
          </w:tcPr>
          <w:p w14:paraId="0F70A419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62</w:t>
            </w:r>
          </w:p>
        </w:tc>
        <w:tc>
          <w:tcPr>
            <w:tcW w:w="852" w:type="dxa"/>
            <w:hideMark/>
          </w:tcPr>
          <w:p w14:paraId="6F5400C9" w14:textId="77777777" w:rsidR="005268F9" w:rsidRPr="005268F9" w:rsidRDefault="005268F9" w:rsidP="002357AE">
            <w:pPr>
              <w:spacing w:after="60"/>
            </w:pPr>
            <w:r w:rsidRPr="005268F9">
              <w:t>(20)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F179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86CA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(0.32, 1.04)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D4A7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0.068</w:t>
            </w:r>
          </w:p>
        </w:tc>
        <w:tc>
          <w:tcPr>
            <w:tcW w:w="1545" w:type="dxa"/>
          </w:tcPr>
          <w:p w14:paraId="43D6D4EC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79A8716E" w14:textId="77777777" w:rsidTr="002357AE">
        <w:trPr>
          <w:trHeight w:val="233"/>
        </w:trPr>
        <w:tc>
          <w:tcPr>
            <w:tcW w:w="2115" w:type="dxa"/>
            <w:hideMark/>
          </w:tcPr>
          <w:p w14:paraId="2E09E7B0" w14:textId="77777777" w:rsidR="005268F9" w:rsidRPr="005268F9" w:rsidRDefault="005268F9" w:rsidP="002357AE">
            <w:pPr>
              <w:spacing w:after="60"/>
              <w:rPr>
                <w:b/>
                <w:bCs/>
              </w:rPr>
            </w:pPr>
            <w:r w:rsidRPr="005268F9">
              <w:rPr>
                <w:b/>
                <w:bCs/>
              </w:rPr>
              <w:t>Mother’s education</w:t>
            </w:r>
            <w:r w:rsidRPr="005268F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718" w:type="dxa"/>
            <w:hideMark/>
          </w:tcPr>
          <w:p w14:paraId="4D0A17F7" w14:textId="77777777" w:rsidR="005268F9" w:rsidRPr="005268F9" w:rsidRDefault="005268F9" w:rsidP="002357AE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14:paraId="17462E15" w14:textId="77777777" w:rsidR="005268F9" w:rsidRPr="005268F9" w:rsidRDefault="005268F9" w:rsidP="002357AE">
            <w:pPr>
              <w:spacing w:after="60"/>
              <w:jc w:val="center"/>
            </w:pPr>
          </w:p>
        </w:tc>
        <w:tc>
          <w:tcPr>
            <w:tcW w:w="873" w:type="dxa"/>
            <w:noWrap/>
            <w:hideMark/>
          </w:tcPr>
          <w:p w14:paraId="7A629CD0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33" w:type="dxa"/>
            <w:hideMark/>
          </w:tcPr>
          <w:p w14:paraId="3426D8D1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842" w:type="dxa"/>
            <w:hideMark/>
          </w:tcPr>
          <w:p w14:paraId="51588A23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52" w:type="dxa"/>
            <w:hideMark/>
          </w:tcPr>
          <w:p w14:paraId="4CB8541B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F5F28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26914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258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0.262</w:t>
            </w:r>
          </w:p>
        </w:tc>
        <w:tc>
          <w:tcPr>
            <w:tcW w:w="1545" w:type="dxa"/>
          </w:tcPr>
          <w:p w14:paraId="1F4A1F88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0.262</w:t>
            </w:r>
          </w:p>
        </w:tc>
      </w:tr>
      <w:tr w:rsidR="005268F9" w:rsidRPr="005268F9" w14:paraId="0316647B" w14:textId="77777777" w:rsidTr="002357AE">
        <w:trPr>
          <w:trHeight w:val="233"/>
        </w:trPr>
        <w:tc>
          <w:tcPr>
            <w:tcW w:w="2115" w:type="dxa"/>
            <w:hideMark/>
          </w:tcPr>
          <w:p w14:paraId="4E147EAC" w14:textId="77777777" w:rsidR="005268F9" w:rsidRPr="005268F9" w:rsidRDefault="005268F9" w:rsidP="002357AE">
            <w:pPr>
              <w:spacing w:after="60"/>
            </w:pPr>
            <w:r w:rsidRPr="005268F9">
              <w:t>None</w:t>
            </w:r>
          </w:p>
        </w:tc>
        <w:tc>
          <w:tcPr>
            <w:tcW w:w="1718" w:type="dxa"/>
            <w:hideMark/>
          </w:tcPr>
          <w:p w14:paraId="034C741D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82</w:t>
            </w:r>
          </w:p>
        </w:tc>
        <w:tc>
          <w:tcPr>
            <w:tcW w:w="1219" w:type="dxa"/>
            <w:hideMark/>
          </w:tcPr>
          <w:p w14:paraId="270F3808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89</w:t>
            </w:r>
          </w:p>
        </w:tc>
        <w:tc>
          <w:tcPr>
            <w:tcW w:w="873" w:type="dxa"/>
            <w:hideMark/>
          </w:tcPr>
          <w:p w14:paraId="0DE546EE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11</w:t>
            </w:r>
          </w:p>
        </w:tc>
        <w:tc>
          <w:tcPr>
            <w:tcW w:w="833" w:type="dxa"/>
            <w:hideMark/>
          </w:tcPr>
          <w:p w14:paraId="2FDECF89" w14:textId="77777777" w:rsidR="005268F9" w:rsidRPr="005268F9" w:rsidRDefault="005268F9" w:rsidP="002357AE">
            <w:pPr>
              <w:spacing w:after="60"/>
            </w:pPr>
            <w:r w:rsidRPr="005268F9">
              <w:t>(13)</w:t>
            </w:r>
          </w:p>
        </w:tc>
        <w:tc>
          <w:tcPr>
            <w:tcW w:w="842" w:type="dxa"/>
            <w:hideMark/>
          </w:tcPr>
          <w:p w14:paraId="11CC81A8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22</w:t>
            </w:r>
          </w:p>
        </w:tc>
        <w:tc>
          <w:tcPr>
            <w:tcW w:w="852" w:type="dxa"/>
            <w:hideMark/>
          </w:tcPr>
          <w:p w14:paraId="6D96B710" w14:textId="77777777" w:rsidR="005268F9" w:rsidRPr="005268F9" w:rsidRDefault="005268F9" w:rsidP="002357AE">
            <w:pPr>
              <w:spacing w:after="60"/>
            </w:pPr>
            <w:r w:rsidRPr="005268F9">
              <w:t>(25)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C10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EBF5A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(0.29, 1.05)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8DB3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0.071</w:t>
            </w:r>
          </w:p>
        </w:tc>
        <w:tc>
          <w:tcPr>
            <w:tcW w:w="1545" w:type="dxa"/>
          </w:tcPr>
          <w:p w14:paraId="25DBFA19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645C7EBE" w14:textId="77777777" w:rsidTr="002357AE">
        <w:trPr>
          <w:trHeight w:val="238"/>
        </w:trPr>
        <w:tc>
          <w:tcPr>
            <w:tcW w:w="2115" w:type="dxa"/>
            <w:hideMark/>
          </w:tcPr>
          <w:p w14:paraId="0D197C88" w14:textId="77777777" w:rsidR="005268F9" w:rsidRPr="005268F9" w:rsidRDefault="005268F9" w:rsidP="002357AE">
            <w:pPr>
              <w:spacing w:after="60"/>
            </w:pPr>
            <w:r w:rsidRPr="005268F9">
              <w:t>Primary</w:t>
            </w:r>
          </w:p>
        </w:tc>
        <w:tc>
          <w:tcPr>
            <w:tcW w:w="1718" w:type="dxa"/>
            <w:noWrap/>
            <w:hideMark/>
          </w:tcPr>
          <w:p w14:paraId="25CB2994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250</w:t>
            </w:r>
          </w:p>
        </w:tc>
        <w:tc>
          <w:tcPr>
            <w:tcW w:w="1219" w:type="dxa"/>
            <w:noWrap/>
            <w:hideMark/>
          </w:tcPr>
          <w:p w14:paraId="7E06D7C3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242</w:t>
            </w:r>
          </w:p>
        </w:tc>
        <w:tc>
          <w:tcPr>
            <w:tcW w:w="873" w:type="dxa"/>
            <w:noWrap/>
            <w:hideMark/>
          </w:tcPr>
          <w:p w14:paraId="67904FF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25</w:t>
            </w:r>
          </w:p>
        </w:tc>
        <w:tc>
          <w:tcPr>
            <w:tcW w:w="833" w:type="dxa"/>
            <w:hideMark/>
          </w:tcPr>
          <w:p w14:paraId="265852D5" w14:textId="77777777" w:rsidR="005268F9" w:rsidRPr="005268F9" w:rsidRDefault="005268F9" w:rsidP="002357AE">
            <w:pPr>
              <w:spacing w:after="60"/>
            </w:pPr>
            <w:r w:rsidRPr="005268F9">
              <w:t>(10)</w:t>
            </w:r>
          </w:p>
        </w:tc>
        <w:tc>
          <w:tcPr>
            <w:tcW w:w="842" w:type="dxa"/>
            <w:noWrap/>
            <w:hideMark/>
          </w:tcPr>
          <w:p w14:paraId="256E6D47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47</w:t>
            </w:r>
          </w:p>
        </w:tc>
        <w:tc>
          <w:tcPr>
            <w:tcW w:w="852" w:type="dxa"/>
            <w:hideMark/>
          </w:tcPr>
          <w:p w14:paraId="1863039A" w14:textId="77777777" w:rsidR="005268F9" w:rsidRPr="005268F9" w:rsidRDefault="005268F9" w:rsidP="002357AE">
            <w:pPr>
              <w:spacing w:after="60"/>
            </w:pPr>
            <w:r w:rsidRPr="005268F9">
              <w:t>(19)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DF760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DBD7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(0.3, 1)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A943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0.049</w:t>
            </w:r>
          </w:p>
        </w:tc>
        <w:tc>
          <w:tcPr>
            <w:tcW w:w="1545" w:type="dxa"/>
          </w:tcPr>
          <w:p w14:paraId="28FF473C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3ED91133" w14:textId="77777777" w:rsidTr="002357AE">
        <w:trPr>
          <w:trHeight w:val="243"/>
        </w:trPr>
        <w:tc>
          <w:tcPr>
            <w:tcW w:w="2115" w:type="dxa"/>
            <w:hideMark/>
          </w:tcPr>
          <w:p w14:paraId="4B7736D5" w14:textId="77777777" w:rsidR="005268F9" w:rsidRPr="005268F9" w:rsidRDefault="005268F9" w:rsidP="002357AE">
            <w:pPr>
              <w:spacing w:after="60"/>
            </w:pPr>
            <w:r w:rsidRPr="005268F9">
              <w:t>Secondary or higher</w:t>
            </w:r>
          </w:p>
        </w:tc>
        <w:tc>
          <w:tcPr>
            <w:tcW w:w="1718" w:type="dxa"/>
            <w:hideMark/>
          </w:tcPr>
          <w:p w14:paraId="377F743A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40</w:t>
            </w:r>
          </w:p>
        </w:tc>
        <w:tc>
          <w:tcPr>
            <w:tcW w:w="1219" w:type="dxa"/>
            <w:hideMark/>
          </w:tcPr>
          <w:p w14:paraId="2F9AAFA9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55</w:t>
            </w:r>
          </w:p>
        </w:tc>
        <w:tc>
          <w:tcPr>
            <w:tcW w:w="873" w:type="dxa"/>
            <w:hideMark/>
          </w:tcPr>
          <w:p w14:paraId="5C51B106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1</w:t>
            </w:r>
          </w:p>
        </w:tc>
        <w:tc>
          <w:tcPr>
            <w:tcW w:w="833" w:type="dxa"/>
            <w:hideMark/>
          </w:tcPr>
          <w:p w14:paraId="450109B9" w14:textId="77777777" w:rsidR="005268F9" w:rsidRPr="005268F9" w:rsidRDefault="005268F9" w:rsidP="002357AE">
            <w:pPr>
              <w:spacing w:after="60"/>
            </w:pPr>
            <w:r w:rsidRPr="005268F9">
              <w:t>(3)</w:t>
            </w:r>
          </w:p>
        </w:tc>
        <w:tc>
          <w:tcPr>
            <w:tcW w:w="842" w:type="dxa"/>
            <w:hideMark/>
          </w:tcPr>
          <w:p w14:paraId="53DED02D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12</w:t>
            </w:r>
          </w:p>
        </w:tc>
        <w:tc>
          <w:tcPr>
            <w:tcW w:w="852" w:type="dxa"/>
            <w:hideMark/>
          </w:tcPr>
          <w:p w14:paraId="25E5439D" w14:textId="77777777" w:rsidR="005268F9" w:rsidRPr="005268F9" w:rsidRDefault="005268F9" w:rsidP="002357AE">
            <w:pPr>
              <w:spacing w:after="60"/>
            </w:pPr>
            <w:r w:rsidRPr="005268F9">
              <w:t>(22)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F9BC6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EE8B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(0.02, 0.7)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2EC0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0.020</w:t>
            </w:r>
          </w:p>
        </w:tc>
        <w:tc>
          <w:tcPr>
            <w:tcW w:w="1545" w:type="dxa"/>
          </w:tcPr>
          <w:p w14:paraId="5B8956F0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03B76E58" w14:textId="77777777" w:rsidTr="002357AE">
        <w:trPr>
          <w:trHeight w:val="233"/>
        </w:trPr>
        <w:tc>
          <w:tcPr>
            <w:tcW w:w="2115" w:type="dxa"/>
            <w:hideMark/>
          </w:tcPr>
          <w:p w14:paraId="2875AD77" w14:textId="77777777" w:rsidR="005268F9" w:rsidRPr="005268F9" w:rsidRDefault="005268F9" w:rsidP="002357AE">
            <w:pPr>
              <w:spacing w:after="60"/>
              <w:rPr>
                <w:b/>
                <w:bCs/>
              </w:rPr>
            </w:pPr>
            <w:r w:rsidRPr="005268F9">
              <w:rPr>
                <w:b/>
                <w:bCs/>
              </w:rPr>
              <w:t>Family income</w:t>
            </w:r>
            <w:r w:rsidRPr="005268F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718" w:type="dxa"/>
            <w:hideMark/>
          </w:tcPr>
          <w:p w14:paraId="458C8333" w14:textId="77777777" w:rsidR="005268F9" w:rsidRPr="005268F9" w:rsidRDefault="005268F9" w:rsidP="002357AE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hideMark/>
          </w:tcPr>
          <w:p w14:paraId="3A92149E" w14:textId="77777777" w:rsidR="005268F9" w:rsidRPr="005268F9" w:rsidRDefault="005268F9" w:rsidP="002357AE">
            <w:pPr>
              <w:spacing w:after="60"/>
              <w:jc w:val="center"/>
            </w:pPr>
          </w:p>
        </w:tc>
        <w:tc>
          <w:tcPr>
            <w:tcW w:w="873" w:type="dxa"/>
            <w:hideMark/>
          </w:tcPr>
          <w:p w14:paraId="112DCA1E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33" w:type="dxa"/>
            <w:hideMark/>
          </w:tcPr>
          <w:p w14:paraId="24AF96C6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842" w:type="dxa"/>
            <w:hideMark/>
          </w:tcPr>
          <w:p w14:paraId="7F37F468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852" w:type="dxa"/>
            <w:hideMark/>
          </w:tcPr>
          <w:p w14:paraId="20A828C1" w14:textId="77777777" w:rsidR="005268F9" w:rsidRPr="005268F9" w:rsidRDefault="005268F9" w:rsidP="002357AE">
            <w:pPr>
              <w:spacing w:after="6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02809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CDCC0" w14:textId="77777777" w:rsidR="005268F9" w:rsidRPr="005268F9" w:rsidRDefault="005268F9" w:rsidP="002357AE">
            <w:pPr>
              <w:spacing w:after="60"/>
              <w:jc w:val="right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98C6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0.362</w:t>
            </w:r>
          </w:p>
        </w:tc>
        <w:tc>
          <w:tcPr>
            <w:tcW w:w="1545" w:type="dxa"/>
          </w:tcPr>
          <w:p w14:paraId="654ADAC4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0.362</w:t>
            </w:r>
          </w:p>
        </w:tc>
      </w:tr>
      <w:tr w:rsidR="005268F9" w:rsidRPr="005268F9" w14:paraId="6753B4E1" w14:textId="77777777" w:rsidTr="002357AE">
        <w:trPr>
          <w:trHeight w:val="233"/>
        </w:trPr>
        <w:tc>
          <w:tcPr>
            <w:tcW w:w="2115" w:type="dxa"/>
            <w:hideMark/>
          </w:tcPr>
          <w:p w14:paraId="2F10D0FB" w14:textId="77777777" w:rsidR="005268F9" w:rsidRPr="005268F9" w:rsidRDefault="005268F9" w:rsidP="002357AE">
            <w:pPr>
              <w:spacing w:after="60"/>
            </w:pPr>
            <w:r w:rsidRPr="005268F9">
              <w:t>Low</w:t>
            </w:r>
          </w:p>
        </w:tc>
        <w:tc>
          <w:tcPr>
            <w:tcW w:w="1718" w:type="dxa"/>
            <w:hideMark/>
          </w:tcPr>
          <w:p w14:paraId="332DEAB3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87</w:t>
            </w:r>
          </w:p>
        </w:tc>
        <w:tc>
          <w:tcPr>
            <w:tcW w:w="1219" w:type="dxa"/>
            <w:hideMark/>
          </w:tcPr>
          <w:p w14:paraId="0391B3BE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79</w:t>
            </w:r>
          </w:p>
        </w:tc>
        <w:tc>
          <w:tcPr>
            <w:tcW w:w="873" w:type="dxa"/>
            <w:hideMark/>
          </w:tcPr>
          <w:p w14:paraId="07A923EB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9</w:t>
            </w:r>
          </w:p>
        </w:tc>
        <w:tc>
          <w:tcPr>
            <w:tcW w:w="833" w:type="dxa"/>
            <w:hideMark/>
          </w:tcPr>
          <w:p w14:paraId="7ED3A211" w14:textId="77777777" w:rsidR="005268F9" w:rsidRPr="005268F9" w:rsidRDefault="005268F9" w:rsidP="002357AE">
            <w:pPr>
              <w:spacing w:after="60"/>
            </w:pPr>
            <w:r w:rsidRPr="005268F9">
              <w:t>(10)</w:t>
            </w:r>
          </w:p>
        </w:tc>
        <w:tc>
          <w:tcPr>
            <w:tcW w:w="842" w:type="dxa"/>
            <w:hideMark/>
          </w:tcPr>
          <w:p w14:paraId="17FD731E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25</w:t>
            </w:r>
          </w:p>
        </w:tc>
        <w:tc>
          <w:tcPr>
            <w:tcW w:w="852" w:type="dxa"/>
            <w:hideMark/>
          </w:tcPr>
          <w:p w14:paraId="713612FF" w14:textId="77777777" w:rsidR="005268F9" w:rsidRPr="005268F9" w:rsidRDefault="005268F9" w:rsidP="002357AE">
            <w:pPr>
              <w:spacing w:after="60"/>
            </w:pPr>
            <w:r w:rsidRPr="005268F9">
              <w:t>(32)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BD51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AFDB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(0.13, 0.71)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3FD3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0.006</w:t>
            </w:r>
          </w:p>
        </w:tc>
        <w:tc>
          <w:tcPr>
            <w:tcW w:w="1545" w:type="dxa"/>
          </w:tcPr>
          <w:p w14:paraId="7B9A3E44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1CE1A126" w14:textId="77777777" w:rsidTr="002357AE">
        <w:trPr>
          <w:trHeight w:val="233"/>
        </w:trPr>
        <w:tc>
          <w:tcPr>
            <w:tcW w:w="2115" w:type="dxa"/>
            <w:hideMark/>
          </w:tcPr>
          <w:p w14:paraId="114F1773" w14:textId="77777777" w:rsidR="005268F9" w:rsidRPr="005268F9" w:rsidRDefault="005268F9" w:rsidP="002357AE">
            <w:pPr>
              <w:spacing w:after="60"/>
            </w:pPr>
            <w:r w:rsidRPr="005268F9">
              <w:t>Medium</w:t>
            </w:r>
          </w:p>
        </w:tc>
        <w:tc>
          <w:tcPr>
            <w:tcW w:w="1718" w:type="dxa"/>
            <w:hideMark/>
          </w:tcPr>
          <w:p w14:paraId="224345FC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190</w:t>
            </w:r>
          </w:p>
        </w:tc>
        <w:tc>
          <w:tcPr>
            <w:tcW w:w="1219" w:type="dxa"/>
            <w:hideMark/>
          </w:tcPr>
          <w:p w14:paraId="09E098A9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209</w:t>
            </w:r>
          </w:p>
        </w:tc>
        <w:tc>
          <w:tcPr>
            <w:tcW w:w="873" w:type="dxa"/>
            <w:hideMark/>
          </w:tcPr>
          <w:p w14:paraId="084D432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23</w:t>
            </w:r>
          </w:p>
        </w:tc>
        <w:tc>
          <w:tcPr>
            <w:tcW w:w="833" w:type="dxa"/>
            <w:hideMark/>
          </w:tcPr>
          <w:p w14:paraId="17159B51" w14:textId="77777777" w:rsidR="005268F9" w:rsidRPr="005268F9" w:rsidRDefault="005268F9" w:rsidP="002357AE">
            <w:pPr>
              <w:spacing w:after="60"/>
            </w:pPr>
            <w:r w:rsidRPr="005268F9">
              <w:t>(12)</w:t>
            </w:r>
          </w:p>
        </w:tc>
        <w:tc>
          <w:tcPr>
            <w:tcW w:w="842" w:type="dxa"/>
            <w:hideMark/>
          </w:tcPr>
          <w:p w14:paraId="32F420BC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41</w:t>
            </w:r>
          </w:p>
        </w:tc>
        <w:tc>
          <w:tcPr>
            <w:tcW w:w="852" w:type="dxa"/>
            <w:hideMark/>
          </w:tcPr>
          <w:p w14:paraId="5A988983" w14:textId="77777777" w:rsidR="005268F9" w:rsidRPr="005268F9" w:rsidRDefault="005268F9" w:rsidP="002357AE">
            <w:pPr>
              <w:spacing w:after="60"/>
            </w:pPr>
            <w:r w:rsidRPr="005268F9">
              <w:t>(20)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04FCA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1D31F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(0.36, 1.2)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24D5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0.170</w:t>
            </w:r>
          </w:p>
        </w:tc>
        <w:tc>
          <w:tcPr>
            <w:tcW w:w="1545" w:type="dxa"/>
          </w:tcPr>
          <w:p w14:paraId="3BAAA751" w14:textId="77777777" w:rsidR="005268F9" w:rsidRPr="005268F9" w:rsidRDefault="005268F9" w:rsidP="002357AE">
            <w:pPr>
              <w:spacing w:after="60"/>
              <w:jc w:val="right"/>
            </w:pPr>
          </w:p>
        </w:tc>
      </w:tr>
      <w:tr w:rsidR="005268F9" w:rsidRPr="005268F9" w14:paraId="5147C60E" w14:textId="77777777" w:rsidTr="002357AE">
        <w:trPr>
          <w:trHeight w:val="233"/>
        </w:trPr>
        <w:tc>
          <w:tcPr>
            <w:tcW w:w="2115" w:type="dxa"/>
            <w:hideMark/>
          </w:tcPr>
          <w:p w14:paraId="16EFF6AA" w14:textId="77777777" w:rsidR="005268F9" w:rsidRPr="005268F9" w:rsidRDefault="005268F9" w:rsidP="002357AE">
            <w:pPr>
              <w:spacing w:after="60"/>
            </w:pPr>
            <w:r w:rsidRPr="005268F9">
              <w:t>High</w:t>
            </w:r>
          </w:p>
        </w:tc>
        <w:tc>
          <w:tcPr>
            <w:tcW w:w="1718" w:type="dxa"/>
            <w:hideMark/>
          </w:tcPr>
          <w:p w14:paraId="0ED692A8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87</w:t>
            </w:r>
          </w:p>
        </w:tc>
        <w:tc>
          <w:tcPr>
            <w:tcW w:w="1219" w:type="dxa"/>
            <w:hideMark/>
          </w:tcPr>
          <w:p w14:paraId="58C4E1AA" w14:textId="77777777" w:rsidR="005268F9" w:rsidRPr="005268F9" w:rsidRDefault="005268F9" w:rsidP="002357AE">
            <w:pPr>
              <w:spacing w:after="60"/>
              <w:jc w:val="center"/>
            </w:pPr>
            <w:r w:rsidRPr="005268F9">
              <w:t>84</w:t>
            </w:r>
          </w:p>
        </w:tc>
        <w:tc>
          <w:tcPr>
            <w:tcW w:w="873" w:type="dxa"/>
            <w:hideMark/>
          </w:tcPr>
          <w:p w14:paraId="14121E29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5</w:t>
            </w:r>
          </w:p>
        </w:tc>
        <w:tc>
          <w:tcPr>
            <w:tcW w:w="833" w:type="dxa"/>
            <w:hideMark/>
          </w:tcPr>
          <w:p w14:paraId="161BD7D9" w14:textId="77777777" w:rsidR="005268F9" w:rsidRPr="005268F9" w:rsidRDefault="005268F9" w:rsidP="002357AE">
            <w:pPr>
              <w:spacing w:after="60"/>
            </w:pPr>
            <w:r w:rsidRPr="005268F9">
              <w:t>(6)</w:t>
            </w:r>
          </w:p>
        </w:tc>
        <w:tc>
          <w:tcPr>
            <w:tcW w:w="842" w:type="dxa"/>
            <w:hideMark/>
          </w:tcPr>
          <w:p w14:paraId="45346836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12</w:t>
            </w:r>
          </w:p>
        </w:tc>
        <w:tc>
          <w:tcPr>
            <w:tcW w:w="852" w:type="dxa"/>
            <w:hideMark/>
          </w:tcPr>
          <w:p w14:paraId="068ECB4B" w14:textId="77777777" w:rsidR="005268F9" w:rsidRPr="005268F9" w:rsidRDefault="005268F9" w:rsidP="002357AE">
            <w:pPr>
              <w:spacing w:after="60"/>
            </w:pPr>
            <w:r w:rsidRPr="005268F9">
              <w:t>(14)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19B066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90FCB8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(0.14, 1.35)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BD324" w14:textId="77777777" w:rsidR="005268F9" w:rsidRPr="005268F9" w:rsidRDefault="005268F9" w:rsidP="002357AE">
            <w:pPr>
              <w:spacing w:after="60"/>
              <w:jc w:val="right"/>
            </w:pPr>
            <w:r w:rsidRPr="005268F9">
              <w:t>0.149</w:t>
            </w:r>
          </w:p>
        </w:tc>
        <w:tc>
          <w:tcPr>
            <w:tcW w:w="1545" w:type="dxa"/>
          </w:tcPr>
          <w:p w14:paraId="72200409" w14:textId="77777777" w:rsidR="005268F9" w:rsidRPr="005268F9" w:rsidRDefault="005268F9" w:rsidP="002357AE">
            <w:pPr>
              <w:spacing w:after="60"/>
              <w:jc w:val="right"/>
            </w:pPr>
          </w:p>
        </w:tc>
      </w:tr>
    </w:tbl>
    <w:p w14:paraId="4985D96F" w14:textId="77777777" w:rsidR="005268F9" w:rsidRPr="005268F9" w:rsidRDefault="005268F9" w:rsidP="005268F9">
      <w:pPr>
        <w:ind w:right="3045"/>
        <w:rPr>
          <w:rFonts w:ascii="Times New Roman" w:hAnsi="Times New Roman" w:cs="Times New Roman"/>
          <w:lang w:val="en-AU"/>
        </w:rPr>
      </w:pP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Low birth weight (LBW) was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lang w:val="en-AU"/>
        </w:rPr>
        <w:t>analyzed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using binomial regression with a log link.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a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We adjusted all models for antenatal care from SK, antenatal care from health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lang w:val="en-AU"/>
        </w:rPr>
        <w:t>centers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, use of iron and folic acid and clusters using generalized estimating equation (GEE) models assuming exchangeable correlation structure and applied sandwich estimator to standard errors. </w:t>
      </w:r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1</w:t>
      </w: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 xml:space="preserve">n=745 due to 34 missing maternal age values.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AU"/>
        </w:rPr>
        <w:t>2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 xml:space="preserve"> n=758 due to 21 missing maternal education values. </w:t>
      </w:r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3</w:t>
      </w: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>n=736 due to 43 missing family income values.</w:t>
      </w:r>
      <w:r w:rsidRPr="005268F9">
        <w:rPr>
          <w:rFonts w:ascii="Times New Roman" w:hAnsi="Times New Roman" w:cs="Times New Roman"/>
          <w:lang w:val="en-AU"/>
        </w:rPr>
        <w:fldChar w:fldCharType="begin"/>
      </w:r>
      <w:r w:rsidRPr="005268F9">
        <w:rPr>
          <w:rFonts w:ascii="Times New Roman" w:hAnsi="Times New Roman" w:cs="Times New Roman"/>
          <w:lang w:val="en-AU"/>
        </w:rPr>
        <w:instrText xml:space="preserve"> ADDIN </w:instrText>
      </w:r>
      <w:r w:rsidRPr="005268F9">
        <w:rPr>
          <w:rFonts w:ascii="Times New Roman" w:hAnsi="Times New Roman" w:cs="Times New Roman"/>
          <w:lang w:val="en-AU"/>
        </w:rPr>
        <w:fldChar w:fldCharType="end"/>
      </w:r>
      <w:r w:rsidRPr="005268F9">
        <w:rPr>
          <w:rFonts w:ascii="Times New Roman" w:hAnsi="Times New Roman" w:cs="Times New Roman"/>
          <w:lang w:val="en-AU"/>
        </w:rPr>
        <w:fldChar w:fldCharType="begin"/>
      </w:r>
      <w:r w:rsidRPr="005268F9">
        <w:rPr>
          <w:rFonts w:ascii="Times New Roman" w:hAnsi="Times New Roman" w:cs="Times New Roman"/>
          <w:lang w:val="en-AU"/>
        </w:rPr>
        <w:instrText xml:space="preserve"> ADDIN </w:instrText>
      </w:r>
      <w:r w:rsidRPr="005268F9">
        <w:rPr>
          <w:rFonts w:ascii="Times New Roman" w:hAnsi="Times New Roman" w:cs="Times New Roman"/>
          <w:lang w:val="en-AU"/>
        </w:rPr>
        <w:fldChar w:fldCharType="end"/>
      </w:r>
    </w:p>
    <w:bookmarkEnd w:id="0"/>
    <w:p w14:paraId="2EF342B4" w14:textId="77777777" w:rsidR="005268F9" w:rsidRPr="005268F9" w:rsidRDefault="005268F9" w:rsidP="005268F9">
      <w:pPr>
        <w:rPr>
          <w:rFonts w:ascii="Times New Roman" w:hAnsi="Times New Roman" w:cs="Times New Roman"/>
          <w:lang w:val="en-AU"/>
        </w:rPr>
      </w:pPr>
    </w:p>
    <w:p w14:paraId="334D85E9" w14:textId="77777777" w:rsidR="00E830F8" w:rsidRPr="005268F9" w:rsidRDefault="00E830F8">
      <w:pPr>
        <w:rPr>
          <w:rFonts w:ascii="Times New Roman" w:hAnsi="Times New Roman" w:cs="Times New Roman"/>
        </w:rPr>
      </w:pPr>
    </w:p>
    <w:sectPr w:rsidR="00E830F8" w:rsidRPr="005268F9" w:rsidSect="00045500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2D05" w14:textId="77777777" w:rsidR="0004794A" w:rsidRDefault="0004794A">
      <w:pPr>
        <w:spacing w:after="0" w:line="240" w:lineRule="auto"/>
      </w:pPr>
      <w:r>
        <w:separator/>
      </w:r>
    </w:p>
  </w:endnote>
  <w:endnote w:type="continuationSeparator" w:id="0">
    <w:p w14:paraId="3B1A3BB3" w14:textId="77777777" w:rsidR="0004794A" w:rsidRDefault="0004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C2E4" w14:textId="77777777" w:rsidR="004A362A" w:rsidRDefault="005268F9" w:rsidP="00BE4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B73F5" w14:textId="77777777" w:rsidR="004A362A" w:rsidRDefault="00BE529D" w:rsidP="00BE4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9C6" w14:textId="77777777" w:rsidR="004A362A" w:rsidRDefault="005268F9" w:rsidP="00BE4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3AC7FF2" w14:textId="77777777" w:rsidR="004A362A" w:rsidRDefault="00BE529D" w:rsidP="00BE48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73B7" w14:textId="77777777" w:rsidR="0004794A" w:rsidRDefault="0004794A">
      <w:pPr>
        <w:spacing w:after="0" w:line="240" w:lineRule="auto"/>
      </w:pPr>
      <w:r>
        <w:separator/>
      </w:r>
    </w:p>
  </w:footnote>
  <w:footnote w:type="continuationSeparator" w:id="0">
    <w:p w14:paraId="5256C0CD" w14:textId="77777777" w:rsidR="0004794A" w:rsidRDefault="0004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tjQ3szAwMzE0M7JQ0lEKTi0uzszPAykwqQUA37h7rSwAAAA="/>
  </w:docVars>
  <w:rsids>
    <w:rsidRoot w:val="005268F9"/>
    <w:rsid w:val="0004794A"/>
    <w:rsid w:val="005268F9"/>
    <w:rsid w:val="00785E4D"/>
    <w:rsid w:val="007959AB"/>
    <w:rsid w:val="0083067D"/>
    <w:rsid w:val="00981201"/>
    <w:rsid w:val="00A240EA"/>
    <w:rsid w:val="00AB4DF9"/>
    <w:rsid w:val="00BE529D"/>
    <w:rsid w:val="00E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0BFC"/>
  <w15:chartTrackingRefBased/>
  <w15:docId w15:val="{1906348A-96A1-414B-9083-9B583243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68F9"/>
    <w:pPr>
      <w:tabs>
        <w:tab w:val="center" w:pos="4320"/>
        <w:tab w:val="right" w:pos="8640"/>
      </w:tabs>
      <w:spacing w:after="120" w:line="48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268F9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268F9"/>
  </w:style>
  <w:style w:type="table" w:styleId="TableGrid">
    <w:name w:val="Table Grid"/>
    <w:basedOn w:val="TableNormal"/>
    <w:uiPriority w:val="59"/>
    <w:rsid w:val="005268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2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Dibley</dc:creator>
  <cp:keywords/>
  <dc:description/>
  <cp:lastModifiedBy>Sk Billah</cp:lastModifiedBy>
  <cp:revision>3</cp:revision>
  <dcterms:created xsi:type="dcterms:W3CDTF">2022-05-28T12:14:00Z</dcterms:created>
  <dcterms:modified xsi:type="dcterms:W3CDTF">2022-05-28T12:14:00Z</dcterms:modified>
</cp:coreProperties>
</file>