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F1C1" w14:textId="77777777" w:rsidR="00C20AEC" w:rsidRPr="00FB6739" w:rsidRDefault="00C20AEC" w:rsidP="00C20AEC">
      <w:pPr>
        <w:pStyle w:val="Heading1"/>
      </w:pPr>
      <w:r>
        <w:t>Supplemental Materials</w:t>
      </w:r>
    </w:p>
    <w:p w14:paraId="4F777173" w14:textId="77777777" w:rsidR="00C20AEC" w:rsidRDefault="00C20AEC" w:rsidP="00C20AEC"/>
    <w:p w14:paraId="34482610" w14:textId="77777777" w:rsidR="00C20AEC" w:rsidRDefault="00C20AEC" w:rsidP="00C20AEC">
      <w:pPr>
        <w:pStyle w:val="Heading2"/>
      </w:pPr>
      <w:r>
        <w:t>S1: Details of Image Preprocessing and Augmentation.</w:t>
      </w:r>
    </w:p>
    <w:p w14:paraId="4EE9131F" w14:textId="77777777" w:rsidR="00C20AEC" w:rsidRDefault="00C20AEC" w:rsidP="00C20AEC">
      <w:pPr>
        <w:pStyle w:val="Heading2"/>
      </w:pPr>
      <w:r>
        <w:t>S2: Final Hyperparameters for Each CNN Model.</w:t>
      </w:r>
    </w:p>
    <w:p w14:paraId="5E8F67E6" w14:textId="77777777" w:rsidR="00C20AEC" w:rsidRPr="00EB7EC6" w:rsidRDefault="00C20AEC" w:rsidP="00C20AEC">
      <w:pPr>
        <w:pStyle w:val="Heading2"/>
      </w:pPr>
      <w:r>
        <w:t>S3: ROC Comparison of Stage 1 Models</w:t>
      </w:r>
    </w:p>
    <w:p w14:paraId="3E91C204" w14:textId="77777777" w:rsidR="00C20AEC" w:rsidRDefault="00C20AEC" w:rsidP="00C20AEC">
      <w:pPr>
        <w:pStyle w:val="Heading2"/>
      </w:pPr>
      <w:r>
        <w:t>S4: Visualization of Incorrect Predictions.</w:t>
      </w:r>
    </w:p>
    <w:p w14:paraId="78CCD6A9" w14:textId="77777777" w:rsidR="00C20AEC" w:rsidRDefault="00C20AEC" w:rsidP="00C20AEC">
      <w:pPr>
        <w:rPr>
          <w:rFonts w:eastAsiaTheme="majorEastAsia" w:cstheme="majorBidi"/>
          <w:b/>
          <w:sz w:val="28"/>
          <w:szCs w:val="32"/>
        </w:rPr>
      </w:pPr>
      <w:r>
        <w:br w:type="page"/>
      </w:r>
    </w:p>
    <w:p w14:paraId="65540EF9" w14:textId="77777777" w:rsidR="00C20AEC" w:rsidRDefault="00C20AEC" w:rsidP="00C20AEC">
      <w:pPr>
        <w:pStyle w:val="Heading1"/>
      </w:pPr>
      <w:r>
        <w:lastRenderedPageBreak/>
        <w:t>Supplementary S1: Details of Image Preprocessing and Augmentation</w:t>
      </w:r>
    </w:p>
    <w:p w14:paraId="64CF50C7" w14:textId="77777777" w:rsidR="00C20AEC" w:rsidRDefault="00C20AEC" w:rsidP="00C20AEC">
      <w:pPr>
        <w:pStyle w:val="DoubleSpace"/>
      </w:pPr>
      <w:r>
        <w:t>The input mammograms were received with text markers on the background that were unrelated to the target labels. We removed the image background by finding the largest contour of the breast and masking out areas outside of the contour. The contour finding algorithm was developed by Suzuki and Abe and was implemented in OpenCV-Python.</w:t>
      </w:r>
      <w:r>
        <w:rPr>
          <w:vertAlign w:val="superscript"/>
        </w:rPr>
        <w:t>1</w:t>
      </w:r>
      <w:r>
        <w:t xml:space="preserve"> We randomly augmented the images before feeding them into the training process. All images were horizontally or vertically </w:t>
      </w:r>
      <w:proofErr w:type="gramStart"/>
      <w:r>
        <w:t>flipped</w:t>
      </w:r>
      <w:proofErr w:type="gramEnd"/>
      <w:r>
        <w:t xml:space="preserve"> or 90-degree rotated at random. Image sharpening, contrast addition, salt and pepper and Gaussian noise additions were performed with a probability of 0.3 for every image. The image augmentation was implemented using the </w:t>
      </w:r>
      <w:proofErr w:type="spellStart"/>
      <w:r w:rsidRPr="00893931">
        <w:rPr>
          <w:i/>
          <w:iCs/>
        </w:rPr>
        <w:t>Imgaug</w:t>
      </w:r>
      <w:proofErr w:type="spellEnd"/>
      <w:r>
        <w:t xml:space="preserve"> Python library.</w:t>
      </w:r>
      <w:r>
        <w:rPr>
          <w:vertAlign w:val="superscript"/>
        </w:rPr>
        <w:t>2</w:t>
      </w:r>
    </w:p>
    <w:p w14:paraId="005AD8D5" w14:textId="77777777" w:rsidR="00C20AEC" w:rsidRDefault="00C20AEC" w:rsidP="00C20AEC">
      <w:pPr>
        <w:pStyle w:val="Bibliography"/>
      </w:pPr>
    </w:p>
    <w:p w14:paraId="383D247E" w14:textId="77777777" w:rsidR="00C20AEC" w:rsidRPr="007A23EA" w:rsidRDefault="00C20AEC" w:rsidP="00C20AEC">
      <w:pPr>
        <w:pStyle w:val="Heading2"/>
      </w:pPr>
      <w:r>
        <w:t>References:</w:t>
      </w:r>
    </w:p>
    <w:p w14:paraId="1CADC9B2" w14:textId="77777777" w:rsidR="00C20AEC" w:rsidRPr="006B26E1" w:rsidRDefault="00C20AEC" w:rsidP="00C20AEC">
      <w:pPr>
        <w:pStyle w:val="Bibliography"/>
      </w:pPr>
      <w:r w:rsidRPr="006B26E1">
        <w:t xml:space="preserve">1. </w:t>
      </w:r>
      <w:proofErr w:type="spellStart"/>
      <w:r w:rsidRPr="006B26E1">
        <w:t>Bradski</w:t>
      </w:r>
      <w:proofErr w:type="spellEnd"/>
      <w:r w:rsidRPr="006B26E1">
        <w:t xml:space="preserve"> G. The OpenCV Library. Dr. Dobb’s. Available from http://www.drdobbs.com/open-source/the-opencv-library/184404319</w:t>
      </w:r>
    </w:p>
    <w:p w14:paraId="521F844F" w14:textId="77777777" w:rsidR="00C20AEC" w:rsidRPr="006B26E1" w:rsidRDefault="00C20AEC" w:rsidP="00C20AEC">
      <w:pPr>
        <w:pStyle w:val="Bibliography"/>
      </w:pPr>
      <w:r w:rsidRPr="006B26E1">
        <w:t xml:space="preserve">2. Jung A. </w:t>
      </w:r>
      <w:proofErr w:type="spellStart"/>
      <w:r w:rsidRPr="006B26E1">
        <w:t>aleju</w:t>
      </w:r>
      <w:proofErr w:type="spellEnd"/>
      <w:r w:rsidRPr="006B26E1">
        <w:t>/</w:t>
      </w:r>
      <w:proofErr w:type="spellStart"/>
      <w:r w:rsidRPr="006B26E1">
        <w:t>imgaug</w:t>
      </w:r>
      <w:proofErr w:type="spellEnd"/>
      <w:r w:rsidRPr="006B26E1">
        <w:t>. 2020. Available from: https://github.com/aleju/imgaug</w:t>
      </w:r>
    </w:p>
    <w:p w14:paraId="1E23B1F4" w14:textId="77777777" w:rsidR="00C20AEC" w:rsidRDefault="00C20AEC" w:rsidP="00C20AEC">
      <w:pPr>
        <w:pStyle w:val="Heading1"/>
      </w:pPr>
      <w:r>
        <w:br w:type="page"/>
      </w:r>
      <w:r>
        <w:lastRenderedPageBreak/>
        <w:t>Supplementary S2</w:t>
      </w:r>
    </w:p>
    <w:p w14:paraId="5A6E9CA7" w14:textId="77777777" w:rsidR="00C20AEC" w:rsidRPr="000C5C71" w:rsidRDefault="00C20AEC" w:rsidP="00C20AEC">
      <w:pPr>
        <w:pStyle w:val="Heading1"/>
        <w:rPr>
          <w:b w:val="0"/>
          <w:bCs/>
          <w:sz w:val="24"/>
          <w:szCs w:val="24"/>
        </w:rPr>
      </w:pPr>
      <w:r w:rsidRPr="000C5C71">
        <w:rPr>
          <w:sz w:val="24"/>
          <w:szCs w:val="24"/>
        </w:rPr>
        <w:t>Table 1.</w:t>
      </w:r>
      <w:r w:rsidRPr="000C5C71">
        <w:rPr>
          <w:b w:val="0"/>
          <w:bCs/>
          <w:sz w:val="24"/>
          <w:szCs w:val="24"/>
        </w:rPr>
        <w:t xml:space="preserve"> Final Hyperparameters for Each CNN Model.</w:t>
      </w:r>
    </w:p>
    <w:tbl>
      <w:tblPr>
        <w:tblStyle w:val="PlainTable5"/>
        <w:tblW w:w="9403" w:type="dxa"/>
        <w:tblLayout w:type="fixed"/>
        <w:tblLook w:val="04A0" w:firstRow="1" w:lastRow="0" w:firstColumn="1" w:lastColumn="0" w:noHBand="0" w:noVBand="1"/>
      </w:tblPr>
      <w:tblGrid>
        <w:gridCol w:w="2180"/>
        <w:gridCol w:w="2317"/>
        <w:gridCol w:w="2317"/>
        <w:gridCol w:w="2589"/>
      </w:tblGrid>
      <w:tr w:rsidR="00C20AEC" w14:paraId="16329573" w14:textId="77777777" w:rsidTr="000C4ABA">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2180" w:type="dxa"/>
          </w:tcPr>
          <w:p w14:paraId="607CA9A7" w14:textId="77777777" w:rsidR="00C20AEC" w:rsidRPr="00C75E48" w:rsidRDefault="00C20AEC" w:rsidP="000C4ABA">
            <w:pPr>
              <w:spacing w:line="276" w:lineRule="auto"/>
              <w:rPr>
                <w:b/>
                <w:bCs/>
                <w:szCs w:val="22"/>
              </w:rPr>
            </w:pPr>
            <w:r w:rsidRPr="00C75E48">
              <w:rPr>
                <w:b/>
                <w:bCs/>
                <w:szCs w:val="22"/>
              </w:rPr>
              <w:t>Model</w:t>
            </w:r>
          </w:p>
        </w:tc>
        <w:tc>
          <w:tcPr>
            <w:tcW w:w="2317" w:type="dxa"/>
          </w:tcPr>
          <w:p w14:paraId="29855698" w14:textId="77777777" w:rsidR="00C20AEC" w:rsidRPr="00C75E48" w:rsidRDefault="00C20AEC" w:rsidP="000C4ABA">
            <w:pPr>
              <w:spacing w:line="276" w:lineRule="auto"/>
              <w:cnfStyle w:val="100000000000" w:firstRow="1" w:lastRow="0" w:firstColumn="0" w:lastColumn="0" w:oddVBand="0" w:evenVBand="0" w:oddHBand="0" w:evenHBand="0" w:firstRowFirstColumn="0" w:firstRowLastColumn="0" w:lastRowFirstColumn="0" w:lastRowLastColumn="0"/>
              <w:rPr>
                <w:b/>
                <w:bCs/>
                <w:szCs w:val="22"/>
              </w:rPr>
            </w:pPr>
            <w:r w:rsidRPr="00C75E48">
              <w:rPr>
                <w:b/>
                <w:bCs/>
                <w:szCs w:val="22"/>
              </w:rPr>
              <w:t>Batch Size</w:t>
            </w:r>
          </w:p>
        </w:tc>
        <w:tc>
          <w:tcPr>
            <w:tcW w:w="2317" w:type="dxa"/>
          </w:tcPr>
          <w:p w14:paraId="7B57C069" w14:textId="77777777" w:rsidR="00C20AEC" w:rsidRPr="00C75E48" w:rsidRDefault="00C20AEC" w:rsidP="000C4ABA">
            <w:pPr>
              <w:spacing w:line="276" w:lineRule="auto"/>
              <w:cnfStyle w:val="100000000000" w:firstRow="1" w:lastRow="0" w:firstColumn="0" w:lastColumn="0" w:oddVBand="0" w:evenVBand="0" w:oddHBand="0" w:evenHBand="0" w:firstRowFirstColumn="0" w:firstRowLastColumn="0" w:lastRowFirstColumn="0" w:lastRowLastColumn="0"/>
              <w:rPr>
                <w:b/>
                <w:bCs/>
                <w:szCs w:val="22"/>
              </w:rPr>
            </w:pPr>
            <w:r w:rsidRPr="00C75E48">
              <w:rPr>
                <w:b/>
                <w:bCs/>
                <w:szCs w:val="22"/>
              </w:rPr>
              <w:t>Initial Learning Rate</w:t>
            </w:r>
          </w:p>
        </w:tc>
        <w:tc>
          <w:tcPr>
            <w:tcW w:w="2589" w:type="dxa"/>
          </w:tcPr>
          <w:p w14:paraId="707D6903" w14:textId="77777777" w:rsidR="00C20AEC" w:rsidRPr="00C75E48" w:rsidRDefault="00C20AEC" w:rsidP="000C4ABA">
            <w:pPr>
              <w:spacing w:line="276" w:lineRule="auto"/>
              <w:cnfStyle w:val="100000000000" w:firstRow="1" w:lastRow="0" w:firstColumn="0" w:lastColumn="0" w:oddVBand="0" w:evenVBand="0" w:oddHBand="0" w:evenHBand="0" w:firstRowFirstColumn="0" w:firstRowLastColumn="0" w:lastRowFirstColumn="0" w:lastRowLastColumn="0"/>
              <w:rPr>
                <w:b/>
                <w:bCs/>
                <w:szCs w:val="22"/>
              </w:rPr>
            </w:pPr>
            <w:r>
              <w:rPr>
                <w:b/>
                <w:bCs/>
                <w:szCs w:val="22"/>
              </w:rPr>
              <w:t>Epochs Trained</w:t>
            </w:r>
          </w:p>
        </w:tc>
      </w:tr>
      <w:tr w:rsidR="00C20AEC" w14:paraId="6776EF5C" w14:textId="77777777" w:rsidTr="000C4AB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180" w:type="dxa"/>
          </w:tcPr>
          <w:p w14:paraId="2D9C0BE9" w14:textId="77777777" w:rsidR="00C20AEC" w:rsidRPr="00E92775" w:rsidRDefault="00C20AEC" w:rsidP="000C4ABA">
            <w:pPr>
              <w:spacing w:line="276" w:lineRule="auto"/>
              <w:jc w:val="both"/>
              <w:rPr>
                <w:szCs w:val="22"/>
              </w:rPr>
            </w:pPr>
            <w:r w:rsidRPr="00E92775">
              <w:rPr>
                <w:szCs w:val="22"/>
              </w:rPr>
              <w:t>Resnet18</w:t>
            </w:r>
          </w:p>
        </w:tc>
        <w:tc>
          <w:tcPr>
            <w:tcW w:w="2317" w:type="dxa"/>
          </w:tcPr>
          <w:p w14:paraId="5681A6C9" w14:textId="77777777" w:rsidR="00C20AEC" w:rsidRPr="00E92775" w:rsidRDefault="00C20AEC" w:rsidP="000C4ABA">
            <w:pPr>
              <w:spacing w:line="276" w:lineRule="auto"/>
              <w:jc w:val="both"/>
              <w:cnfStyle w:val="000000100000" w:firstRow="0" w:lastRow="0" w:firstColumn="0" w:lastColumn="0" w:oddVBand="0" w:evenVBand="0" w:oddHBand="1" w:evenHBand="0" w:firstRowFirstColumn="0" w:firstRowLastColumn="0" w:lastRowFirstColumn="0" w:lastRowLastColumn="0"/>
              <w:rPr>
                <w:szCs w:val="22"/>
              </w:rPr>
            </w:pPr>
            <w:r w:rsidRPr="00E92775">
              <w:rPr>
                <w:szCs w:val="22"/>
              </w:rPr>
              <w:t>8</w:t>
            </w:r>
          </w:p>
        </w:tc>
        <w:tc>
          <w:tcPr>
            <w:tcW w:w="2317" w:type="dxa"/>
          </w:tcPr>
          <w:p w14:paraId="46E84F40" w14:textId="77777777" w:rsidR="00C20AEC" w:rsidRPr="00E92775" w:rsidRDefault="00C20AEC" w:rsidP="000C4ABA">
            <w:pPr>
              <w:spacing w:line="276" w:lineRule="auto"/>
              <w:cnfStyle w:val="000000100000" w:firstRow="0" w:lastRow="0" w:firstColumn="0" w:lastColumn="0" w:oddVBand="0" w:evenVBand="0" w:oddHBand="1" w:evenHBand="0" w:firstRowFirstColumn="0" w:firstRowLastColumn="0" w:lastRowFirstColumn="0" w:lastRowLastColumn="0"/>
              <w:rPr>
                <w:szCs w:val="22"/>
              </w:rPr>
            </w:pPr>
            <m:oMathPara>
              <m:oMathParaPr>
                <m:jc m:val="left"/>
              </m:oMathParaPr>
              <m:oMath>
                <m:r>
                  <m:rPr>
                    <m:sty m:val="p"/>
                  </m:rPr>
                  <w:rPr>
                    <w:rFonts w:ascii="Cambria Math" w:hAnsi="Cambria Math"/>
                    <w:szCs w:val="22"/>
                  </w:rPr>
                  <m:t>1×</m:t>
                </m:r>
                <m:sSup>
                  <m:sSupPr>
                    <m:ctrlPr>
                      <w:rPr>
                        <w:rFonts w:ascii="Cambria Math" w:hAnsi="Cambria Math"/>
                        <w:iCs/>
                        <w:szCs w:val="22"/>
                      </w:rPr>
                    </m:ctrlPr>
                  </m:sSupPr>
                  <m:e>
                    <m:r>
                      <m:rPr>
                        <m:sty m:val="p"/>
                      </m:rPr>
                      <w:rPr>
                        <w:rFonts w:ascii="Cambria Math" w:hAnsi="Cambria Math"/>
                        <w:szCs w:val="22"/>
                      </w:rPr>
                      <m:t>10</m:t>
                    </m:r>
                  </m:e>
                  <m:sup>
                    <m:r>
                      <m:rPr>
                        <m:sty m:val="p"/>
                      </m:rPr>
                      <w:rPr>
                        <w:rFonts w:ascii="Cambria Math" w:hAnsi="Cambria Math"/>
                        <w:szCs w:val="22"/>
                      </w:rPr>
                      <m:t>-4</m:t>
                    </m:r>
                  </m:sup>
                </m:sSup>
              </m:oMath>
            </m:oMathPara>
          </w:p>
        </w:tc>
        <w:tc>
          <w:tcPr>
            <w:tcW w:w="2589" w:type="dxa"/>
          </w:tcPr>
          <w:p w14:paraId="5935291C" w14:textId="77777777" w:rsidR="00C20AEC" w:rsidRPr="00E92775" w:rsidRDefault="00C20AEC" w:rsidP="000C4ABA">
            <w:pPr>
              <w:spacing w:line="276" w:lineRule="auto"/>
              <w:jc w:val="both"/>
              <w:cnfStyle w:val="000000100000" w:firstRow="0" w:lastRow="0" w:firstColumn="0" w:lastColumn="0" w:oddVBand="0" w:evenVBand="0" w:oddHBand="1" w:evenHBand="0" w:firstRowFirstColumn="0" w:firstRowLastColumn="0" w:lastRowFirstColumn="0" w:lastRowLastColumn="0"/>
              <w:rPr>
                <w:szCs w:val="22"/>
              </w:rPr>
            </w:pPr>
            <w:r w:rsidRPr="00E92775">
              <w:rPr>
                <w:szCs w:val="22"/>
              </w:rPr>
              <w:t>30</w:t>
            </w:r>
          </w:p>
        </w:tc>
      </w:tr>
      <w:tr w:rsidR="00C20AEC" w14:paraId="59B788D7" w14:textId="77777777" w:rsidTr="000C4ABA">
        <w:trPr>
          <w:trHeight w:val="518"/>
        </w:trPr>
        <w:tc>
          <w:tcPr>
            <w:cnfStyle w:val="001000000000" w:firstRow="0" w:lastRow="0" w:firstColumn="1" w:lastColumn="0" w:oddVBand="0" w:evenVBand="0" w:oddHBand="0" w:evenHBand="0" w:firstRowFirstColumn="0" w:firstRowLastColumn="0" w:lastRowFirstColumn="0" w:lastRowLastColumn="0"/>
            <w:tcW w:w="2180" w:type="dxa"/>
          </w:tcPr>
          <w:p w14:paraId="58C9949B" w14:textId="77777777" w:rsidR="00C20AEC" w:rsidRPr="000478BF" w:rsidRDefault="00C20AEC" w:rsidP="000C4ABA">
            <w:pPr>
              <w:spacing w:line="276" w:lineRule="auto"/>
              <w:jc w:val="both"/>
              <w:rPr>
                <w:szCs w:val="22"/>
              </w:rPr>
            </w:pPr>
            <w:r w:rsidRPr="000478BF">
              <w:rPr>
                <w:szCs w:val="22"/>
              </w:rPr>
              <w:t>VGG16</w:t>
            </w:r>
          </w:p>
        </w:tc>
        <w:tc>
          <w:tcPr>
            <w:tcW w:w="2317" w:type="dxa"/>
          </w:tcPr>
          <w:p w14:paraId="4856E5A2" w14:textId="77777777" w:rsidR="00C20AEC" w:rsidRPr="000478BF" w:rsidRDefault="00C20AEC" w:rsidP="000C4ABA">
            <w:pPr>
              <w:spacing w:line="276" w:lineRule="auto"/>
              <w:jc w:val="both"/>
              <w:cnfStyle w:val="000000000000" w:firstRow="0" w:lastRow="0" w:firstColumn="0" w:lastColumn="0" w:oddVBand="0" w:evenVBand="0" w:oddHBand="0" w:evenHBand="0" w:firstRowFirstColumn="0" w:firstRowLastColumn="0" w:lastRowFirstColumn="0" w:lastRowLastColumn="0"/>
              <w:rPr>
                <w:szCs w:val="22"/>
              </w:rPr>
            </w:pPr>
            <w:r>
              <w:rPr>
                <w:szCs w:val="22"/>
              </w:rPr>
              <w:t>8</w:t>
            </w:r>
          </w:p>
        </w:tc>
        <w:tc>
          <w:tcPr>
            <w:tcW w:w="2317" w:type="dxa"/>
          </w:tcPr>
          <w:p w14:paraId="48B46433" w14:textId="77777777" w:rsidR="00C20AEC" w:rsidRPr="00C75E48" w:rsidRDefault="00C20AEC" w:rsidP="000C4ABA">
            <w:pPr>
              <w:spacing w:line="276" w:lineRule="auto"/>
              <w:cnfStyle w:val="000000000000" w:firstRow="0" w:lastRow="0" w:firstColumn="0" w:lastColumn="0" w:oddVBand="0" w:evenVBand="0" w:oddHBand="0" w:evenHBand="0" w:firstRowFirstColumn="0" w:firstRowLastColumn="0" w:lastRowFirstColumn="0" w:lastRowLastColumn="0"/>
              <w:rPr>
                <w:szCs w:val="22"/>
              </w:rPr>
            </w:pPr>
            <m:oMathPara>
              <m:oMathParaPr>
                <m:jc m:val="left"/>
              </m:oMathParaPr>
              <m:oMath>
                <m:r>
                  <w:rPr>
                    <w:rFonts w:ascii="Cambria Math" w:hAnsi="Cambria Math"/>
                    <w:szCs w:val="22"/>
                  </w:rPr>
                  <m:t>2.5×</m:t>
                </m:r>
                <m:sSup>
                  <m:sSupPr>
                    <m:ctrlPr>
                      <w:rPr>
                        <w:rFonts w:ascii="Cambria Math" w:hAnsi="Cambria Math"/>
                        <w:bCs/>
                        <w:i/>
                        <w:szCs w:val="22"/>
                      </w:rPr>
                    </m:ctrlPr>
                  </m:sSupPr>
                  <m:e>
                    <m:r>
                      <w:rPr>
                        <w:rFonts w:ascii="Cambria Math" w:hAnsi="Cambria Math"/>
                        <w:szCs w:val="22"/>
                      </w:rPr>
                      <m:t>10</m:t>
                    </m:r>
                  </m:e>
                  <m:sup>
                    <m:r>
                      <w:rPr>
                        <w:rFonts w:ascii="Cambria Math" w:hAnsi="Cambria Math"/>
                        <w:szCs w:val="22"/>
                      </w:rPr>
                      <m:t>-5</m:t>
                    </m:r>
                  </m:sup>
                </m:sSup>
              </m:oMath>
            </m:oMathPara>
          </w:p>
        </w:tc>
        <w:tc>
          <w:tcPr>
            <w:tcW w:w="2589" w:type="dxa"/>
          </w:tcPr>
          <w:p w14:paraId="4B74C507" w14:textId="77777777" w:rsidR="00C20AEC" w:rsidRPr="000478BF" w:rsidRDefault="00C20AEC" w:rsidP="000C4ABA">
            <w:pPr>
              <w:spacing w:line="276" w:lineRule="auto"/>
              <w:jc w:val="both"/>
              <w:cnfStyle w:val="000000000000" w:firstRow="0" w:lastRow="0" w:firstColumn="0" w:lastColumn="0" w:oddVBand="0" w:evenVBand="0" w:oddHBand="0" w:evenHBand="0" w:firstRowFirstColumn="0" w:firstRowLastColumn="0" w:lastRowFirstColumn="0" w:lastRowLastColumn="0"/>
              <w:rPr>
                <w:szCs w:val="22"/>
              </w:rPr>
            </w:pPr>
            <w:r>
              <w:rPr>
                <w:szCs w:val="22"/>
              </w:rPr>
              <w:t>14</w:t>
            </w:r>
          </w:p>
        </w:tc>
      </w:tr>
      <w:tr w:rsidR="00C20AEC" w14:paraId="701D2BB6" w14:textId="77777777" w:rsidTr="000C4AB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180" w:type="dxa"/>
          </w:tcPr>
          <w:p w14:paraId="71097E23" w14:textId="77777777" w:rsidR="00C20AEC" w:rsidRPr="0067189D" w:rsidRDefault="00C20AEC" w:rsidP="000C4ABA">
            <w:pPr>
              <w:spacing w:line="276" w:lineRule="auto"/>
              <w:jc w:val="both"/>
              <w:rPr>
                <w:szCs w:val="22"/>
              </w:rPr>
            </w:pPr>
            <w:r w:rsidRPr="0067189D">
              <w:rPr>
                <w:szCs w:val="22"/>
              </w:rPr>
              <w:t>Densenet121</w:t>
            </w:r>
          </w:p>
        </w:tc>
        <w:tc>
          <w:tcPr>
            <w:tcW w:w="2317" w:type="dxa"/>
          </w:tcPr>
          <w:p w14:paraId="14390359" w14:textId="77777777" w:rsidR="00C20AEC" w:rsidRPr="0067189D" w:rsidRDefault="00C20AEC" w:rsidP="000C4ABA">
            <w:pPr>
              <w:spacing w:line="276" w:lineRule="auto"/>
              <w:jc w:val="both"/>
              <w:cnfStyle w:val="000000100000" w:firstRow="0" w:lastRow="0" w:firstColumn="0" w:lastColumn="0" w:oddVBand="0" w:evenVBand="0" w:oddHBand="1" w:evenHBand="0" w:firstRowFirstColumn="0" w:firstRowLastColumn="0" w:lastRowFirstColumn="0" w:lastRowLastColumn="0"/>
              <w:rPr>
                <w:szCs w:val="22"/>
              </w:rPr>
            </w:pPr>
            <w:r>
              <w:rPr>
                <w:szCs w:val="22"/>
              </w:rPr>
              <w:t>16</w:t>
            </w:r>
          </w:p>
        </w:tc>
        <w:tc>
          <w:tcPr>
            <w:tcW w:w="2317" w:type="dxa"/>
          </w:tcPr>
          <w:p w14:paraId="6A421FE8" w14:textId="77777777" w:rsidR="00C20AEC" w:rsidRPr="00C75E48" w:rsidRDefault="00C20AEC" w:rsidP="000C4ABA">
            <w:pPr>
              <w:spacing w:line="276" w:lineRule="auto"/>
              <w:cnfStyle w:val="000000100000" w:firstRow="0" w:lastRow="0" w:firstColumn="0" w:lastColumn="0" w:oddVBand="0" w:evenVBand="0" w:oddHBand="1" w:evenHBand="0" w:firstRowFirstColumn="0" w:firstRowLastColumn="0" w:lastRowFirstColumn="0" w:lastRowLastColumn="0"/>
              <w:rPr>
                <w:szCs w:val="22"/>
              </w:rPr>
            </w:pPr>
            <m:oMathPara>
              <m:oMathParaPr>
                <m:jc m:val="left"/>
              </m:oMathParaPr>
              <m:oMath>
                <m:r>
                  <w:rPr>
                    <w:rFonts w:ascii="Cambria Math" w:hAnsi="Cambria Math"/>
                    <w:szCs w:val="22"/>
                  </w:rPr>
                  <m:t>1×</m:t>
                </m:r>
                <m:sSup>
                  <m:sSupPr>
                    <m:ctrlPr>
                      <w:rPr>
                        <w:rFonts w:ascii="Cambria Math" w:hAnsi="Cambria Math"/>
                        <w:i/>
                        <w:szCs w:val="22"/>
                      </w:rPr>
                    </m:ctrlPr>
                  </m:sSupPr>
                  <m:e>
                    <m:r>
                      <w:rPr>
                        <w:rFonts w:ascii="Cambria Math" w:hAnsi="Cambria Math"/>
                        <w:szCs w:val="22"/>
                      </w:rPr>
                      <m:t>10</m:t>
                    </m:r>
                  </m:e>
                  <m:sup>
                    <m:r>
                      <w:rPr>
                        <w:rFonts w:ascii="Cambria Math" w:hAnsi="Cambria Math"/>
                        <w:szCs w:val="22"/>
                      </w:rPr>
                      <m:t>-4</m:t>
                    </m:r>
                  </m:sup>
                </m:sSup>
              </m:oMath>
            </m:oMathPara>
          </w:p>
        </w:tc>
        <w:tc>
          <w:tcPr>
            <w:tcW w:w="2589" w:type="dxa"/>
          </w:tcPr>
          <w:p w14:paraId="05CEF86D" w14:textId="77777777" w:rsidR="00C20AEC" w:rsidRPr="0067189D" w:rsidRDefault="00C20AEC" w:rsidP="000C4ABA">
            <w:pPr>
              <w:spacing w:line="276" w:lineRule="auto"/>
              <w:jc w:val="both"/>
              <w:cnfStyle w:val="000000100000" w:firstRow="0" w:lastRow="0" w:firstColumn="0" w:lastColumn="0" w:oddVBand="0" w:evenVBand="0" w:oddHBand="1" w:evenHBand="0" w:firstRowFirstColumn="0" w:firstRowLastColumn="0" w:lastRowFirstColumn="0" w:lastRowLastColumn="0"/>
              <w:rPr>
                <w:szCs w:val="22"/>
              </w:rPr>
            </w:pPr>
            <w:r>
              <w:rPr>
                <w:szCs w:val="22"/>
              </w:rPr>
              <w:t>20</w:t>
            </w:r>
          </w:p>
        </w:tc>
      </w:tr>
    </w:tbl>
    <w:p w14:paraId="2A22D536" w14:textId="77777777" w:rsidR="00C20AEC" w:rsidRPr="00C75E48" w:rsidRDefault="00C20AEC" w:rsidP="00C20AEC">
      <w:pPr>
        <w:jc w:val="both"/>
      </w:pPr>
    </w:p>
    <w:p w14:paraId="155A4845" w14:textId="77777777" w:rsidR="00C20AEC" w:rsidRDefault="00C20AEC" w:rsidP="00C20AEC">
      <w:r>
        <w:br w:type="page"/>
      </w:r>
    </w:p>
    <w:p w14:paraId="439335C4" w14:textId="77777777" w:rsidR="00C20AEC" w:rsidRDefault="00C20AEC" w:rsidP="00C20AEC">
      <w:pPr>
        <w:pStyle w:val="Heading1"/>
      </w:pPr>
      <w:r>
        <w:lastRenderedPageBreak/>
        <w:t>S</w:t>
      </w:r>
      <w:r>
        <w:rPr>
          <w:rFonts w:hint="eastAsia"/>
        </w:rPr>
        <w:t>upplementary</w:t>
      </w:r>
      <w:r>
        <w:t xml:space="preserve"> S3: ROC Comparison of Stage 1 Models</w:t>
      </w:r>
    </w:p>
    <w:p w14:paraId="01826A9C" w14:textId="77777777" w:rsidR="00C20AEC" w:rsidRDefault="00C20AEC" w:rsidP="00C20AEC">
      <w:pPr>
        <w:pStyle w:val="Heading2"/>
      </w:pPr>
      <w:r>
        <w:rPr>
          <w:noProof/>
        </w:rPr>
        <w:drawing>
          <wp:inline distT="0" distB="0" distL="0" distR="0" wp14:anchorId="19E42689" wp14:editId="60A706FF">
            <wp:extent cx="5842000" cy="438150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842000" cy="4381500"/>
                    </a:xfrm>
                    <a:prstGeom prst="rect">
                      <a:avLst/>
                    </a:prstGeom>
                  </pic:spPr>
                </pic:pic>
              </a:graphicData>
            </a:graphic>
          </wp:inline>
        </w:drawing>
      </w:r>
    </w:p>
    <w:p w14:paraId="0340A450" w14:textId="77777777" w:rsidR="00C20AEC" w:rsidRPr="002B4443" w:rsidRDefault="00C20AEC" w:rsidP="00C20AEC">
      <w:pPr>
        <w:pStyle w:val="DoubleSpace"/>
        <w:spacing w:line="240" w:lineRule="auto"/>
        <w:rPr>
          <w:szCs w:val="22"/>
        </w:rPr>
      </w:pPr>
      <w:r w:rsidRPr="003735AE">
        <w:rPr>
          <w:b/>
          <w:bCs/>
          <w:szCs w:val="22"/>
        </w:rPr>
        <w:t xml:space="preserve">Figure 1. ROC of the </w:t>
      </w:r>
      <w:r>
        <w:rPr>
          <w:b/>
          <w:bCs/>
          <w:szCs w:val="22"/>
        </w:rPr>
        <w:t>S</w:t>
      </w:r>
      <w:r w:rsidRPr="003735AE">
        <w:rPr>
          <w:b/>
          <w:bCs/>
          <w:szCs w:val="22"/>
        </w:rPr>
        <w:t>tage 1 models on the internal test set of axillary patches.</w:t>
      </w:r>
      <w:r>
        <w:rPr>
          <w:szCs w:val="22"/>
        </w:rPr>
        <w:t xml:space="preserve"> The ResNet18 model achieved an AUC of 0.98 (95% CI: 0.96-0.99) and was used as the final model, while VGG16 achieved an AUC of 0.98 (95% CI: 0.97-0.99), and Densenet121 achieved an AUC of 0.97 (95% CI: 0.95-0.99).</w:t>
      </w:r>
    </w:p>
    <w:p w14:paraId="61EC4909" w14:textId="77777777" w:rsidR="00C20AEC" w:rsidRDefault="00C20AEC" w:rsidP="00C20AEC"/>
    <w:p w14:paraId="40BAB78B" w14:textId="77777777" w:rsidR="00C20AEC" w:rsidRDefault="00C20AEC" w:rsidP="00C20AEC">
      <w:pPr>
        <w:pStyle w:val="Heading1"/>
      </w:pPr>
      <w:r>
        <w:lastRenderedPageBreak/>
        <w:t>S</w:t>
      </w:r>
      <w:r>
        <w:rPr>
          <w:rFonts w:hint="eastAsia"/>
        </w:rPr>
        <w:t>upplementary</w:t>
      </w:r>
      <w:r>
        <w:t xml:space="preserve"> S4: Visualization of Incorrect Predictions</w:t>
      </w:r>
    </w:p>
    <w:p w14:paraId="562035D9" w14:textId="77777777" w:rsidR="00C20AEC" w:rsidRDefault="00C20AEC" w:rsidP="00C20AEC">
      <w:pPr>
        <w:pStyle w:val="DoubleSpace"/>
        <w:jc w:val="both"/>
      </w:pPr>
      <w:r>
        <w:rPr>
          <w:noProof/>
        </w:rPr>
        <w:drawing>
          <wp:inline distT="0" distB="0" distL="0" distR="0" wp14:anchorId="02C44B71" wp14:editId="3F8EE99E">
            <wp:extent cx="5943600" cy="365760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657600"/>
                    </a:xfrm>
                    <a:prstGeom prst="rect">
                      <a:avLst/>
                    </a:prstGeom>
                  </pic:spPr>
                </pic:pic>
              </a:graphicData>
            </a:graphic>
          </wp:inline>
        </w:drawing>
      </w:r>
    </w:p>
    <w:p w14:paraId="33C007AB" w14:textId="16CB1565" w:rsidR="00597BA8" w:rsidRDefault="00C20AEC" w:rsidP="006332AB">
      <w:pPr>
        <w:pStyle w:val="DoubleSpace"/>
        <w:spacing w:line="240" w:lineRule="auto"/>
      </w:pPr>
      <w:r>
        <w:rPr>
          <w:b/>
          <w:bCs/>
        </w:rPr>
        <w:t>Figure 2.</w:t>
      </w:r>
      <w:r>
        <w:t xml:space="preserve"> </w:t>
      </w:r>
      <w:r w:rsidRPr="00A8655C">
        <w:rPr>
          <w:b/>
          <w:bCs/>
        </w:rPr>
        <w:t xml:space="preserve">Example of </w:t>
      </w:r>
      <w:r>
        <w:rPr>
          <w:b/>
          <w:bCs/>
        </w:rPr>
        <w:t xml:space="preserve">a </w:t>
      </w:r>
      <w:r w:rsidRPr="00A8655C">
        <w:rPr>
          <w:b/>
          <w:bCs/>
        </w:rPr>
        <w:t xml:space="preserve">Grad-CAM visualization of incorrect predictions by </w:t>
      </w:r>
      <w:r>
        <w:rPr>
          <w:b/>
          <w:bCs/>
        </w:rPr>
        <w:t>S</w:t>
      </w:r>
      <w:r w:rsidRPr="00A8655C">
        <w:rPr>
          <w:b/>
          <w:bCs/>
        </w:rPr>
        <w:t>tage 1 Resnet18</w:t>
      </w:r>
      <w:r>
        <w:rPr>
          <w:b/>
          <w:bCs/>
        </w:rPr>
        <w:t xml:space="preserve"> model</w:t>
      </w:r>
      <w:r w:rsidRPr="00A8655C">
        <w:rPr>
          <w:b/>
          <w:bCs/>
        </w:rPr>
        <w:t>.</w:t>
      </w:r>
      <w:r w:rsidRPr="00A8655C">
        <w:t xml:space="preserve"> The model incorrectly highlighted </w:t>
      </w:r>
      <w:r w:rsidRPr="00A433BF">
        <w:rPr>
          <w:b/>
          <w:bCs/>
        </w:rPr>
        <w:t>a)</w:t>
      </w:r>
      <w:r w:rsidRPr="00A8655C">
        <w:t xml:space="preserve"> scar tissue and </w:t>
      </w:r>
      <w:r w:rsidRPr="00A433BF">
        <w:rPr>
          <w:b/>
          <w:bCs/>
        </w:rPr>
        <w:t>b)</w:t>
      </w:r>
      <w:r w:rsidRPr="00A8655C">
        <w:t xml:space="preserve"> multiple normal LNs as </w:t>
      </w:r>
      <w:proofErr w:type="gramStart"/>
      <w:r w:rsidRPr="00A8655C">
        <w:t>fat-infiltrated</w:t>
      </w:r>
      <w:proofErr w:type="gramEnd"/>
      <w:r w:rsidRPr="00A8655C">
        <w:t xml:space="preserve">. </w:t>
      </w:r>
      <w:r w:rsidRPr="00A433BF">
        <w:rPr>
          <w:b/>
          <w:bCs/>
        </w:rPr>
        <w:t>c)</w:t>
      </w:r>
      <w:r w:rsidRPr="00A8655C">
        <w:t xml:space="preserve"> The model missed fatty </w:t>
      </w:r>
      <w:r>
        <w:t>LNs</w:t>
      </w:r>
      <w:r w:rsidRPr="00A8655C">
        <w:t xml:space="preserve"> and highlighted breast tissue as normal LNs. </w:t>
      </w:r>
      <w:r w:rsidRPr="00A433BF">
        <w:rPr>
          <w:b/>
          <w:bCs/>
        </w:rPr>
        <w:t>d)</w:t>
      </w:r>
      <w:r>
        <w:t xml:space="preserve"> The model only highlighted the normal LNs where a mixture of fatty and normal LNs existed.</w:t>
      </w:r>
    </w:p>
    <w:sectPr w:rsidR="00597BA8" w:rsidSect="00F3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EC"/>
    <w:rsid w:val="00334401"/>
    <w:rsid w:val="006332AB"/>
    <w:rsid w:val="00C20AEC"/>
    <w:rsid w:val="00F3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0C37C9"/>
  <w15:chartTrackingRefBased/>
  <w15:docId w15:val="{17F0370A-C48D-0B4B-A61D-C9E57CA1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EC"/>
    <w:rPr>
      <w:rFonts w:ascii="Times New Roman" w:eastAsia="Times New Roman" w:hAnsi="Times New Roman" w:cs="Times New Roman"/>
      <w:sz w:val="22"/>
    </w:rPr>
  </w:style>
  <w:style w:type="paragraph" w:styleId="Heading1">
    <w:name w:val="heading 1"/>
    <w:basedOn w:val="Normal"/>
    <w:next w:val="Normal"/>
    <w:link w:val="Heading1Char"/>
    <w:uiPriority w:val="9"/>
    <w:qFormat/>
    <w:rsid w:val="00C20AEC"/>
    <w:pPr>
      <w:keepNext/>
      <w:keepLines/>
      <w:spacing w:after="120" w:line="48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20AEC"/>
    <w:pPr>
      <w:keepNext/>
      <w:keepLines/>
      <w:spacing w:after="120" w:line="48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AE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20AEC"/>
    <w:rPr>
      <w:rFonts w:ascii="Times New Roman" w:eastAsiaTheme="majorEastAsia" w:hAnsi="Times New Roman" w:cstheme="majorBidi"/>
      <w:b/>
      <w:sz w:val="22"/>
      <w:szCs w:val="26"/>
    </w:rPr>
  </w:style>
  <w:style w:type="table" w:styleId="PlainTable5">
    <w:name w:val="Plain Table 5"/>
    <w:basedOn w:val="TableNormal"/>
    <w:uiPriority w:val="45"/>
    <w:rsid w:val="00C20A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unhideWhenUsed/>
    <w:rsid w:val="00C20AEC"/>
    <w:pPr>
      <w:tabs>
        <w:tab w:val="left" w:pos="380"/>
        <w:tab w:val="left" w:pos="500"/>
      </w:tabs>
      <w:spacing w:after="240"/>
      <w:ind w:left="504" w:hanging="504"/>
    </w:pPr>
  </w:style>
  <w:style w:type="paragraph" w:customStyle="1" w:styleId="DoubleSpace">
    <w:name w:val="Double Space"/>
    <w:basedOn w:val="Normal"/>
    <w:qFormat/>
    <w:rsid w:val="00C20AEC"/>
    <w:pPr>
      <w:spacing w:after="24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Qingyuan Song</dc:creator>
  <cp:keywords/>
  <dc:description/>
  <cp:lastModifiedBy>Qingyuan Song</cp:lastModifiedBy>
  <cp:revision>2</cp:revision>
  <dcterms:created xsi:type="dcterms:W3CDTF">2022-08-30T16:52:00Z</dcterms:created>
  <dcterms:modified xsi:type="dcterms:W3CDTF">2022-08-30T16:53:00Z</dcterms:modified>
</cp:coreProperties>
</file>