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7BAD" w14:textId="22DF6D45" w:rsidR="00CC7DC5" w:rsidRDefault="00CC7DC5" w:rsidP="00CC7DC5">
      <w:pPr>
        <w:pStyle w:val="Heading1"/>
        <w:rPr>
          <w:szCs w:val="24"/>
        </w:rPr>
      </w:pPr>
      <w:r>
        <w:rPr>
          <w:szCs w:val="24"/>
        </w:rPr>
        <w:t>APPENDIX</w:t>
      </w:r>
      <w:r w:rsidR="00FD7328">
        <w:rPr>
          <w:szCs w:val="24"/>
        </w:rPr>
        <w:t xml:space="preserve"> A</w:t>
      </w:r>
    </w:p>
    <w:p w14:paraId="290848F7" w14:textId="68D87D5F" w:rsidR="00A96364" w:rsidRDefault="00A96364" w:rsidP="00CC7DC5">
      <w:pPr>
        <w:pStyle w:val="Heading1"/>
        <w:rPr>
          <w:szCs w:val="24"/>
        </w:rPr>
      </w:pPr>
      <w:r w:rsidRPr="00A96364">
        <w:rPr>
          <w:szCs w:val="24"/>
        </w:rPr>
        <w:t>SUPPLEMENTARY METHODS</w:t>
      </w:r>
    </w:p>
    <w:p w14:paraId="544E8F3C" w14:textId="77777777" w:rsidR="000A7068" w:rsidRPr="000A7068" w:rsidRDefault="000A7068" w:rsidP="000A7068">
      <w:pPr>
        <w:rPr>
          <w:lang w:val="en-US"/>
        </w:rPr>
      </w:pPr>
    </w:p>
    <w:p w14:paraId="5D18575A" w14:textId="2A2F04D1" w:rsidR="00A96364" w:rsidRPr="00A96364" w:rsidRDefault="00A96364" w:rsidP="00CC7DC5">
      <w:pPr>
        <w:spacing w:line="480" w:lineRule="auto"/>
        <w:rPr>
          <w:rFonts w:ascii="Cambria" w:hAnsi="Cambria"/>
          <w:b/>
          <w:bCs/>
          <w:sz w:val="24"/>
          <w:szCs w:val="24"/>
          <w:lang w:val="en-GB"/>
        </w:rPr>
      </w:pPr>
      <w:r w:rsidRPr="00A96364">
        <w:rPr>
          <w:rFonts w:ascii="Cambria" w:hAnsi="Cambria"/>
          <w:b/>
          <w:bCs/>
          <w:i/>
          <w:iCs/>
          <w:sz w:val="24"/>
          <w:szCs w:val="24"/>
          <w:lang w:val="en-GB"/>
        </w:rPr>
        <w:t>Residential grouping algorithm</w:t>
      </w:r>
    </w:p>
    <w:p w14:paraId="09DBECD1" w14:textId="0D3F5990" w:rsidR="00A96364" w:rsidRPr="00A96364" w:rsidRDefault="00A96364" w:rsidP="00CC7DC5">
      <w:pPr>
        <w:spacing w:line="480" w:lineRule="auto"/>
        <w:rPr>
          <w:rFonts w:ascii="Cambria" w:hAnsi="Cambria"/>
          <w:sz w:val="24"/>
          <w:szCs w:val="24"/>
          <w:lang w:val="en-GB"/>
        </w:rPr>
      </w:pPr>
      <w:r w:rsidRPr="00A96364">
        <w:rPr>
          <w:rFonts w:ascii="Cambria" w:hAnsi="Cambria"/>
          <w:sz w:val="24"/>
          <w:szCs w:val="24"/>
          <w:lang w:val="en-GB"/>
        </w:rPr>
        <w:t xml:space="preserve">Residential building addresses in Hong Kong are not always recorded simply as a unique street number and name combination. A cluster of high-rise buildings may share one street number and name along with an estate name then be further segregated by block, tower or residence names or numbering, subsequently these details can be used in a variety of combinations to reference a specific residential building. Cases were initially grouped based on geocoordinates rounded to one significant digit to maintain a broad non-specific match so that any discrepant geocoordinates for a unique building would maintain the match. Subsequent steps re-grouped the cases per residence based on specific address details within the initial group. Starting with building street number, block number then building name. Simplified versions of the building addresses were constructed </w:t>
      </w:r>
      <w:r w:rsidR="00CC7DC5" w:rsidRPr="00A96364">
        <w:rPr>
          <w:rFonts w:ascii="Cambria" w:hAnsi="Cambria"/>
          <w:sz w:val="24"/>
          <w:szCs w:val="24"/>
          <w:lang w:val="en-GB"/>
        </w:rPr>
        <w:t>off</w:t>
      </w:r>
      <w:r w:rsidRPr="00A96364">
        <w:rPr>
          <w:rFonts w:ascii="Cambria" w:hAnsi="Cambria"/>
          <w:sz w:val="24"/>
          <w:szCs w:val="24"/>
          <w:lang w:val="en-GB"/>
        </w:rPr>
        <w:t xml:space="preserve"> a minimal combination of street and block numbers, as well as residence, </w:t>
      </w:r>
      <w:proofErr w:type="gramStart"/>
      <w:r w:rsidRPr="00A96364">
        <w:rPr>
          <w:rFonts w:ascii="Cambria" w:hAnsi="Cambria"/>
          <w:sz w:val="24"/>
          <w:szCs w:val="24"/>
          <w:lang w:val="en-GB"/>
        </w:rPr>
        <w:t>estate</w:t>
      </w:r>
      <w:proofErr w:type="gramEnd"/>
      <w:r w:rsidRPr="00A96364">
        <w:rPr>
          <w:rFonts w:ascii="Cambria" w:hAnsi="Cambria"/>
          <w:sz w:val="24"/>
          <w:szCs w:val="24"/>
          <w:lang w:val="en-GB"/>
        </w:rPr>
        <w:t xml:space="preserve"> and street names. Discrepant simplified addresses within a group would be flagged and manually checked prior to finalising the cases per residence. </w:t>
      </w:r>
    </w:p>
    <w:p w14:paraId="5518CE97" w14:textId="77777777" w:rsidR="00A96364" w:rsidRPr="00A96364" w:rsidRDefault="00A96364" w:rsidP="00CC7DC5">
      <w:pPr>
        <w:spacing w:line="480" w:lineRule="auto"/>
        <w:rPr>
          <w:rFonts w:ascii="Cambria" w:hAnsi="Cambria"/>
          <w:b/>
          <w:bCs/>
          <w:sz w:val="24"/>
          <w:szCs w:val="24"/>
          <w:lang w:val="en-GB"/>
        </w:rPr>
      </w:pPr>
      <w:r w:rsidRPr="00A96364">
        <w:rPr>
          <w:rFonts w:ascii="Cambria" w:hAnsi="Cambria"/>
          <w:b/>
          <w:bCs/>
          <w:i/>
          <w:iCs/>
          <w:sz w:val="24"/>
          <w:szCs w:val="24"/>
          <w:lang w:val="en-GB"/>
        </w:rPr>
        <w:t>Untraceable cases algorithm</w:t>
      </w:r>
    </w:p>
    <w:p w14:paraId="33BA4754" w14:textId="4C288BFE" w:rsidR="00A96364" w:rsidRPr="00A96364" w:rsidRDefault="00A96364" w:rsidP="00CC7DC5">
      <w:pPr>
        <w:spacing w:line="480" w:lineRule="auto"/>
        <w:rPr>
          <w:rFonts w:ascii="Cambria" w:hAnsi="Cambria"/>
          <w:sz w:val="24"/>
          <w:szCs w:val="24"/>
          <w:lang w:val="en-GB"/>
        </w:rPr>
      </w:pPr>
      <w:r w:rsidRPr="00A96364">
        <w:rPr>
          <w:rFonts w:ascii="Cambria" w:hAnsi="Cambria"/>
          <w:sz w:val="24"/>
          <w:szCs w:val="24"/>
          <w:lang w:val="en-GB"/>
        </w:rPr>
        <w:t xml:space="preserve">Cases </w:t>
      </w:r>
      <w:r w:rsidR="00EF4DC4">
        <w:rPr>
          <w:rFonts w:ascii="Cambria" w:hAnsi="Cambria"/>
          <w:sz w:val="24"/>
          <w:szCs w:val="24"/>
          <w:lang w:val="en-GB"/>
        </w:rPr>
        <w:t>from</w:t>
      </w:r>
      <w:r w:rsidRPr="00A96364">
        <w:rPr>
          <w:rFonts w:ascii="Cambria" w:hAnsi="Cambria"/>
          <w:sz w:val="24"/>
          <w:szCs w:val="24"/>
          <w:lang w:val="en-GB"/>
        </w:rPr>
        <w:t xml:space="preserve"> were considered ‘untraceable’ if they were not part of a case cluster </w:t>
      </w:r>
      <w:r w:rsidR="00EF4DC4">
        <w:rPr>
          <w:rFonts w:ascii="Cambria" w:hAnsi="Cambria"/>
          <w:sz w:val="24"/>
          <w:szCs w:val="24"/>
          <w:lang w:val="en-GB"/>
        </w:rPr>
        <w:t>or</w:t>
      </w:r>
      <w:r w:rsidRPr="00A96364">
        <w:rPr>
          <w:rFonts w:ascii="Cambria" w:hAnsi="Cambria"/>
          <w:sz w:val="24"/>
          <w:szCs w:val="24"/>
          <w:lang w:val="en-GB"/>
        </w:rPr>
        <w:t xml:space="preserve"> satisfied </w:t>
      </w:r>
      <w:r w:rsidR="00EF4DC4">
        <w:rPr>
          <w:rFonts w:ascii="Cambria" w:hAnsi="Cambria"/>
          <w:sz w:val="24"/>
          <w:szCs w:val="24"/>
          <w:lang w:val="en-GB"/>
        </w:rPr>
        <w:t xml:space="preserve">either of </w:t>
      </w:r>
      <w:r w:rsidRPr="00A96364">
        <w:rPr>
          <w:rFonts w:ascii="Cambria" w:hAnsi="Cambria"/>
          <w:sz w:val="24"/>
          <w:szCs w:val="24"/>
          <w:lang w:val="en-GB"/>
        </w:rPr>
        <w:t>the three following conditions</w:t>
      </w:r>
      <w:r w:rsidR="00EF4DC4">
        <w:rPr>
          <w:rFonts w:ascii="Cambria" w:hAnsi="Cambria"/>
          <w:sz w:val="24"/>
          <w:szCs w:val="24"/>
          <w:lang w:val="en-GB"/>
        </w:rPr>
        <w:t>:</w:t>
      </w:r>
      <w:r w:rsidRPr="00A96364">
        <w:rPr>
          <w:rFonts w:ascii="Cambria" w:hAnsi="Cambria"/>
          <w:sz w:val="24"/>
          <w:szCs w:val="24"/>
          <w:lang w:val="en-GB"/>
        </w:rPr>
        <w:t xml:space="preserve"> (1) only associated with one cluster, (2) in a cluster where all cases were reported after the CTN issuance, and (3) in a cluster where no cases were linked to a separate cluster (prior or subsequent) without any cases reported before the earliest report date of the cluster in question, removing the potential of forward or backward contact-tracing. </w:t>
      </w:r>
    </w:p>
    <w:p w14:paraId="2D6506B1" w14:textId="32D0192E" w:rsidR="00A96364" w:rsidRPr="006A0C4F" w:rsidRDefault="00A96364" w:rsidP="00CC7DC5">
      <w:pPr>
        <w:spacing w:line="480" w:lineRule="auto"/>
        <w:rPr>
          <w:rFonts w:ascii="Cambria" w:hAnsi="Cambria"/>
          <w:sz w:val="24"/>
          <w:szCs w:val="24"/>
          <w:lang w:val="en-GB"/>
        </w:rPr>
      </w:pPr>
    </w:p>
    <w:p w14:paraId="3EAA0D6C" w14:textId="06E562B4" w:rsidR="00506594" w:rsidRPr="00A96364" w:rsidRDefault="00A96364" w:rsidP="00CC7DC5">
      <w:pPr>
        <w:pStyle w:val="Heading1"/>
        <w:rPr>
          <w:szCs w:val="24"/>
        </w:rPr>
      </w:pPr>
      <w:r w:rsidRPr="00A96364">
        <w:rPr>
          <w:szCs w:val="24"/>
        </w:rPr>
        <w:t>SUPLEMENTARY RESULTS</w:t>
      </w:r>
    </w:p>
    <w:p w14:paraId="6E27FA09" w14:textId="3A3C843E" w:rsidR="00CD3BC3" w:rsidRPr="00A96364" w:rsidRDefault="00CD3BC3" w:rsidP="00CC7DC5">
      <w:pPr>
        <w:spacing w:line="480" w:lineRule="auto"/>
        <w:rPr>
          <w:rFonts w:ascii="Cambria" w:hAnsi="Cambria"/>
          <w:b/>
          <w:bCs/>
          <w:i/>
          <w:iCs/>
          <w:sz w:val="24"/>
          <w:szCs w:val="24"/>
          <w:lang w:val="en-GB"/>
        </w:rPr>
      </w:pPr>
      <w:r w:rsidRPr="00A96364">
        <w:rPr>
          <w:rFonts w:ascii="Cambria" w:hAnsi="Cambria"/>
          <w:b/>
          <w:bCs/>
          <w:i/>
          <w:iCs/>
          <w:sz w:val="24"/>
          <w:szCs w:val="24"/>
          <w:lang w:val="en-GB"/>
        </w:rPr>
        <w:t>Sensitivity analysis</w:t>
      </w:r>
    </w:p>
    <w:p w14:paraId="143378BB" w14:textId="2D52C4C9" w:rsidR="00CD3BC3" w:rsidRPr="00A96364" w:rsidRDefault="006A0C4F" w:rsidP="00CC7DC5">
      <w:pPr>
        <w:spacing w:line="480" w:lineRule="auto"/>
        <w:rPr>
          <w:rFonts w:ascii="Cambria" w:hAnsi="Cambria"/>
          <w:sz w:val="24"/>
          <w:szCs w:val="24"/>
          <w:lang w:val="en-GB"/>
        </w:rPr>
      </w:pPr>
      <w:r>
        <w:rPr>
          <w:rFonts w:ascii="Cambria" w:hAnsi="Cambria"/>
          <w:sz w:val="24"/>
          <w:szCs w:val="24"/>
          <w:lang w:val="en-GB"/>
        </w:rPr>
        <w:t>O</w:t>
      </w:r>
      <w:r w:rsidR="00CD3BC3" w:rsidRPr="00A96364">
        <w:rPr>
          <w:rFonts w:ascii="Cambria" w:hAnsi="Cambria"/>
          <w:sz w:val="24"/>
          <w:szCs w:val="24"/>
          <w:lang w:val="en-GB"/>
        </w:rPr>
        <w:t xml:space="preserve">ver one percent of </w:t>
      </w:r>
      <w:r>
        <w:rPr>
          <w:rFonts w:ascii="Cambria" w:hAnsi="Cambria"/>
          <w:sz w:val="24"/>
          <w:szCs w:val="24"/>
          <w:lang w:val="en-GB"/>
        </w:rPr>
        <w:t xml:space="preserve">the identified </w:t>
      </w:r>
      <w:r w:rsidR="00CD3BC3" w:rsidRPr="00A96364">
        <w:rPr>
          <w:rFonts w:ascii="Cambria" w:hAnsi="Cambria"/>
          <w:sz w:val="24"/>
          <w:szCs w:val="24"/>
          <w:lang w:val="en-GB"/>
        </w:rPr>
        <w:t xml:space="preserve">buildings were randomly sampled (100/7582, 1.3%) in the sensitivity analysis </w:t>
      </w:r>
      <w:r>
        <w:rPr>
          <w:rFonts w:ascii="Cambria" w:hAnsi="Cambria"/>
          <w:sz w:val="24"/>
          <w:szCs w:val="24"/>
          <w:lang w:val="en-GB"/>
        </w:rPr>
        <w:t xml:space="preserve">to </w:t>
      </w:r>
      <w:r w:rsidR="00CD3BC3" w:rsidRPr="00A96364">
        <w:rPr>
          <w:rFonts w:ascii="Cambria" w:hAnsi="Cambria"/>
          <w:sz w:val="24"/>
          <w:szCs w:val="24"/>
          <w:lang w:val="en-GB"/>
        </w:rPr>
        <w:t>assess the accuracy of the building grouping algorithm. We found that 94/100 of the buildings sampled had the correct number of infections associated it, corresponding to an accuracy of 94%</w:t>
      </w:r>
      <w:r>
        <w:rPr>
          <w:rFonts w:ascii="Cambria" w:hAnsi="Cambria"/>
          <w:sz w:val="24"/>
          <w:szCs w:val="24"/>
          <w:lang w:val="en-GB"/>
        </w:rPr>
        <w:t xml:space="preserve"> (</w:t>
      </w:r>
      <w:r w:rsidR="00CD3BC3" w:rsidRPr="00A96364">
        <w:rPr>
          <w:rFonts w:ascii="Cambria" w:hAnsi="Cambria"/>
          <w:sz w:val="24"/>
          <w:szCs w:val="24"/>
          <w:lang w:val="en-GB"/>
        </w:rPr>
        <w:t>95% CI</w:t>
      </w:r>
      <w:r>
        <w:rPr>
          <w:rFonts w:ascii="Cambria" w:hAnsi="Cambria"/>
          <w:sz w:val="24"/>
          <w:szCs w:val="24"/>
          <w:lang w:val="en-GB"/>
        </w:rPr>
        <w:t xml:space="preserve">: </w:t>
      </w:r>
      <w:r w:rsidR="00CD3BC3" w:rsidRPr="00A96364">
        <w:rPr>
          <w:rFonts w:ascii="Cambria" w:hAnsi="Cambria"/>
          <w:sz w:val="24"/>
          <w:szCs w:val="24"/>
          <w:lang w:val="en-GB"/>
        </w:rPr>
        <w:t xml:space="preserve">89%, 99%) for the algorithm. Of cases assessed, 216/225 were associated with the correct building results with an estimated accuracy of 96%, 95% CI (93%, 99%). </w:t>
      </w:r>
    </w:p>
    <w:p w14:paraId="66F1EB3D" w14:textId="122AEBDA" w:rsidR="00CD3BC3" w:rsidRPr="00A96364" w:rsidRDefault="00CD3BC3" w:rsidP="00CC7DC5">
      <w:pPr>
        <w:spacing w:line="480" w:lineRule="auto"/>
        <w:rPr>
          <w:rFonts w:ascii="Cambria" w:hAnsi="Cambria"/>
          <w:sz w:val="24"/>
          <w:szCs w:val="24"/>
          <w:lang w:val="en-GB"/>
        </w:rPr>
      </w:pPr>
      <w:r w:rsidRPr="00A96364">
        <w:rPr>
          <w:rFonts w:ascii="Cambria" w:hAnsi="Cambria"/>
          <w:sz w:val="24"/>
          <w:szCs w:val="24"/>
          <w:lang w:val="en-GB"/>
        </w:rPr>
        <w:t>Of the randomly sampled CTN-matched cases 99/100 were determined to be true matches, providing an estimated sensitivity for the matching algorithm of 99</w:t>
      </w:r>
      <w:r w:rsidR="00897D7E" w:rsidRPr="00A96364">
        <w:rPr>
          <w:rFonts w:ascii="Cambria" w:hAnsi="Cambria"/>
          <w:sz w:val="24"/>
          <w:szCs w:val="24"/>
          <w:lang w:val="en-GB"/>
        </w:rPr>
        <w:t>%</w:t>
      </w:r>
      <w:r w:rsidR="00897D7E">
        <w:rPr>
          <w:rFonts w:ascii="Cambria" w:hAnsi="Cambria"/>
          <w:sz w:val="24"/>
          <w:szCs w:val="24"/>
          <w:lang w:val="en-GB"/>
        </w:rPr>
        <w:t xml:space="preserve"> (</w:t>
      </w:r>
      <w:r w:rsidRPr="00A96364">
        <w:rPr>
          <w:rFonts w:ascii="Cambria" w:hAnsi="Cambria"/>
          <w:sz w:val="24"/>
          <w:szCs w:val="24"/>
          <w:lang w:val="en-GB"/>
        </w:rPr>
        <w:t>95%CI</w:t>
      </w:r>
      <w:r w:rsidR="00897D7E">
        <w:rPr>
          <w:rFonts w:ascii="Cambria" w:hAnsi="Cambria"/>
          <w:sz w:val="24"/>
          <w:szCs w:val="24"/>
          <w:lang w:val="en-GB"/>
        </w:rPr>
        <w:t>:</w:t>
      </w:r>
      <w:r w:rsidRPr="00A96364">
        <w:rPr>
          <w:rFonts w:ascii="Cambria" w:hAnsi="Cambria"/>
          <w:sz w:val="24"/>
          <w:szCs w:val="24"/>
          <w:lang w:val="en-GB"/>
        </w:rPr>
        <w:t xml:space="preserve"> 97%, 100%). The randomly sampled non-matched cases provided an estimated specificity of 100% </w:t>
      </w:r>
      <w:r w:rsidR="00897D7E">
        <w:rPr>
          <w:rFonts w:ascii="Cambria" w:hAnsi="Cambria"/>
          <w:sz w:val="24"/>
          <w:szCs w:val="24"/>
          <w:lang w:val="en-GB"/>
        </w:rPr>
        <w:t>(</w:t>
      </w:r>
      <w:r w:rsidRPr="00A96364">
        <w:rPr>
          <w:rFonts w:ascii="Cambria" w:hAnsi="Cambria"/>
          <w:sz w:val="24"/>
          <w:szCs w:val="24"/>
          <w:lang w:val="en-GB"/>
        </w:rPr>
        <w:t>95% CI</w:t>
      </w:r>
      <w:r w:rsidR="00897D7E">
        <w:rPr>
          <w:rFonts w:ascii="Cambria" w:hAnsi="Cambria"/>
          <w:sz w:val="24"/>
          <w:szCs w:val="24"/>
          <w:lang w:val="en-GB"/>
        </w:rPr>
        <w:t xml:space="preserve">: </w:t>
      </w:r>
      <w:r w:rsidRPr="00A96364">
        <w:rPr>
          <w:rFonts w:ascii="Cambria" w:hAnsi="Cambria"/>
          <w:sz w:val="24"/>
          <w:szCs w:val="24"/>
          <w:lang w:val="en-GB"/>
        </w:rPr>
        <w:t xml:space="preserve">99%, 100%) as 50/50 were true non-matches. </w:t>
      </w:r>
    </w:p>
    <w:p w14:paraId="0601C535" w14:textId="0DDDA470" w:rsidR="00506594" w:rsidRPr="00A96364" w:rsidRDefault="00506594" w:rsidP="00CC7DC5">
      <w:pPr>
        <w:pStyle w:val="Caption"/>
        <w:snapToGrid w:val="0"/>
        <w:spacing w:after="0" w:line="480" w:lineRule="auto"/>
        <w:rPr>
          <w:rFonts w:ascii="Cambria" w:hAnsi="Cambria"/>
          <w:i w:val="0"/>
          <w:iCs w:val="0"/>
          <w:color w:val="auto"/>
          <w:sz w:val="24"/>
          <w:szCs w:val="24"/>
        </w:rPr>
      </w:pPr>
      <w:r w:rsidRPr="00A96364">
        <w:rPr>
          <w:rFonts w:ascii="Cambria" w:hAnsi="Cambria"/>
          <w:sz w:val="24"/>
          <w:szCs w:val="24"/>
          <w:lang w:val="en-GB"/>
        </w:rPr>
        <w:br w:type="column"/>
      </w:r>
      <w:r w:rsidRPr="00A96364">
        <w:rPr>
          <w:rFonts w:ascii="Cambria" w:hAnsi="Cambria"/>
          <w:i w:val="0"/>
          <w:iCs w:val="0"/>
          <w:color w:val="auto"/>
          <w:sz w:val="24"/>
          <w:szCs w:val="24"/>
        </w:rPr>
        <w:lastRenderedPageBreak/>
        <w:t xml:space="preserve">Table </w:t>
      </w:r>
      <w:r w:rsidR="00250004">
        <w:rPr>
          <w:rFonts w:ascii="Cambria" w:hAnsi="Cambria"/>
          <w:i w:val="0"/>
          <w:iCs w:val="0"/>
          <w:color w:val="auto"/>
          <w:sz w:val="24"/>
          <w:szCs w:val="24"/>
        </w:rPr>
        <w:t>A</w:t>
      </w:r>
      <w:r w:rsidRPr="00A96364">
        <w:rPr>
          <w:rFonts w:ascii="Cambria" w:hAnsi="Cambria"/>
          <w:i w:val="0"/>
          <w:iCs w:val="0"/>
          <w:color w:val="auto"/>
          <w:sz w:val="24"/>
          <w:szCs w:val="24"/>
        </w:rPr>
        <w:t xml:space="preserve">1. </w:t>
      </w:r>
      <w:r w:rsidRPr="00A96364">
        <w:rPr>
          <w:rFonts w:ascii="Cambria" w:eastAsia="Times New Roman" w:hAnsi="Cambria" w:cs="Calibri"/>
          <w:i w:val="0"/>
          <w:iCs w:val="0"/>
          <w:color w:val="auto"/>
          <w:sz w:val="24"/>
          <w:szCs w:val="24"/>
          <w:lang w:val="en-GB" w:eastAsia="zh-CN"/>
        </w:rPr>
        <w:t>Justification and timeline of residential compulsory testing notices</w:t>
      </w:r>
      <w:r w:rsidR="00347119">
        <w:rPr>
          <w:rFonts w:ascii="Cambria" w:eastAsia="Times New Roman" w:hAnsi="Cambria" w:cs="Calibri"/>
          <w:i w:val="0"/>
          <w:iCs w:val="0"/>
          <w:color w:val="auto"/>
          <w:sz w:val="24"/>
          <w:szCs w:val="24"/>
          <w:lang w:val="en-GB" w:eastAsia="zh-CN"/>
        </w:rPr>
        <w:t xml:space="preserve"> in the fourth wave</w:t>
      </w:r>
      <w:r w:rsidRPr="00A96364">
        <w:rPr>
          <w:rFonts w:ascii="Cambria" w:eastAsia="Times New Roman" w:hAnsi="Cambria" w:cs="Calibri"/>
          <w:i w:val="0"/>
          <w:iCs w:val="0"/>
          <w:color w:val="auto"/>
          <w:sz w:val="24"/>
          <w:szCs w:val="24"/>
          <w:lang w:val="en-GB" w:eastAsia="zh-CN"/>
        </w:rPr>
        <w:t xml:space="preserve"> (</w:t>
      </w:r>
      <w:r w:rsidR="00940F19" w:rsidRPr="00A96364">
        <w:rPr>
          <w:rFonts w:ascii="Cambria" w:eastAsia="Times New Roman" w:hAnsi="Cambria" w:cs="Calibri"/>
          <w:i w:val="0"/>
          <w:iCs w:val="0"/>
          <w:color w:val="auto"/>
          <w:sz w:val="24"/>
          <w:szCs w:val="24"/>
          <w:lang w:val="en-GB" w:eastAsia="zh-CN"/>
        </w:rPr>
        <w:t>2</w:t>
      </w:r>
      <w:r w:rsidR="00940F19">
        <w:rPr>
          <w:rFonts w:ascii="Cambria" w:eastAsia="Times New Roman" w:hAnsi="Cambria" w:cs="Calibri"/>
          <w:i w:val="0"/>
          <w:iCs w:val="0"/>
          <w:color w:val="auto"/>
          <w:sz w:val="24"/>
          <w:szCs w:val="24"/>
          <w:lang w:val="en-GB" w:eastAsia="zh-CN"/>
        </w:rPr>
        <w:t xml:space="preserve">1 </w:t>
      </w:r>
      <w:r w:rsidRPr="00A96364">
        <w:rPr>
          <w:rFonts w:ascii="Cambria" w:eastAsia="Times New Roman" w:hAnsi="Cambria" w:cs="Calibri"/>
          <w:i w:val="0"/>
          <w:iCs w:val="0"/>
          <w:color w:val="auto"/>
          <w:sz w:val="24"/>
          <w:szCs w:val="24"/>
          <w:lang w:val="en-GB" w:eastAsia="zh-CN"/>
        </w:rPr>
        <w:t>November 2020</w:t>
      </w:r>
      <w:r w:rsidR="00940F19">
        <w:rPr>
          <w:rFonts w:ascii="Cambria" w:eastAsia="Times New Roman" w:hAnsi="Cambria" w:cs="Calibri"/>
          <w:i w:val="0"/>
          <w:iCs w:val="0"/>
          <w:color w:val="auto"/>
          <w:sz w:val="24"/>
          <w:szCs w:val="24"/>
          <w:lang w:val="en-GB" w:eastAsia="zh-CN"/>
        </w:rPr>
        <w:t xml:space="preserve"> –</w:t>
      </w:r>
      <w:r w:rsidRPr="00A96364">
        <w:rPr>
          <w:rFonts w:ascii="Cambria" w:eastAsia="Times New Roman" w:hAnsi="Cambria" w:cs="Calibri"/>
          <w:i w:val="0"/>
          <w:iCs w:val="0"/>
          <w:color w:val="auto"/>
          <w:sz w:val="24"/>
          <w:szCs w:val="24"/>
          <w:lang w:val="en-GB" w:eastAsia="zh-CN"/>
        </w:rPr>
        <w:t>23</w:t>
      </w:r>
      <w:r w:rsidR="00940F19">
        <w:rPr>
          <w:rFonts w:ascii="Cambria" w:eastAsia="Times New Roman" w:hAnsi="Cambria" w:cs="Calibri"/>
          <w:i w:val="0"/>
          <w:iCs w:val="0"/>
          <w:color w:val="auto"/>
          <w:sz w:val="24"/>
          <w:szCs w:val="24"/>
          <w:lang w:val="en-GB" w:eastAsia="zh-CN"/>
        </w:rPr>
        <w:t xml:space="preserve"> </w:t>
      </w:r>
      <w:r w:rsidRPr="00A96364">
        <w:rPr>
          <w:rFonts w:ascii="Cambria" w:eastAsia="Times New Roman" w:hAnsi="Cambria" w:cs="Calibri"/>
          <w:i w:val="0"/>
          <w:iCs w:val="0"/>
          <w:color w:val="auto"/>
          <w:sz w:val="24"/>
          <w:szCs w:val="24"/>
          <w:lang w:val="en-GB" w:eastAsia="zh-CN"/>
        </w:rPr>
        <w:t>April 2021)</w:t>
      </w:r>
    </w:p>
    <w:tbl>
      <w:tblPr>
        <w:tblW w:w="5501" w:type="pct"/>
        <w:jc w:val="center"/>
        <w:tblLook w:val="04A0" w:firstRow="1" w:lastRow="0" w:firstColumn="1" w:lastColumn="0" w:noHBand="0" w:noVBand="1"/>
      </w:tblPr>
      <w:tblGrid>
        <w:gridCol w:w="2329"/>
        <w:gridCol w:w="3167"/>
        <w:gridCol w:w="1264"/>
        <w:gridCol w:w="3408"/>
      </w:tblGrid>
      <w:tr w:rsidR="00506594" w:rsidRPr="00A96364" w14:paraId="4304A900" w14:textId="77777777" w:rsidTr="00506594">
        <w:trPr>
          <w:trHeight w:val="594"/>
          <w:jc w:val="center"/>
        </w:trPr>
        <w:tc>
          <w:tcPr>
            <w:tcW w:w="1308" w:type="pct"/>
            <w:tcBorders>
              <w:top w:val="single" w:sz="8" w:space="0" w:color="auto"/>
              <w:left w:val="nil"/>
              <w:bottom w:val="single" w:sz="8" w:space="0" w:color="auto"/>
              <w:right w:val="nil"/>
            </w:tcBorders>
            <w:vAlign w:val="bottom"/>
            <w:hideMark/>
          </w:tcPr>
          <w:p w14:paraId="0CF735A8" w14:textId="77777777" w:rsidR="00506594" w:rsidRPr="00A96364" w:rsidRDefault="00506594" w:rsidP="00CC7DC5">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Date of implementation or first notice observed</w:t>
            </w:r>
          </w:p>
        </w:tc>
        <w:tc>
          <w:tcPr>
            <w:tcW w:w="1720" w:type="pct"/>
            <w:tcBorders>
              <w:top w:val="single" w:sz="8" w:space="0" w:color="auto"/>
              <w:left w:val="nil"/>
              <w:bottom w:val="single" w:sz="8" w:space="0" w:color="auto"/>
              <w:right w:val="nil"/>
            </w:tcBorders>
            <w:vAlign w:val="bottom"/>
            <w:hideMark/>
          </w:tcPr>
          <w:p w14:paraId="02D238BD" w14:textId="77777777" w:rsidR="00506594" w:rsidRPr="00A96364" w:rsidRDefault="00506594" w:rsidP="00CC7DC5">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Trigger for compulsory testing notice</w:t>
            </w:r>
          </w:p>
        </w:tc>
        <w:tc>
          <w:tcPr>
            <w:tcW w:w="533" w:type="pct"/>
            <w:tcBorders>
              <w:top w:val="single" w:sz="8" w:space="0" w:color="auto"/>
              <w:left w:val="nil"/>
              <w:bottom w:val="single" w:sz="8" w:space="0" w:color="auto"/>
              <w:right w:val="nil"/>
            </w:tcBorders>
            <w:vAlign w:val="bottom"/>
            <w:hideMark/>
          </w:tcPr>
          <w:p w14:paraId="55D761CE" w14:textId="77777777" w:rsidR="00506594" w:rsidRPr="00A96364" w:rsidRDefault="00506594" w:rsidP="00CC7DC5">
            <w:pPr>
              <w:snapToGrid w:val="0"/>
              <w:spacing w:after="0" w:line="480" w:lineRule="auto"/>
              <w:jc w:val="right"/>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Buildings targeted</w:t>
            </w:r>
          </w:p>
        </w:tc>
        <w:tc>
          <w:tcPr>
            <w:tcW w:w="1439" w:type="pct"/>
            <w:tcBorders>
              <w:top w:val="single" w:sz="8" w:space="0" w:color="auto"/>
              <w:left w:val="nil"/>
              <w:bottom w:val="single" w:sz="8" w:space="0" w:color="auto"/>
              <w:right w:val="nil"/>
            </w:tcBorders>
            <w:vAlign w:val="bottom"/>
            <w:hideMark/>
          </w:tcPr>
          <w:p w14:paraId="42D0100D" w14:textId="77777777" w:rsidR="00506594" w:rsidRPr="00A96364" w:rsidRDefault="00506594" w:rsidP="00CC7DC5">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Grouped into</w:t>
            </w:r>
          </w:p>
        </w:tc>
      </w:tr>
      <w:tr w:rsidR="00506594" w:rsidRPr="00A96364" w14:paraId="37CFC887" w14:textId="77777777" w:rsidTr="00506594">
        <w:trPr>
          <w:trHeight w:val="493"/>
          <w:jc w:val="center"/>
        </w:trPr>
        <w:tc>
          <w:tcPr>
            <w:tcW w:w="1308" w:type="pct"/>
            <w:tcBorders>
              <w:top w:val="nil"/>
              <w:left w:val="nil"/>
              <w:bottom w:val="single" w:sz="4" w:space="0" w:color="auto"/>
              <w:right w:val="nil"/>
            </w:tcBorders>
            <w:vAlign w:val="bottom"/>
            <w:hideMark/>
          </w:tcPr>
          <w:p w14:paraId="24D43C85"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21 November 2020 </w:t>
            </w:r>
          </w:p>
        </w:tc>
        <w:tc>
          <w:tcPr>
            <w:tcW w:w="1720" w:type="pct"/>
            <w:tcBorders>
              <w:top w:val="nil"/>
              <w:left w:val="nil"/>
              <w:bottom w:val="single" w:sz="4" w:space="0" w:color="auto"/>
              <w:right w:val="nil"/>
            </w:tcBorders>
            <w:vAlign w:val="bottom"/>
            <w:hideMark/>
          </w:tcPr>
          <w:p w14:paraId="7D2273C8"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Confirmed cases not epidemiologically traceable to each other found in certain places within a short period of time </w:t>
            </w:r>
          </w:p>
        </w:tc>
        <w:tc>
          <w:tcPr>
            <w:tcW w:w="533" w:type="pct"/>
            <w:tcBorders>
              <w:top w:val="nil"/>
              <w:left w:val="nil"/>
              <w:bottom w:val="single" w:sz="4" w:space="0" w:color="auto"/>
              <w:right w:val="nil"/>
            </w:tcBorders>
            <w:noWrap/>
            <w:vAlign w:val="bottom"/>
            <w:hideMark/>
          </w:tcPr>
          <w:p w14:paraId="2DC0CC13"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22</w:t>
            </w:r>
          </w:p>
        </w:tc>
        <w:tc>
          <w:tcPr>
            <w:tcW w:w="1439" w:type="pct"/>
            <w:tcBorders>
              <w:top w:val="nil"/>
              <w:left w:val="nil"/>
              <w:bottom w:val="single" w:sz="4" w:space="0" w:color="auto"/>
              <w:right w:val="nil"/>
            </w:tcBorders>
            <w:noWrap/>
            <w:vAlign w:val="bottom"/>
            <w:hideMark/>
          </w:tcPr>
          <w:p w14:paraId="5861B7AA"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506594" w:rsidRPr="00A96364" w14:paraId="0119693B" w14:textId="77777777" w:rsidTr="00506594">
        <w:trPr>
          <w:trHeight w:val="292"/>
          <w:jc w:val="center"/>
        </w:trPr>
        <w:tc>
          <w:tcPr>
            <w:tcW w:w="1308" w:type="pct"/>
            <w:tcBorders>
              <w:top w:val="nil"/>
              <w:left w:val="nil"/>
              <w:bottom w:val="single" w:sz="4" w:space="0" w:color="auto"/>
              <w:right w:val="nil"/>
            </w:tcBorders>
            <w:vAlign w:val="bottom"/>
            <w:hideMark/>
          </w:tcPr>
          <w:p w14:paraId="394CBFBB"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28 December 2020 (first observed) </w:t>
            </w:r>
          </w:p>
        </w:tc>
        <w:tc>
          <w:tcPr>
            <w:tcW w:w="1720" w:type="pct"/>
            <w:tcBorders>
              <w:top w:val="nil"/>
              <w:left w:val="nil"/>
              <w:bottom w:val="single" w:sz="4" w:space="0" w:color="auto"/>
              <w:right w:val="nil"/>
            </w:tcBorders>
            <w:vAlign w:val="bottom"/>
            <w:hideMark/>
          </w:tcPr>
          <w:p w14:paraId="506436DC"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Building sewage samples testing positive</w:t>
            </w:r>
          </w:p>
        </w:tc>
        <w:tc>
          <w:tcPr>
            <w:tcW w:w="533" w:type="pct"/>
            <w:tcBorders>
              <w:top w:val="nil"/>
              <w:left w:val="nil"/>
              <w:bottom w:val="single" w:sz="4" w:space="0" w:color="auto"/>
              <w:right w:val="nil"/>
            </w:tcBorders>
            <w:noWrap/>
            <w:vAlign w:val="bottom"/>
            <w:hideMark/>
          </w:tcPr>
          <w:p w14:paraId="2F996C2A"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118</w:t>
            </w:r>
          </w:p>
        </w:tc>
        <w:tc>
          <w:tcPr>
            <w:tcW w:w="1439" w:type="pct"/>
            <w:tcBorders>
              <w:top w:val="nil"/>
              <w:left w:val="nil"/>
              <w:bottom w:val="single" w:sz="4" w:space="0" w:color="auto"/>
              <w:right w:val="nil"/>
            </w:tcBorders>
            <w:noWrap/>
            <w:vAlign w:val="bottom"/>
            <w:hideMark/>
          </w:tcPr>
          <w:p w14:paraId="2BD763B9"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Positive sewage samples</w:t>
            </w:r>
          </w:p>
        </w:tc>
      </w:tr>
      <w:tr w:rsidR="00506594" w:rsidRPr="00A96364" w14:paraId="0CA8625F" w14:textId="77777777" w:rsidTr="00506594">
        <w:trPr>
          <w:trHeight w:val="493"/>
          <w:jc w:val="center"/>
        </w:trPr>
        <w:tc>
          <w:tcPr>
            <w:tcW w:w="1308" w:type="pct"/>
            <w:tcBorders>
              <w:top w:val="nil"/>
              <w:left w:val="nil"/>
              <w:bottom w:val="single" w:sz="4" w:space="0" w:color="auto"/>
              <w:right w:val="nil"/>
            </w:tcBorders>
            <w:vAlign w:val="bottom"/>
            <w:hideMark/>
          </w:tcPr>
          <w:p w14:paraId="46E6B8AD"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30 December 2020 </w:t>
            </w:r>
          </w:p>
        </w:tc>
        <w:tc>
          <w:tcPr>
            <w:tcW w:w="1720" w:type="pct"/>
            <w:tcBorders>
              <w:top w:val="nil"/>
              <w:left w:val="nil"/>
              <w:bottom w:val="single" w:sz="4" w:space="0" w:color="auto"/>
              <w:right w:val="nil"/>
            </w:tcBorders>
            <w:vAlign w:val="bottom"/>
            <w:hideMark/>
          </w:tcPr>
          <w:p w14:paraId="1C47A030"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not epidemiologically traceable to each other found in two or more units in the same building in the past 14 days</w:t>
            </w:r>
          </w:p>
        </w:tc>
        <w:tc>
          <w:tcPr>
            <w:tcW w:w="533" w:type="pct"/>
            <w:tcBorders>
              <w:top w:val="nil"/>
              <w:left w:val="nil"/>
              <w:bottom w:val="single" w:sz="4" w:space="0" w:color="auto"/>
              <w:right w:val="nil"/>
            </w:tcBorders>
            <w:noWrap/>
            <w:vAlign w:val="bottom"/>
            <w:hideMark/>
          </w:tcPr>
          <w:p w14:paraId="02D9207E"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113</w:t>
            </w:r>
          </w:p>
        </w:tc>
        <w:tc>
          <w:tcPr>
            <w:tcW w:w="1439" w:type="pct"/>
            <w:tcBorders>
              <w:top w:val="nil"/>
              <w:left w:val="nil"/>
              <w:bottom w:val="single" w:sz="4" w:space="0" w:color="auto"/>
              <w:right w:val="nil"/>
            </w:tcBorders>
            <w:noWrap/>
            <w:vAlign w:val="bottom"/>
            <w:hideMark/>
          </w:tcPr>
          <w:p w14:paraId="5EC02716"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506594" w:rsidRPr="00A96364" w14:paraId="56ACA495" w14:textId="77777777" w:rsidTr="00506594">
        <w:trPr>
          <w:trHeight w:val="226"/>
          <w:jc w:val="center"/>
        </w:trPr>
        <w:tc>
          <w:tcPr>
            <w:tcW w:w="1308" w:type="pct"/>
            <w:tcBorders>
              <w:top w:val="nil"/>
              <w:left w:val="nil"/>
              <w:bottom w:val="single" w:sz="4" w:space="0" w:color="auto"/>
              <w:right w:val="nil"/>
            </w:tcBorders>
            <w:vAlign w:val="bottom"/>
            <w:hideMark/>
          </w:tcPr>
          <w:p w14:paraId="32D285CB"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12 January 2021 (first observed)</w:t>
            </w:r>
          </w:p>
        </w:tc>
        <w:tc>
          <w:tcPr>
            <w:tcW w:w="1720" w:type="pct"/>
            <w:tcBorders>
              <w:top w:val="nil"/>
              <w:left w:val="nil"/>
              <w:bottom w:val="single" w:sz="4" w:space="0" w:color="auto"/>
              <w:right w:val="nil"/>
            </w:tcBorders>
            <w:vAlign w:val="bottom"/>
            <w:hideMark/>
          </w:tcPr>
          <w:p w14:paraId="516387D3"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Confirmed cases in the area, neighbouring </w:t>
            </w:r>
            <w:proofErr w:type="gramStart"/>
            <w:r w:rsidRPr="00A96364">
              <w:rPr>
                <w:rFonts w:ascii="Cambria" w:eastAsia="Times New Roman" w:hAnsi="Cambria" w:cs="Calibri"/>
                <w:color w:val="000000"/>
                <w:sz w:val="24"/>
                <w:szCs w:val="24"/>
                <w:lang w:val="en-GB" w:eastAsia="zh-CN"/>
              </w:rPr>
              <w:t>blocks</w:t>
            </w:r>
            <w:proofErr w:type="gramEnd"/>
            <w:r w:rsidRPr="00A96364">
              <w:rPr>
                <w:rFonts w:ascii="Cambria" w:eastAsia="Times New Roman" w:hAnsi="Cambria" w:cs="Calibri"/>
                <w:color w:val="000000"/>
                <w:sz w:val="24"/>
                <w:szCs w:val="24"/>
                <w:lang w:val="en-GB" w:eastAsia="zh-CN"/>
              </w:rPr>
              <w:t xml:space="preserve"> or district</w:t>
            </w:r>
          </w:p>
        </w:tc>
        <w:tc>
          <w:tcPr>
            <w:tcW w:w="533" w:type="pct"/>
            <w:tcBorders>
              <w:top w:val="nil"/>
              <w:left w:val="nil"/>
              <w:bottom w:val="single" w:sz="4" w:space="0" w:color="auto"/>
              <w:right w:val="nil"/>
            </w:tcBorders>
            <w:noWrap/>
            <w:vAlign w:val="bottom"/>
            <w:hideMark/>
          </w:tcPr>
          <w:p w14:paraId="725E83A3"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15</w:t>
            </w:r>
          </w:p>
        </w:tc>
        <w:tc>
          <w:tcPr>
            <w:tcW w:w="1439" w:type="pct"/>
            <w:tcBorders>
              <w:top w:val="nil"/>
              <w:left w:val="nil"/>
              <w:bottom w:val="single" w:sz="4" w:space="0" w:color="auto"/>
              <w:right w:val="nil"/>
            </w:tcBorders>
            <w:noWrap/>
            <w:vAlign w:val="bottom"/>
            <w:hideMark/>
          </w:tcPr>
          <w:p w14:paraId="2EED0A30"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Excluded</w:t>
            </w:r>
          </w:p>
        </w:tc>
      </w:tr>
      <w:tr w:rsidR="00506594" w:rsidRPr="00A96364" w14:paraId="69643296" w14:textId="77777777" w:rsidTr="00506594">
        <w:trPr>
          <w:trHeight w:val="292"/>
          <w:jc w:val="center"/>
        </w:trPr>
        <w:tc>
          <w:tcPr>
            <w:tcW w:w="1308" w:type="pct"/>
            <w:tcBorders>
              <w:top w:val="nil"/>
              <w:left w:val="nil"/>
              <w:bottom w:val="single" w:sz="4" w:space="0" w:color="auto"/>
              <w:right w:val="nil"/>
            </w:tcBorders>
            <w:vAlign w:val="bottom"/>
            <w:hideMark/>
          </w:tcPr>
          <w:p w14:paraId="3832DD78"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20 January 2021</w:t>
            </w:r>
          </w:p>
        </w:tc>
        <w:tc>
          <w:tcPr>
            <w:tcW w:w="1720" w:type="pct"/>
            <w:tcBorders>
              <w:top w:val="nil"/>
              <w:left w:val="nil"/>
              <w:bottom w:val="single" w:sz="4" w:space="0" w:color="auto"/>
              <w:right w:val="nil"/>
            </w:tcBorders>
            <w:vAlign w:val="bottom"/>
            <w:hideMark/>
          </w:tcPr>
          <w:p w14:paraId="1267094E"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Within a specific area, confirmed case(s) found in a unit in the past 14 days</w:t>
            </w:r>
          </w:p>
        </w:tc>
        <w:tc>
          <w:tcPr>
            <w:tcW w:w="533" w:type="pct"/>
            <w:tcBorders>
              <w:top w:val="nil"/>
              <w:left w:val="nil"/>
              <w:bottom w:val="single" w:sz="4" w:space="0" w:color="auto"/>
              <w:right w:val="nil"/>
            </w:tcBorders>
            <w:noWrap/>
            <w:vAlign w:val="bottom"/>
            <w:hideMark/>
          </w:tcPr>
          <w:p w14:paraId="15DCBE78"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66</w:t>
            </w:r>
          </w:p>
        </w:tc>
        <w:tc>
          <w:tcPr>
            <w:tcW w:w="1439" w:type="pct"/>
            <w:tcBorders>
              <w:top w:val="nil"/>
              <w:left w:val="nil"/>
              <w:bottom w:val="single" w:sz="4" w:space="0" w:color="auto"/>
              <w:right w:val="nil"/>
            </w:tcBorders>
            <w:noWrap/>
            <w:vAlign w:val="bottom"/>
            <w:hideMark/>
          </w:tcPr>
          <w:p w14:paraId="5083BFDC"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506594" w:rsidRPr="00A96364" w14:paraId="31D46D65" w14:textId="77777777" w:rsidTr="00506594">
        <w:trPr>
          <w:trHeight w:val="493"/>
          <w:jc w:val="center"/>
        </w:trPr>
        <w:tc>
          <w:tcPr>
            <w:tcW w:w="1308" w:type="pct"/>
            <w:tcBorders>
              <w:top w:val="nil"/>
              <w:left w:val="nil"/>
              <w:bottom w:val="single" w:sz="4" w:space="0" w:color="auto"/>
              <w:right w:val="nil"/>
            </w:tcBorders>
            <w:vAlign w:val="bottom"/>
            <w:hideMark/>
          </w:tcPr>
          <w:p w14:paraId="43F59243"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lastRenderedPageBreak/>
              <w:t>20 January 2021</w:t>
            </w:r>
          </w:p>
        </w:tc>
        <w:tc>
          <w:tcPr>
            <w:tcW w:w="1720" w:type="pct"/>
            <w:tcBorders>
              <w:top w:val="nil"/>
              <w:left w:val="nil"/>
              <w:bottom w:val="single" w:sz="4" w:space="0" w:color="auto"/>
              <w:right w:val="nil"/>
            </w:tcBorders>
            <w:vAlign w:val="bottom"/>
            <w:hideMark/>
          </w:tcPr>
          <w:p w14:paraId="3EF8F227"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Where no confirmed case was found but the sewage samples were constantly tested positive</w:t>
            </w:r>
          </w:p>
        </w:tc>
        <w:tc>
          <w:tcPr>
            <w:tcW w:w="533" w:type="pct"/>
            <w:tcBorders>
              <w:top w:val="nil"/>
              <w:left w:val="nil"/>
              <w:bottom w:val="single" w:sz="4" w:space="0" w:color="auto"/>
              <w:right w:val="nil"/>
            </w:tcBorders>
            <w:noWrap/>
            <w:vAlign w:val="bottom"/>
            <w:hideMark/>
          </w:tcPr>
          <w:p w14:paraId="6F6E8587"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114</w:t>
            </w:r>
          </w:p>
        </w:tc>
        <w:tc>
          <w:tcPr>
            <w:tcW w:w="1439" w:type="pct"/>
            <w:tcBorders>
              <w:top w:val="nil"/>
              <w:left w:val="nil"/>
              <w:bottom w:val="single" w:sz="4" w:space="0" w:color="auto"/>
              <w:right w:val="nil"/>
            </w:tcBorders>
            <w:noWrap/>
            <w:vAlign w:val="bottom"/>
            <w:hideMark/>
          </w:tcPr>
          <w:p w14:paraId="7E057131"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Positive sewage samples</w:t>
            </w:r>
          </w:p>
        </w:tc>
      </w:tr>
      <w:tr w:rsidR="00506594" w:rsidRPr="00A96364" w14:paraId="14364FD3" w14:textId="77777777" w:rsidTr="00506594">
        <w:trPr>
          <w:trHeight w:val="493"/>
          <w:jc w:val="center"/>
        </w:trPr>
        <w:tc>
          <w:tcPr>
            <w:tcW w:w="1308" w:type="pct"/>
            <w:tcBorders>
              <w:top w:val="nil"/>
              <w:left w:val="nil"/>
              <w:bottom w:val="single" w:sz="4" w:space="0" w:color="auto"/>
              <w:right w:val="nil"/>
            </w:tcBorders>
            <w:vAlign w:val="bottom"/>
            <w:hideMark/>
          </w:tcPr>
          <w:p w14:paraId="3D759AA0"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20 January 2021</w:t>
            </w:r>
          </w:p>
        </w:tc>
        <w:tc>
          <w:tcPr>
            <w:tcW w:w="1720" w:type="pct"/>
            <w:tcBorders>
              <w:top w:val="nil"/>
              <w:left w:val="nil"/>
              <w:bottom w:val="single" w:sz="4" w:space="0" w:color="auto"/>
              <w:right w:val="nil"/>
            </w:tcBorders>
            <w:vAlign w:val="bottom"/>
            <w:hideMark/>
          </w:tcPr>
          <w:p w14:paraId="63B9CB48"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High number of cases within area, and positive sewage samples, along with older and subdivided buildings. Deemed a high transmission risk area. All buildings and structures included, regardless of whether confirmed cases were found</w:t>
            </w:r>
          </w:p>
        </w:tc>
        <w:tc>
          <w:tcPr>
            <w:tcW w:w="533" w:type="pct"/>
            <w:tcBorders>
              <w:top w:val="nil"/>
              <w:left w:val="nil"/>
              <w:bottom w:val="single" w:sz="4" w:space="0" w:color="auto"/>
              <w:right w:val="nil"/>
            </w:tcBorders>
            <w:noWrap/>
            <w:vAlign w:val="bottom"/>
            <w:hideMark/>
          </w:tcPr>
          <w:p w14:paraId="69B87D38"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82</w:t>
            </w:r>
          </w:p>
        </w:tc>
        <w:tc>
          <w:tcPr>
            <w:tcW w:w="1439" w:type="pct"/>
            <w:tcBorders>
              <w:top w:val="nil"/>
              <w:left w:val="nil"/>
              <w:bottom w:val="single" w:sz="4" w:space="0" w:color="auto"/>
              <w:right w:val="nil"/>
            </w:tcBorders>
            <w:noWrap/>
            <w:vAlign w:val="bottom"/>
            <w:hideMark/>
          </w:tcPr>
          <w:p w14:paraId="65A8B50B"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Excluded</w:t>
            </w:r>
          </w:p>
        </w:tc>
      </w:tr>
      <w:tr w:rsidR="00506594" w:rsidRPr="00A96364" w14:paraId="6600C093" w14:textId="77777777" w:rsidTr="00506594">
        <w:trPr>
          <w:trHeight w:val="493"/>
          <w:jc w:val="center"/>
        </w:trPr>
        <w:tc>
          <w:tcPr>
            <w:tcW w:w="1308" w:type="pct"/>
            <w:tcBorders>
              <w:top w:val="nil"/>
              <w:left w:val="nil"/>
              <w:bottom w:val="single" w:sz="4" w:space="0" w:color="auto"/>
              <w:right w:val="nil"/>
            </w:tcBorders>
            <w:vAlign w:val="bottom"/>
            <w:hideMark/>
          </w:tcPr>
          <w:p w14:paraId="02A1098E"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23 January 2021</w:t>
            </w:r>
          </w:p>
        </w:tc>
        <w:tc>
          <w:tcPr>
            <w:tcW w:w="1720" w:type="pct"/>
            <w:tcBorders>
              <w:top w:val="nil"/>
              <w:left w:val="nil"/>
              <w:bottom w:val="single" w:sz="4" w:space="0" w:color="auto"/>
              <w:right w:val="nil"/>
            </w:tcBorders>
            <w:vAlign w:val="bottom"/>
            <w:hideMark/>
          </w:tcPr>
          <w:p w14:paraId="76F82D07"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All residents in buildings within designated "restricted-area" are required to stay in their premises and undergo compulsory testing</w:t>
            </w:r>
          </w:p>
        </w:tc>
        <w:tc>
          <w:tcPr>
            <w:tcW w:w="533" w:type="pct"/>
            <w:tcBorders>
              <w:top w:val="nil"/>
              <w:left w:val="nil"/>
              <w:bottom w:val="single" w:sz="4" w:space="0" w:color="auto"/>
              <w:right w:val="nil"/>
            </w:tcBorders>
            <w:noWrap/>
            <w:vAlign w:val="bottom"/>
            <w:hideMark/>
          </w:tcPr>
          <w:p w14:paraId="29E45856"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318</w:t>
            </w:r>
          </w:p>
        </w:tc>
        <w:tc>
          <w:tcPr>
            <w:tcW w:w="1439" w:type="pct"/>
            <w:tcBorders>
              <w:top w:val="nil"/>
              <w:left w:val="nil"/>
              <w:bottom w:val="single" w:sz="4" w:space="0" w:color="auto"/>
              <w:right w:val="nil"/>
            </w:tcBorders>
            <w:noWrap/>
            <w:vAlign w:val="bottom"/>
            <w:hideMark/>
          </w:tcPr>
          <w:p w14:paraId="381DB049"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Ambush lockdowns</w:t>
            </w:r>
          </w:p>
        </w:tc>
      </w:tr>
      <w:tr w:rsidR="00506594" w:rsidRPr="00A96364" w14:paraId="5493BD69" w14:textId="77777777" w:rsidTr="00506594">
        <w:trPr>
          <w:trHeight w:val="292"/>
          <w:jc w:val="center"/>
        </w:trPr>
        <w:tc>
          <w:tcPr>
            <w:tcW w:w="1308" w:type="pct"/>
            <w:tcBorders>
              <w:top w:val="nil"/>
              <w:left w:val="nil"/>
              <w:bottom w:val="single" w:sz="4" w:space="0" w:color="auto"/>
              <w:right w:val="nil"/>
            </w:tcBorders>
            <w:vAlign w:val="bottom"/>
            <w:hideMark/>
          </w:tcPr>
          <w:p w14:paraId="45E8C25C"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23 January 2021 (first observed)</w:t>
            </w:r>
          </w:p>
        </w:tc>
        <w:tc>
          <w:tcPr>
            <w:tcW w:w="1720" w:type="pct"/>
            <w:tcBorders>
              <w:top w:val="nil"/>
              <w:left w:val="nil"/>
              <w:bottom w:val="single" w:sz="4" w:space="0" w:color="auto"/>
              <w:right w:val="nil"/>
            </w:tcBorders>
            <w:vAlign w:val="bottom"/>
            <w:hideMark/>
          </w:tcPr>
          <w:p w14:paraId="0D752009"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Buildings with one or more new confirmed cases or sewage samples tested positive</w:t>
            </w:r>
          </w:p>
        </w:tc>
        <w:tc>
          <w:tcPr>
            <w:tcW w:w="533" w:type="pct"/>
            <w:tcBorders>
              <w:top w:val="nil"/>
              <w:left w:val="nil"/>
              <w:bottom w:val="single" w:sz="4" w:space="0" w:color="auto"/>
              <w:right w:val="nil"/>
            </w:tcBorders>
            <w:noWrap/>
            <w:vAlign w:val="bottom"/>
            <w:hideMark/>
          </w:tcPr>
          <w:p w14:paraId="615AC03A"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9</w:t>
            </w:r>
          </w:p>
        </w:tc>
        <w:tc>
          <w:tcPr>
            <w:tcW w:w="1439" w:type="pct"/>
            <w:tcBorders>
              <w:top w:val="nil"/>
              <w:left w:val="nil"/>
              <w:bottom w:val="single" w:sz="4" w:space="0" w:color="auto"/>
              <w:right w:val="nil"/>
            </w:tcBorders>
            <w:noWrap/>
            <w:vAlign w:val="bottom"/>
            <w:hideMark/>
          </w:tcPr>
          <w:p w14:paraId="718D4B6E"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Excluded</w:t>
            </w:r>
          </w:p>
        </w:tc>
      </w:tr>
      <w:tr w:rsidR="00506594" w:rsidRPr="00A96364" w14:paraId="0ABBC19A" w14:textId="77777777" w:rsidTr="00506594">
        <w:trPr>
          <w:trHeight w:val="584"/>
          <w:jc w:val="center"/>
        </w:trPr>
        <w:tc>
          <w:tcPr>
            <w:tcW w:w="1308" w:type="pct"/>
            <w:tcBorders>
              <w:top w:val="nil"/>
              <w:left w:val="nil"/>
              <w:bottom w:val="single" w:sz="4" w:space="0" w:color="auto"/>
              <w:right w:val="nil"/>
            </w:tcBorders>
            <w:vAlign w:val="bottom"/>
            <w:hideMark/>
          </w:tcPr>
          <w:p w14:paraId="42D64820"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24 January 2021 </w:t>
            </w:r>
            <w:r w:rsidRPr="00A96364">
              <w:rPr>
                <w:rFonts w:ascii="Cambria" w:eastAsia="Times New Roman" w:hAnsi="Cambria" w:cs="Calibri"/>
                <w:color w:val="000000"/>
                <w:sz w:val="24"/>
                <w:szCs w:val="24"/>
                <w:lang w:val="en-GB" w:eastAsia="zh-CN"/>
              </w:rPr>
              <w:lastRenderedPageBreak/>
              <w:t>(first observed)</w:t>
            </w:r>
          </w:p>
        </w:tc>
        <w:tc>
          <w:tcPr>
            <w:tcW w:w="1720" w:type="pct"/>
            <w:tcBorders>
              <w:top w:val="nil"/>
              <w:left w:val="nil"/>
              <w:bottom w:val="single" w:sz="4" w:space="0" w:color="auto"/>
              <w:right w:val="nil"/>
            </w:tcBorders>
            <w:vAlign w:val="bottom"/>
            <w:hideMark/>
          </w:tcPr>
          <w:p w14:paraId="3199CB71"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lastRenderedPageBreak/>
              <w:t xml:space="preserve">Building under sequential </w:t>
            </w:r>
            <w:r w:rsidRPr="00A96364">
              <w:rPr>
                <w:rFonts w:ascii="Cambria" w:eastAsia="Times New Roman" w:hAnsi="Cambria" w:cs="Calibri"/>
                <w:color w:val="000000"/>
                <w:sz w:val="24"/>
                <w:szCs w:val="24"/>
                <w:lang w:val="en-GB" w:eastAsia="zh-CN"/>
              </w:rPr>
              <w:lastRenderedPageBreak/>
              <w:t>testing (follow-up testing)</w:t>
            </w:r>
          </w:p>
        </w:tc>
        <w:tc>
          <w:tcPr>
            <w:tcW w:w="533" w:type="pct"/>
            <w:tcBorders>
              <w:top w:val="nil"/>
              <w:left w:val="nil"/>
              <w:bottom w:val="single" w:sz="4" w:space="0" w:color="auto"/>
              <w:right w:val="nil"/>
            </w:tcBorders>
            <w:noWrap/>
            <w:vAlign w:val="bottom"/>
            <w:hideMark/>
          </w:tcPr>
          <w:p w14:paraId="741E8364"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lastRenderedPageBreak/>
              <w:t>9</w:t>
            </w:r>
          </w:p>
        </w:tc>
        <w:tc>
          <w:tcPr>
            <w:tcW w:w="1439" w:type="pct"/>
            <w:tcBorders>
              <w:top w:val="nil"/>
              <w:left w:val="nil"/>
              <w:bottom w:val="single" w:sz="4" w:space="0" w:color="auto"/>
              <w:right w:val="nil"/>
            </w:tcBorders>
            <w:noWrap/>
            <w:vAlign w:val="bottom"/>
            <w:hideMark/>
          </w:tcPr>
          <w:p w14:paraId="51A38F42"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Excluded</w:t>
            </w:r>
          </w:p>
        </w:tc>
      </w:tr>
      <w:tr w:rsidR="00506594" w:rsidRPr="00A96364" w14:paraId="3B80AD89" w14:textId="77777777" w:rsidTr="00506594">
        <w:trPr>
          <w:trHeight w:val="302"/>
          <w:jc w:val="center"/>
        </w:trPr>
        <w:tc>
          <w:tcPr>
            <w:tcW w:w="1308" w:type="pct"/>
            <w:tcBorders>
              <w:top w:val="nil"/>
              <w:left w:val="nil"/>
              <w:bottom w:val="single" w:sz="4" w:space="0" w:color="auto"/>
              <w:right w:val="nil"/>
            </w:tcBorders>
            <w:vAlign w:val="bottom"/>
            <w:hideMark/>
          </w:tcPr>
          <w:p w14:paraId="5FFEF6A1"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 February 2021</w:t>
            </w:r>
          </w:p>
        </w:tc>
        <w:tc>
          <w:tcPr>
            <w:tcW w:w="1720" w:type="pct"/>
            <w:tcBorders>
              <w:top w:val="nil"/>
              <w:left w:val="nil"/>
              <w:bottom w:val="single" w:sz="4" w:space="0" w:color="auto"/>
              <w:right w:val="nil"/>
            </w:tcBorders>
            <w:vAlign w:val="bottom"/>
            <w:hideMark/>
          </w:tcPr>
          <w:p w14:paraId="5348557B"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New confirmed case(s) with unknown sources found in the residential building</w:t>
            </w:r>
          </w:p>
        </w:tc>
        <w:tc>
          <w:tcPr>
            <w:tcW w:w="533" w:type="pct"/>
            <w:tcBorders>
              <w:top w:val="nil"/>
              <w:left w:val="nil"/>
              <w:bottom w:val="single" w:sz="4" w:space="0" w:color="auto"/>
              <w:right w:val="nil"/>
            </w:tcBorders>
            <w:noWrap/>
            <w:vAlign w:val="bottom"/>
            <w:hideMark/>
          </w:tcPr>
          <w:p w14:paraId="1904251B"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33</w:t>
            </w:r>
          </w:p>
        </w:tc>
        <w:tc>
          <w:tcPr>
            <w:tcW w:w="1439" w:type="pct"/>
            <w:tcBorders>
              <w:top w:val="nil"/>
              <w:left w:val="nil"/>
              <w:bottom w:val="single" w:sz="4" w:space="0" w:color="auto"/>
              <w:right w:val="nil"/>
            </w:tcBorders>
            <w:noWrap/>
            <w:vAlign w:val="bottom"/>
            <w:hideMark/>
          </w:tcPr>
          <w:p w14:paraId="4F1032FB"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506594" w:rsidRPr="00A96364" w14:paraId="1C7B14F0" w14:textId="77777777" w:rsidTr="00506594">
        <w:trPr>
          <w:trHeight w:val="302"/>
          <w:jc w:val="center"/>
        </w:trPr>
        <w:tc>
          <w:tcPr>
            <w:tcW w:w="1308" w:type="pct"/>
            <w:tcBorders>
              <w:top w:val="nil"/>
              <w:left w:val="nil"/>
              <w:bottom w:val="single" w:sz="4" w:space="0" w:color="auto"/>
              <w:right w:val="nil"/>
            </w:tcBorders>
            <w:vAlign w:val="bottom"/>
            <w:hideMark/>
          </w:tcPr>
          <w:p w14:paraId="528E3F41"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1 February 2021 (first observed)</w:t>
            </w:r>
          </w:p>
        </w:tc>
        <w:tc>
          <w:tcPr>
            <w:tcW w:w="1720" w:type="pct"/>
            <w:tcBorders>
              <w:top w:val="nil"/>
              <w:left w:val="nil"/>
              <w:bottom w:val="single" w:sz="4" w:space="0" w:color="auto"/>
              <w:right w:val="nil"/>
            </w:tcBorders>
            <w:vAlign w:val="bottom"/>
            <w:hideMark/>
          </w:tcPr>
          <w:p w14:paraId="361D7C54"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Other</w:t>
            </w:r>
          </w:p>
        </w:tc>
        <w:tc>
          <w:tcPr>
            <w:tcW w:w="533" w:type="pct"/>
            <w:tcBorders>
              <w:top w:val="nil"/>
              <w:left w:val="nil"/>
              <w:bottom w:val="single" w:sz="4" w:space="0" w:color="auto"/>
              <w:right w:val="nil"/>
            </w:tcBorders>
            <w:noWrap/>
            <w:vAlign w:val="bottom"/>
            <w:hideMark/>
          </w:tcPr>
          <w:p w14:paraId="24376295"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7</w:t>
            </w:r>
          </w:p>
        </w:tc>
        <w:tc>
          <w:tcPr>
            <w:tcW w:w="1439" w:type="pct"/>
            <w:tcBorders>
              <w:top w:val="nil"/>
              <w:left w:val="nil"/>
              <w:bottom w:val="single" w:sz="4" w:space="0" w:color="auto"/>
              <w:right w:val="nil"/>
            </w:tcBorders>
            <w:noWrap/>
            <w:vAlign w:val="bottom"/>
            <w:hideMark/>
          </w:tcPr>
          <w:p w14:paraId="7BCDAD37"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Excluded</w:t>
            </w:r>
          </w:p>
        </w:tc>
      </w:tr>
      <w:tr w:rsidR="00506594" w:rsidRPr="00A96364" w14:paraId="5BEDEFB1" w14:textId="77777777" w:rsidTr="00506594">
        <w:trPr>
          <w:trHeight w:val="302"/>
          <w:jc w:val="center"/>
        </w:trPr>
        <w:tc>
          <w:tcPr>
            <w:tcW w:w="1308" w:type="pct"/>
            <w:tcBorders>
              <w:top w:val="nil"/>
              <w:left w:val="nil"/>
              <w:bottom w:val="single" w:sz="4" w:space="0" w:color="auto"/>
              <w:right w:val="nil"/>
            </w:tcBorders>
            <w:vAlign w:val="bottom"/>
            <w:hideMark/>
          </w:tcPr>
          <w:p w14:paraId="38DEFBB4"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6 February 2021</w:t>
            </w:r>
          </w:p>
        </w:tc>
        <w:tc>
          <w:tcPr>
            <w:tcW w:w="1720" w:type="pct"/>
            <w:tcBorders>
              <w:top w:val="nil"/>
              <w:left w:val="nil"/>
              <w:bottom w:val="single" w:sz="4" w:space="0" w:color="auto"/>
              <w:right w:val="nil"/>
            </w:tcBorders>
            <w:vAlign w:val="bottom"/>
            <w:hideMark/>
          </w:tcPr>
          <w:p w14:paraId="5D6AEAED"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New confirmed case(s) found in the residential buildings</w:t>
            </w:r>
          </w:p>
        </w:tc>
        <w:tc>
          <w:tcPr>
            <w:tcW w:w="533" w:type="pct"/>
            <w:tcBorders>
              <w:top w:val="nil"/>
              <w:left w:val="nil"/>
              <w:bottom w:val="single" w:sz="4" w:space="0" w:color="auto"/>
              <w:right w:val="nil"/>
            </w:tcBorders>
            <w:noWrap/>
            <w:vAlign w:val="bottom"/>
            <w:hideMark/>
          </w:tcPr>
          <w:p w14:paraId="69C36B53" w14:textId="77777777" w:rsidR="00506594" w:rsidRPr="00A96364" w:rsidRDefault="00506594" w:rsidP="00CC7DC5">
            <w:pPr>
              <w:snapToGrid w:val="0"/>
              <w:spacing w:after="0" w:line="480" w:lineRule="auto"/>
              <w:jc w:val="right"/>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428</w:t>
            </w:r>
          </w:p>
        </w:tc>
        <w:tc>
          <w:tcPr>
            <w:tcW w:w="1439" w:type="pct"/>
            <w:tcBorders>
              <w:top w:val="nil"/>
              <w:left w:val="nil"/>
              <w:bottom w:val="single" w:sz="4" w:space="0" w:color="auto"/>
              <w:right w:val="nil"/>
            </w:tcBorders>
            <w:noWrap/>
            <w:vAlign w:val="bottom"/>
            <w:hideMark/>
          </w:tcPr>
          <w:p w14:paraId="08F93835" w14:textId="77777777" w:rsidR="00506594" w:rsidRPr="00A96364" w:rsidRDefault="00506594" w:rsidP="00CC7DC5">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bl>
    <w:p w14:paraId="16A336D7" w14:textId="167F4E4D" w:rsidR="0002380B" w:rsidRDefault="0002380B" w:rsidP="00CC7DC5">
      <w:pPr>
        <w:spacing w:line="480" w:lineRule="auto"/>
        <w:rPr>
          <w:rFonts w:ascii="Cambria" w:hAnsi="Cambria"/>
          <w:sz w:val="24"/>
          <w:szCs w:val="24"/>
          <w:lang w:val="en-GB"/>
        </w:rPr>
      </w:pPr>
    </w:p>
    <w:p w14:paraId="07F3ED2B" w14:textId="380B58C1" w:rsidR="00D1401F" w:rsidRPr="0002380B" w:rsidRDefault="0002380B" w:rsidP="0002380B">
      <w:pPr>
        <w:spacing w:line="480" w:lineRule="auto"/>
        <w:rPr>
          <w:rFonts w:ascii="Cambria" w:hAnsi="Cambria"/>
          <w:sz w:val="24"/>
          <w:szCs w:val="24"/>
          <w:lang w:val="en-GB"/>
        </w:rPr>
      </w:pPr>
      <w:r>
        <w:rPr>
          <w:rFonts w:ascii="Cambria" w:hAnsi="Cambria"/>
          <w:sz w:val="24"/>
          <w:szCs w:val="24"/>
        </w:rPr>
        <w:br w:type="column"/>
      </w:r>
      <w:r w:rsidR="00D1401F" w:rsidRPr="00A96364">
        <w:rPr>
          <w:rFonts w:ascii="Cambria" w:hAnsi="Cambria"/>
          <w:sz w:val="24"/>
          <w:szCs w:val="24"/>
        </w:rPr>
        <w:lastRenderedPageBreak/>
        <w:t xml:space="preserve">Table </w:t>
      </w:r>
      <w:r w:rsidR="00250004">
        <w:rPr>
          <w:rFonts w:ascii="Cambria" w:hAnsi="Cambria"/>
          <w:sz w:val="24"/>
          <w:szCs w:val="24"/>
        </w:rPr>
        <w:t>A</w:t>
      </w:r>
      <w:r w:rsidR="00D1401F">
        <w:rPr>
          <w:rFonts w:ascii="Cambria" w:hAnsi="Cambria"/>
          <w:sz w:val="24"/>
          <w:szCs w:val="24"/>
        </w:rPr>
        <w:t>2</w:t>
      </w:r>
      <w:r w:rsidR="00D1401F" w:rsidRPr="00A96364">
        <w:rPr>
          <w:rFonts w:ascii="Cambria" w:hAnsi="Cambria"/>
          <w:sz w:val="24"/>
          <w:szCs w:val="24"/>
        </w:rPr>
        <w:t xml:space="preserve">. </w:t>
      </w:r>
      <w:r w:rsidR="00D1401F" w:rsidRPr="00A96364">
        <w:rPr>
          <w:rFonts w:ascii="Cambria" w:eastAsia="Times New Roman" w:hAnsi="Cambria" w:cs="Calibri"/>
          <w:sz w:val="24"/>
          <w:szCs w:val="24"/>
          <w:lang w:val="en-GB" w:eastAsia="zh-CN"/>
        </w:rPr>
        <w:t>Justification and timeline of residential compulsory testing notices</w:t>
      </w:r>
      <w:r w:rsidR="00D1401F">
        <w:rPr>
          <w:rFonts w:ascii="Cambria" w:eastAsia="Times New Roman" w:hAnsi="Cambria" w:cs="Calibri"/>
          <w:sz w:val="24"/>
          <w:szCs w:val="24"/>
          <w:lang w:val="en-GB" w:eastAsia="zh-CN"/>
        </w:rPr>
        <w:t xml:space="preserve"> early in the fifth wave</w:t>
      </w:r>
      <w:r w:rsidR="00D1401F" w:rsidRPr="00A96364">
        <w:rPr>
          <w:rFonts w:ascii="Cambria" w:eastAsia="Times New Roman" w:hAnsi="Cambria" w:cs="Calibri"/>
          <w:sz w:val="24"/>
          <w:szCs w:val="24"/>
          <w:lang w:val="en-GB" w:eastAsia="zh-CN"/>
        </w:rPr>
        <w:t xml:space="preserve"> (</w:t>
      </w:r>
      <w:r w:rsidR="00D1401F">
        <w:rPr>
          <w:rFonts w:ascii="Cambria" w:eastAsia="Times New Roman" w:hAnsi="Cambria" w:cs="Calibri"/>
          <w:sz w:val="24"/>
          <w:szCs w:val="24"/>
          <w:lang w:val="en-GB" w:eastAsia="zh-CN"/>
        </w:rPr>
        <w:t>December</w:t>
      </w:r>
      <w:r w:rsidR="00D1401F" w:rsidRPr="00A96364">
        <w:rPr>
          <w:rFonts w:ascii="Cambria" w:eastAsia="Times New Roman" w:hAnsi="Cambria" w:cs="Calibri"/>
          <w:sz w:val="24"/>
          <w:szCs w:val="24"/>
          <w:lang w:val="en-GB" w:eastAsia="zh-CN"/>
        </w:rPr>
        <w:t xml:space="preserve"> </w:t>
      </w:r>
      <w:r w:rsidR="00111444">
        <w:rPr>
          <w:rFonts w:ascii="Cambria" w:eastAsia="Times New Roman" w:hAnsi="Cambria" w:cs="Calibri"/>
          <w:sz w:val="24"/>
          <w:szCs w:val="24"/>
          <w:lang w:val="en-GB" w:eastAsia="zh-CN"/>
        </w:rPr>
        <w:t>17</w:t>
      </w:r>
      <w:r w:rsidR="00111444" w:rsidRPr="00111444">
        <w:rPr>
          <w:rFonts w:ascii="Cambria" w:eastAsia="Times New Roman" w:hAnsi="Cambria" w:cs="Calibri"/>
          <w:sz w:val="24"/>
          <w:szCs w:val="24"/>
          <w:vertAlign w:val="superscript"/>
          <w:lang w:val="en-GB" w:eastAsia="zh-CN"/>
        </w:rPr>
        <w:t>th</w:t>
      </w:r>
      <w:proofErr w:type="gramStart"/>
      <w:r w:rsidR="00111444">
        <w:rPr>
          <w:rFonts w:ascii="Cambria" w:eastAsia="Times New Roman" w:hAnsi="Cambria" w:cs="Calibri"/>
          <w:sz w:val="24"/>
          <w:szCs w:val="24"/>
          <w:lang w:val="en-GB" w:eastAsia="zh-CN"/>
        </w:rPr>
        <w:t xml:space="preserve"> </w:t>
      </w:r>
      <w:r w:rsidR="00D1401F" w:rsidRPr="00A96364">
        <w:rPr>
          <w:rFonts w:ascii="Cambria" w:eastAsia="Times New Roman" w:hAnsi="Cambria" w:cs="Calibri"/>
          <w:sz w:val="24"/>
          <w:szCs w:val="24"/>
          <w:lang w:val="en-GB" w:eastAsia="zh-CN"/>
        </w:rPr>
        <w:t>202</w:t>
      </w:r>
      <w:r w:rsidR="00D1401F">
        <w:rPr>
          <w:rFonts w:ascii="Cambria" w:eastAsia="Times New Roman" w:hAnsi="Cambria" w:cs="Calibri"/>
          <w:sz w:val="24"/>
          <w:szCs w:val="24"/>
          <w:lang w:val="en-GB" w:eastAsia="zh-CN"/>
        </w:rPr>
        <w:t>1</w:t>
      </w:r>
      <w:proofErr w:type="gramEnd"/>
      <w:r w:rsidR="00D1401F" w:rsidRPr="00A96364">
        <w:rPr>
          <w:rFonts w:ascii="Cambria" w:eastAsia="Times New Roman" w:hAnsi="Cambria" w:cs="Calibri"/>
          <w:sz w:val="24"/>
          <w:szCs w:val="24"/>
          <w:lang w:val="en-GB" w:eastAsia="zh-CN"/>
        </w:rPr>
        <w:t>—</w:t>
      </w:r>
      <w:r w:rsidR="00D1401F">
        <w:rPr>
          <w:rFonts w:ascii="Cambria" w:eastAsia="Times New Roman" w:hAnsi="Cambria" w:cs="Calibri"/>
          <w:sz w:val="24"/>
          <w:szCs w:val="24"/>
          <w:lang w:val="en-GB" w:eastAsia="zh-CN"/>
        </w:rPr>
        <w:t>15</w:t>
      </w:r>
      <w:r w:rsidR="00D1401F" w:rsidRPr="00A96364">
        <w:rPr>
          <w:rFonts w:ascii="Cambria" w:eastAsia="Times New Roman" w:hAnsi="Cambria" w:cs="Calibri"/>
          <w:sz w:val="24"/>
          <w:szCs w:val="24"/>
          <w:lang w:val="en-GB" w:eastAsia="zh-CN"/>
        </w:rPr>
        <w:t xml:space="preserve"> of </w:t>
      </w:r>
      <w:r w:rsidR="00D1401F">
        <w:rPr>
          <w:rFonts w:ascii="Cambria" w:eastAsia="Times New Roman" w:hAnsi="Cambria" w:cs="Calibri"/>
          <w:sz w:val="24"/>
          <w:szCs w:val="24"/>
          <w:lang w:val="en-GB" w:eastAsia="zh-CN"/>
        </w:rPr>
        <w:t>February</w:t>
      </w:r>
      <w:r w:rsidR="00D1401F" w:rsidRPr="00A96364">
        <w:rPr>
          <w:rFonts w:ascii="Cambria" w:eastAsia="Times New Roman" w:hAnsi="Cambria" w:cs="Calibri"/>
          <w:sz w:val="24"/>
          <w:szCs w:val="24"/>
          <w:lang w:val="en-GB" w:eastAsia="zh-CN"/>
        </w:rPr>
        <w:t xml:space="preserve"> 202</w:t>
      </w:r>
      <w:r w:rsidR="00D1401F">
        <w:rPr>
          <w:rFonts w:ascii="Cambria" w:eastAsia="Times New Roman" w:hAnsi="Cambria" w:cs="Calibri"/>
          <w:sz w:val="24"/>
          <w:szCs w:val="24"/>
          <w:lang w:val="en-GB" w:eastAsia="zh-CN"/>
        </w:rPr>
        <w:t>2</w:t>
      </w:r>
      <w:r w:rsidR="00D1401F" w:rsidRPr="00A96364">
        <w:rPr>
          <w:rFonts w:ascii="Cambria" w:eastAsia="Times New Roman" w:hAnsi="Cambria" w:cs="Calibri"/>
          <w:sz w:val="24"/>
          <w:szCs w:val="24"/>
          <w:lang w:val="en-GB" w:eastAsia="zh-CN"/>
        </w:rPr>
        <w:t>)</w:t>
      </w:r>
    </w:p>
    <w:tbl>
      <w:tblPr>
        <w:tblW w:w="5501" w:type="pct"/>
        <w:jc w:val="center"/>
        <w:tblLayout w:type="fixed"/>
        <w:tblLook w:val="04A0" w:firstRow="1" w:lastRow="0" w:firstColumn="1" w:lastColumn="0" w:noHBand="0" w:noVBand="1"/>
      </w:tblPr>
      <w:tblGrid>
        <w:gridCol w:w="2271"/>
        <w:gridCol w:w="3972"/>
        <w:gridCol w:w="1304"/>
        <w:gridCol w:w="2621"/>
      </w:tblGrid>
      <w:tr w:rsidR="00801C66" w:rsidRPr="00A96364" w14:paraId="550AD2D2" w14:textId="77777777" w:rsidTr="0002380B">
        <w:trPr>
          <w:trHeight w:val="594"/>
          <w:jc w:val="center"/>
        </w:trPr>
        <w:tc>
          <w:tcPr>
            <w:tcW w:w="1117" w:type="pct"/>
            <w:tcBorders>
              <w:top w:val="single" w:sz="8" w:space="0" w:color="auto"/>
              <w:left w:val="nil"/>
              <w:bottom w:val="single" w:sz="8" w:space="0" w:color="auto"/>
              <w:right w:val="nil"/>
            </w:tcBorders>
            <w:vAlign w:val="bottom"/>
            <w:hideMark/>
          </w:tcPr>
          <w:p w14:paraId="33DE3076" w14:textId="77777777" w:rsidR="00D1401F" w:rsidRPr="00A96364" w:rsidRDefault="00D1401F" w:rsidP="00151677">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Date of implementation or first notice observed</w:t>
            </w:r>
          </w:p>
        </w:tc>
        <w:tc>
          <w:tcPr>
            <w:tcW w:w="1953" w:type="pct"/>
            <w:tcBorders>
              <w:top w:val="single" w:sz="8" w:space="0" w:color="auto"/>
              <w:left w:val="nil"/>
              <w:bottom w:val="single" w:sz="8" w:space="0" w:color="auto"/>
              <w:right w:val="nil"/>
            </w:tcBorders>
            <w:vAlign w:val="bottom"/>
            <w:hideMark/>
          </w:tcPr>
          <w:p w14:paraId="6DF5EE4A" w14:textId="77777777" w:rsidR="00D1401F" w:rsidRPr="00A96364" w:rsidRDefault="00D1401F" w:rsidP="00151677">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Trigger for compulsory testing notice</w:t>
            </w:r>
          </w:p>
        </w:tc>
        <w:tc>
          <w:tcPr>
            <w:tcW w:w="641" w:type="pct"/>
            <w:tcBorders>
              <w:top w:val="single" w:sz="8" w:space="0" w:color="auto"/>
              <w:left w:val="nil"/>
              <w:bottom w:val="single" w:sz="8" w:space="0" w:color="auto"/>
              <w:right w:val="nil"/>
            </w:tcBorders>
            <w:vAlign w:val="bottom"/>
            <w:hideMark/>
          </w:tcPr>
          <w:p w14:paraId="0EC37B68" w14:textId="77777777" w:rsidR="00D1401F" w:rsidRPr="00A96364" w:rsidRDefault="00D1401F" w:rsidP="00151677">
            <w:pPr>
              <w:snapToGrid w:val="0"/>
              <w:spacing w:after="0" w:line="480" w:lineRule="auto"/>
              <w:jc w:val="right"/>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Buildings targeted</w:t>
            </w:r>
          </w:p>
        </w:tc>
        <w:tc>
          <w:tcPr>
            <w:tcW w:w="1289" w:type="pct"/>
            <w:tcBorders>
              <w:top w:val="single" w:sz="8" w:space="0" w:color="auto"/>
              <w:left w:val="nil"/>
              <w:bottom w:val="single" w:sz="8" w:space="0" w:color="auto"/>
              <w:right w:val="nil"/>
            </w:tcBorders>
            <w:vAlign w:val="bottom"/>
            <w:hideMark/>
          </w:tcPr>
          <w:p w14:paraId="7C61F542" w14:textId="77777777" w:rsidR="00D1401F" w:rsidRPr="00A96364" w:rsidRDefault="00D1401F" w:rsidP="00151677">
            <w:pPr>
              <w:snapToGrid w:val="0"/>
              <w:spacing w:after="0" w:line="480" w:lineRule="auto"/>
              <w:rPr>
                <w:rFonts w:ascii="Cambria" w:eastAsia="Times New Roman" w:hAnsi="Cambria" w:cs="Calibri"/>
                <w:b/>
                <w:color w:val="000000"/>
                <w:sz w:val="24"/>
                <w:szCs w:val="24"/>
                <w:lang w:val="en-GB" w:eastAsia="zh-CN"/>
              </w:rPr>
            </w:pPr>
            <w:r w:rsidRPr="00A96364">
              <w:rPr>
                <w:rFonts w:ascii="Cambria" w:eastAsia="Times New Roman" w:hAnsi="Cambria" w:cs="Calibri"/>
                <w:b/>
                <w:color w:val="000000"/>
                <w:sz w:val="24"/>
                <w:szCs w:val="24"/>
                <w:lang w:val="en-GB" w:eastAsia="zh-CN"/>
              </w:rPr>
              <w:t>Grouped into</w:t>
            </w:r>
          </w:p>
        </w:tc>
      </w:tr>
      <w:tr w:rsidR="008D2B6B" w:rsidRPr="00A96364" w14:paraId="41B33685" w14:textId="77777777" w:rsidTr="0002380B">
        <w:trPr>
          <w:trHeight w:val="493"/>
          <w:jc w:val="center"/>
        </w:trPr>
        <w:tc>
          <w:tcPr>
            <w:tcW w:w="1117" w:type="pct"/>
            <w:tcBorders>
              <w:top w:val="nil"/>
              <w:left w:val="nil"/>
              <w:bottom w:val="single" w:sz="4" w:space="0" w:color="auto"/>
              <w:right w:val="nil"/>
            </w:tcBorders>
            <w:vAlign w:val="bottom"/>
          </w:tcPr>
          <w:p w14:paraId="40688F1E" w14:textId="435359FA" w:rsidR="008D2B6B"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17</w:t>
            </w:r>
            <w:r w:rsidRPr="00A96364">
              <w:rPr>
                <w:rFonts w:ascii="Cambria" w:eastAsia="Times New Roman" w:hAnsi="Cambria" w:cs="Calibri"/>
                <w:color w:val="000000"/>
                <w:sz w:val="24"/>
                <w:szCs w:val="24"/>
                <w:lang w:val="en-GB" w:eastAsia="zh-CN"/>
              </w:rPr>
              <w:t xml:space="preserve"> </w:t>
            </w:r>
            <w:r>
              <w:rPr>
                <w:rFonts w:ascii="Cambria" w:eastAsia="Times New Roman" w:hAnsi="Cambria" w:cs="Calibri"/>
                <w:color w:val="000000"/>
                <w:sz w:val="24"/>
                <w:szCs w:val="24"/>
                <w:lang w:val="en-GB" w:eastAsia="zh-CN"/>
              </w:rPr>
              <w:t xml:space="preserve">December </w:t>
            </w:r>
            <w:r w:rsidRPr="00A96364">
              <w:rPr>
                <w:rFonts w:ascii="Cambria" w:eastAsia="Times New Roman" w:hAnsi="Cambria" w:cs="Calibri"/>
                <w:color w:val="000000"/>
                <w:sz w:val="24"/>
                <w:szCs w:val="24"/>
                <w:lang w:val="en-GB" w:eastAsia="zh-CN"/>
              </w:rPr>
              <w:t>202</w:t>
            </w:r>
            <w:r>
              <w:rPr>
                <w:rFonts w:ascii="Cambria" w:eastAsia="Times New Roman" w:hAnsi="Cambria" w:cs="Calibri"/>
                <w:color w:val="000000"/>
                <w:sz w:val="24"/>
                <w:szCs w:val="24"/>
                <w:lang w:val="en-GB" w:eastAsia="zh-CN"/>
              </w:rPr>
              <w:t>1</w:t>
            </w:r>
          </w:p>
          <w:p w14:paraId="3BAD36A6" w14:textId="4E4276CB" w:rsidR="008D2B6B"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w:t>
            </w:r>
            <w:proofErr w:type="gramStart"/>
            <w:r>
              <w:rPr>
                <w:rFonts w:ascii="Cambria" w:eastAsia="Times New Roman" w:hAnsi="Cambria" w:cs="Calibri"/>
                <w:color w:val="000000"/>
                <w:sz w:val="24"/>
                <w:szCs w:val="24"/>
                <w:lang w:val="en-GB" w:eastAsia="zh-CN"/>
              </w:rPr>
              <w:t>first</w:t>
            </w:r>
            <w:proofErr w:type="gramEnd"/>
            <w:r>
              <w:rPr>
                <w:rFonts w:ascii="Cambria" w:eastAsia="Times New Roman" w:hAnsi="Cambria" w:cs="Calibri"/>
                <w:color w:val="000000"/>
                <w:sz w:val="24"/>
                <w:szCs w:val="24"/>
                <w:lang w:val="en-GB" w:eastAsia="zh-CN"/>
              </w:rPr>
              <w:t xml:space="preserve"> observe)</w:t>
            </w:r>
          </w:p>
        </w:tc>
        <w:tc>
          <w:tcPr>
            <w:tcW w:w="1953" w:type="pct"/>
            <w:tcBorders>
              <w:top w:val="nil"/>
              <w:left w:val="nil"/>
              <w:bottom w:val="single" w:sz="4" w:space="0" w:color="auto"/>
              <w:right w:val="nil"/>
            </w:tcBorders>
            <w:vAlign w:val="bottom"/>
          </w:tcPr>
          <w:p w14:paraId="7F16403D" w14:textId="06473D48" w:rsidR="008D2B6B" w:rsidRPr="00D1401F"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L</w:t>
            </w:r>
            <w:r w:rsidRPr="00A2785B">
              <w:rPr>
                <w:rFonts w:ascii="Cambria" w:eastAsia="Times New Roman" w:hAnsi="Cambria" w:cs="Calibri"/>
                <w:color w:val="000000"/>
                <w:sz w:val="24"/>
                <w:szCs w:val="24"/>
                <w:lang w:val="en-GB" w:eastAsia="zh-CN"/>
              </w:rPr>
              <w:t xml:space="preserve">ocal </w:t>
            </w:r>
            <w:r>
              <w:rPr>
                <w:rFonts w:ascii="Cambria" w:eastAsia="Times New Roman" w:hAnsi="Cambria" w:cs="Calibri"/>
                <w:color w:val="000000"/>
                <w:sz w:val="24"/>
                <w:szCs w:val="24"/>
                <w:lang w:val="en-GB" w:eastAsia="zh-CN"/>
              </w:rPr>
              <w:t xml:space="preserve">confirmed </w:t>
            </w:r>
            <w:r w:rsidRPr="00A2785B">
              <w:rPr>
                <w:rFonts w:ascii="Cambria" w:eastAsia="Times New Roman" w:hAnsi="Cambria" w:cs="Calibri"/>
                <w:color w:val="000000"/>
                <w:sz w:val="24"/>
                <w:szCs w:val="24"/>
                <w:lang w:val="en-GB" w:eastAsia="zh-CN"/>
              </w:rPr>
              <w:t>COVID-19</w:t>
            </w:r>
            <w:r>
              <w:rPr>
                <w:rFonts w:ascii="Cambria" w:eastAsia="Times New Roman" w:hAnsi="Cambria" w:cs="Calibri"/>
                <w:color w:val="000000"/>
                <w:sz w:val="24"/>
                <w:szCs w:val="24"/>
                <w:lang w:val="en-GB" w:eastAsia="zh-CN"/>
              </w:rPr>
              <w:t xml:space="preserve"> Omicron</w:t>
            </w:r>
            <w:r w:rsidRPr="00A2785B">
              <w:rPr>
                <w:rFonts w:ascii="Cambria" w:eastAsia="Times New Roman" w:hAnsi="Cambria" w:cs="Calibri"/>
                <w:color w:val="000000"/>
                <w:sz w:val="24"/>
                <w:szCs w:val="24"/>
                <w:lang w:val="en-GB" w:eastAsia="zh-CN"/>
              </w:rPr>
              <w:t xml:space="preserve"> cases</w:t>
            </w:r>
          </w:p>
        </w:tc>
        <w:tc>
          <w:tcPr>
            <w:tcW w:w="641" w:type="pct"/>
            <w:tcBorders>
              <w:top w:val="nil"/>
              <w:left w:val="nil"/>
              <w:bottom w:val="single" w:sz="4" w:space="0" w:color="auto"/>
              <w:right w:val="nil"/>
            </w:tcBorders>
            <w:noWrap/>
            <w:vAlign w:val="bottom"/>
          </w:tcPr>
          <w:p w14:paraId="13AB6CC2" w14:textId="36A3E9C6" w:rsidR="008D2B6B" w:rsidRDefault="008D2B6B" w:rsidP="008D2B6B">
            <w:pPr>
              <w:snapToGrid w:val="0"/>
              <w:spacing w:after="0" w:line="480" w:lineRule="auto"/>
              <w:jc w:val="right"/>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441</w:t>
            </w:r>
          </w:p>
        </w:tc>
        <w:tc>
          <w:tcPr>
            <w:tcW w:w="1289" w:type="pct"/>
            <w:tcBorders>
              <w:top w:val="nil"/>
              <w:left w:val="nil"/>
              <w:bottom w:val="single" w:sz="4" w:space="0" w:color="auto"/>
              <w:right w:val="nil"/>
            </w:tcBorders>
            <w:noWrap/>
            <w:vAlign w:val="bottom"/>
          </w:tcPr>
          <w:p w14:paraId="3278070C" w14:textId="76A6B85E"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8D2B6B" w:rsidRPr="00A96364" w14:paraId="4F679AB7" w14:textId="77777777" w:rsidTr="0002380B">
        <w:trPr>
          <w:trHeight w:val="493"/>
          <w:jc w:val="center"/>
        </w:trPr>
        <w:tc>
          <w:tcPr>
            <w:tcW w:w="1117" w:type="pct"/>
            <w:tcBorders>
              <w:top w:val="nil"/>
              <w:left w:val="nil"/>
              <w:bottom w:val="single" w:sz="4" w:space="0" w:color="auto"/>
              <w:right w:val="nil"/>
            </w:tcBorders>
            <w:vAlign w:val="bottom"/>
            <w:hideMark/>
          </w:tcPr>
          <w:p w14:paraId="095A6E7B" w14:textId="77777777" w:rsidR="008D2B6B"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24 December 2021</w:t>
            </w:r>
          </w:p>
          <w:p w14:paraId="1B46A738" w14:textId="562C994B"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w:t>
            </w:r>
            <w:proofErr w:type="gramStart"/>
            <w:r>
              <w:rPr>
                <w:rFonts w:ascii="Cambria" w:eastAsia="Times New Roman" w:hAnsi="Cambria" w:cs="Calibri"/>
                <w:color w:val="000000"/>
                <w:sz w:val="24"/>
                <w:szCs w:val="24"/>
                <w:lang w:val="en-GB" w:eastAsia="zh-CN"/>
              </w:rPr>
              <w:t>first</w:t>
            </w:r>
            <w:proofErr w:type="gramEnd"/>
            <w:r>
              <w:rPr>
                <w:rFonts w:ascii="Cambria" w:eastAsia="Times New Roman" w:hAnsi="Cambria" w:cs="Calibri"/>
                <w:color w:val="000000"/>
                <w:sz w:val="24"/>
                <w:szCs w:val="24"/>
                <w:lang w:val="en-GB" w:eastAsia="zh-CN"/>
              </w:rPr>
              <w:t xml:space="preserve"> observed)</w:t>
            </w:r>
            <w:r w:rsidRPr="00A96364">
              <w:rPr>
                <w:rFonts w:ascii="Cambria" w:eastAsia="Times New Roman" w:hAnsi="Cambria" w:cs="Calibri"/>
                <w:color w:val="000000"/>
                <w:sz w:val="24"/>
                <w:szCs w:val="24"/>
                <w:lang w:val="en-GB" w:eastAsia="zh-CN"/>
              </w:rPr>
              <w:t xml:space="preserve"> </w:t>
            </w:r>
          </w:p>
        </w:tc>
        <w:tc>
          <w:tcPr>
            <w:tcW w:w="1953" w:type="pct"/>
            <w:tcBorders>
              <w:top w:val="nil"/>
              <w:left w:val="nil"/>
              <w:bottom w:val="single" w:sz="4" w:space="0" w:color="auto"/>
              <w:right w:val="nil"/>
            </w:tcBorders>
            <w:vAlign w:val="bottom"/>
            <w:hideMark/>
          </w:tcPr>
          <w:p w14:paraId="0089DC86" w14:textId="2C8FFF97"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D1401F">
              <w:rPr>
                <w:rFonts w:ascii="Cambria" w:eastAsia="Times New Roman" w:hAnsi="Cambria" w:cs="Calibri"/>
                <w:color w:val="000000"/>
                <w:sz w:val="24"/>
                <w:szCs w:val="24"/>
                <w:lang w:val="en-GB" w:eastAsia="zh-CN"/>
              </w:rPr>
              <w:t>Places visited by the preliminary positive imported cases who had stayed in Hong Kong during the incubation period</w:t>
            </w:r>
            <w:r>
              <w:rPr>
                <w:rFonts w:ascii="Cambria" w:eastAsia="Times New Roman" w:hAnsi="Cambria" w:cs="Calibri"/>
                <w:color w:val="000000"/>
                <w:sz w:val="24"/>
                <w:szCs w:val="24"/>
                <w:lang w:val="en-GB" w:eastAsia="zh-CN"/>
              </w:rPr>
              <w:t>, p</w:t>
            </w:r>
            <w:r w:rsidRPr="00801C66">
              <w:rPr>
                <w:rFonts w:ascii="Cambria" w:eastAsia="Times New Roman" w:hAnsi="Cambria" w:cs="Calibri"/>
                <w:color w:val="000000"/>
                <w:sz w:val="24"/>
                <w:szCs w:val="24"/>
                <w:lang w:val="en-GB" w:eastAsia="zh-CN"/>
              </w:rPr>
              <w:t>reliminary positive import-related cases</w:t>
            </w:r>
            <w:r>
              <w:rPr>
                <w:rFonts w:ascii="Cambria" w:eastAsia="Times New Roman" w:hAnsi="Cambria" w:cs="Calibri"/>
                <w:color w:val="000000"/>
                <w:sz w:val="24"/>
                <w:szCs w:val="24"/>
                <w:lang w:val="en-GB" w:eastAsia="zh-CN"/>
              </w:rPr>
              <w:t xml:space="preserve">, </w:t>
            </w:r>
            <w:r w:rsidRPr="00801C66">
              <w:rPr>
                <w:rFonts w:ascii="Cambria" w:eastAsia="Times New Roman" w:hAnsi="Cambria" w:cs="Calibri"/>
                <w:color w:val="000000"/>
                <w:sz w:val="24"/>
                <w:szCs w:val="24"/>
                <w:lang w:val="en-GB" w:eastAsia="zh-CN"/>
              </w:rPr>
              <w:t>non-locally confirmed cases who had stayed in Hong Kong</w:t>
            </w:r>
            <w:r>
              <w:rPr>
                <w:rFonts w:ascii="Cambria" w:eastAsia="Times New Roman" w:hAnsi="Cambria" w:cs="Calibri"/>
                <w:color w:val="000000"/>
                <w:sz w:val="24"/>
                <w:szCs w:val="24"/>
                <w:lang w:val="en-GB" w:eastAsia="zh-CN"/>
              </w:rPr>
              <w:t xml:space="preserve"> or </w:t>
            </w:r>
            <w:r w:rsidRPr="00D55A01">
              <w:rPr>
                <w:rFonts w:ascii="Cambria" w:eastAsia="Times New Roman" w:hAnsi="Cambria" w:cs="Calibri"/>
                <w:color w:val="000000"/>
                <w:sz w:val="24"/>
                <w:szCs w:val="24"/>
                <w:lang w:val="en-GB" w:eastAsia="zh-CN"/>
              </w:rPr>
              <w:t>case</w:t>
            </w:r>
            <w:r>
              <w:rPr>
                <w:rFonts w:ascii="Cambria" w:eastAsia="Times New Roman" w:hAnsi="Cambria" w:cs="Calibri"/>
                <w:color w:val="000000"/>
                <w:sz w:val="24"/>
                <w:szCs w:val="24"/>
                <w:lang w:val="en-GB" w:eastAsia="zh-CN"/>
              </w:rPr>
              <w:t>s</w:t>
            </w:r>
            <w:r w:rsidRPr="00D55A01">
              <w:rPr>
                <w:rFonts w:ascii="Cambria" w:eastAsia="Times New Roman" w:hAnsi="Cambria" w:cs="Calibri"/>
                <w:color w:val="000000"/>
                <w:sz w:val="24"/>
                <w:szCs w:val="24"/>
                <w:lang w:val="en-GB" w:eastAsia="zh-CN"/>
              </w:rPr>
              <w:t xml:space="preserve"> tested preliminarily positive involving mutant</w:t>
            </w:r>
            <w:r>
              <w:rPr>
                <w:rFonts w:ascii="Cambria" w:eastAsia="Times New Roman" w:hAnsi="Cambria" w:cs="Calibri"/>
                <w:color w:val="000000"/>
                <w:sz w:val="24"/>
                <w:szCs w:val="24"/>
                <w:lang w:val="en-GB" w:eastAsia="zh-CN"/>
              </w:rPr>
              <w:t xml:space="preserve"> strain</w:t>
            </w:r>
            <w:r w:rsidR="00363AF2">
              <w:rPr>
                <w:rFonts w:ascii="Cambria" w:eastAsia="Times New Roman" w:hAnsi="Cambria" w:cs="Calibri"/>
                <w:color w:val="000000"/>
                <w:sz w:val="24"/>
                <w:szCs w:val="24"/>
                <w:lang w:val="en-GB" w:eastAsia="zh-CN"/>
              </w:rPr>
              <w:t>.</w:t>
            </w:r>
          </w:p>
        </w:tc>
        <w:tc>
          <w:tcPr>
            <w:tcW w:w="641" w:type="pct"/>
            <w:tcBorders>
              <w:top w:val="nil"/>
              <w:left w:val="nil"/>
              <w:bottom w:val="single" w:sz="4" w:space="0" w:color="auto"/>
              <w:right w:val="nil"/>
            </w:tcBorders>
            <w:noWrap/>
            <w:vAlign w:val="bottom"/>
            <w:hideMark/>
          </w:tcPr>
          <w:p w14:paraId="43DDB79A" w14:textId="42530F75" w:rsidR="008D2B6B" w:rsidRPr="00A96364" w:rsidRDefault="008D2B6B" w:rsidP="008D2B6B">
            <w:pPr>
              <w:snapToGrid w:val="0"/>
              <w:spacing w:after="0" w:line="480" w:lineRule="auto"/>
              <w:jc w:val="right"/>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20</w:t>
            </w:r>
          </w:p>
        </w:tc>
        <w:tc>
          <w:tcPr>
            <w:tcW w:w="1289" w:type="pct"/>
            <w:tcBorders>
              <w:top w:val="nil"/>
              <w:left w:val="nil"/>
              <w:bottom w:val="single" w:sz="4" w:space="0" w:color="auto"/>
              <w:right w:val="nil"/>
            </w:tcBorders>
            <w:noWrap/>
            <w:vAlign w:val="bottom"/>
            <w:hideMark/>
          </w:tcPr>
          <w:p w14:paraId="2BD96E42" w14:textId="77777777"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8D2B6B" w:rsidRPr="00A96364" w14:paraId="4362CCDF" w14:textId="77777777" w:rsidTr="0002380B">
        <w:trPr>
          <w:trHeight w:val="493"/>
          <w:jc w:val="center"/>
        </w:trPr>
        <w:tc>
          <w:tcPr>
            <w:tcW w:w="1117" w:type="pct"/>
            <w:tcBorders>
              <w:top w:val="nil"/>
              <w:left w:val="nil"/>
              <w:bottom w:val="single" w:sz="4" w:space="0" w:color="auto"/>
              <w:right w:val="nil"/>
            </w:tcBorders>
            <w:vAlign w:val="bottom"/>
            <w:hideMark/>
          </w:tcPr>
          <w:p w14:paraId="3AC67A1E" w14:textId="77777777" w:rsidR="008D2B6B"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1 January 2022</w:t>
            </w:r>
          </w:p>
          <w:p w14:paraId="167AF3FE" w14:textId="70C8B3FB"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w:t>
            </w:r>
            <w:proofErr w:type="gramStart"/>
            <w:r>
              <w:rPr>
                <w:rFonts w:ascii="Cambria" w:eastAsia="Times New Roman" w:hAnsi="Cambria" w:cs="Calibri"/>
                <w:color w:val="000000"/>
                <w:sz w:val="24"/>
                <w:szCs w:val="24"/>
                <w:lang w:val="en-GB" w:eastAsia="zh-CN"/>
              </w:rPr>
              <w:t>first</w:t>
            </w:r>
            <w:proofErr w:type="gramEnd"/>
            <w:r>
              <w:rPr>
                <w:rFonts w:ascii="Cambria" w:eastAsia="Times New Roman" w:hAnsi="Cambria" w:cs="Calibri"/>
                <w:color w:val="000000"/>
                <w:sz w:val="24"/>
                <w:szCs w:val="24"/>
                <w:lang w:val="en-GB" w:eastAsia="zh-CN"/>
              </w:rPr>
              <w:t xml:space="preserve"> observed)</w:t>
            </w:r>
          </w:p>
        </w:tc>
        <w:tc>
          <w:tcPr>
            <w:tcW w:w="1953" w:type="pct"/>
            <w:tcBorders>
              <w:top w:val="nil"/>
              <w:left w:val="nil"/>
              <w:bottom w:val="single" w:sz="4" w:space="0" w:color="auto"/>
              <w:right w:val="nil"/>
            </w:tcBorders>
            <w:vAlign w:val="bottom"/>
            <w:hideMark/>
          </w:tcPr>
          <w:p w14:paraId="05EF032F" w14:textId="70531231"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All residents in buildings within designated "restricted-area" are required to stay in their premises and undergo compulsory testing</w:t>
            </w:r>
          </w:p>
        </w:tc>
        <w:tc>
          <w:tcPr>
            <w:tcW w:w="641" w:type="pct"/>
            <w:tcBorders>
              <w:top w:val="nil"/>
              <w:left w:val="nil"/>
              <w:bottom w:val="single" w:sz="4" w:space="0" w:color="auto"/>
              <w:right w:val="nil"/>
            </w:tcBorders>
            <w:noWrap/>
            <w:vAlign w:val="bottom"/>
            <w:hideMark/>
          </w:tcPr>
          <w:p w14:paraId="3D59E67C" w14:textId="2F9FC178" w:rsidR="008D2B6B" w:rsidRPr="00A96364" w:rsidRDefault="008D2B6B" w:rsidP="008D2B6B">
            <w:pPr>
              <w:snapToGrid w:val="0"/>
              <w:spacing w:after="0" w:line="480" w:lineRule="auto"/>
              <w:jc w:val="right"/>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159</w:t>
            </w:r>
          </w:p>
        </w:tc>
        <w:tc>
          <w:tcPr>
            <w:tcW w:w="1289" w:type="pct"/>
            <w:tcBorders>
              <w:top w:val="nil"/>
              <w:left w:val="nil"/>
              <w:bottom w:val="single" w:sz="4" w:space="0" w:color="auto"/>
              <w:right w:val="nil"/>
            </w:tcBorders>
            <w:noWrap/>
            <w:vAlign w:val="bottom"/>
            <w:hideMark/>
          </w:tcPr>
          <w:p w14:paraId="3CEBF6AB" w14:textId="4B21091A"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Restriction testing declaration</w:t>
            </w:r>
          </w:p>
        </w:tc>
      </w:tr>
      <w:tr w:rsidR="008D2B6B" w:rsidRPr="00A96364" w14:paraId="2F3F47B1" w14:textId="77777777" w:rsidTr="0002380B">
        <w:trPr>
          <w:trHeight w:val="292"/>
          <w:jc w:val="center"/>
        </w:trPr>
        <w:tc>
          <w:tcPr>
            <w:tcW w:w="1117" w:type="pct"/>
            <w:tcBorders>
              <w:top w:val="nil"/>
              <w:left w:val="nil"/>
              <w:bottom w:val="single" w:sz="4" w:space="0" w:color="auto"/>
              <w:right w:val="nil"/>
            </w:tcBorders>
            <w:vAlign w:val="bottom"/>
          </w:tcPr>
          <w:p w14:paraId="05E4C9CB" w14:textId="77777777" w:rsidR="008D2B6B"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12 January 2022</w:t>
            </w:r>
          </w:p>
          <w:p w14:paraId="3D1CE878" w14:textId="3DDD01FC"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w:t>
            </w:r>
            <w:proofErr w:type="gramStart"/>
            <w:r>
              <w:rPr>
                <w:rFonts w:ascii="Cambria" w:eastAsia="Times New Roman" w:hAnsi="Cambria" w:cs="Calibri"/>
                <w:color w:val="000000"/>
                <w:sz w:val="24"/>
                <w:szCs w:val="24"/>
                <w:lang w:val="en-GB" w:eastAsia="zh-CN"/>
              </w:rPr>
              <w:t>first</w:t>
            </w:r>
            <w:proofErr w:type="gramEnd"/>
            <w:r>
              <w:rPr>
                <w:rFonts w:ascii="Cambria" w:eastAsia="Times New Roman" w:hAnsi="Cambria" w:cs="Calibri"/>
                <w:color w:val="000000"/>
                <w:sz w:val="24"/>
                <w:szCs w:val="24"/>
                <w:lang w:val="en-GB" w:eastAsia="zh-CN"/>
              </w:rPr>
              <w:t xml:space="preserve"> observed)</w:t>
            </w:r>
          </w:p>
        </w:tc>
        <w:tc>
          <w:tcPr>
            <w:tcW w:w="1953" w:type="pct"/>
            <w:tcBorders>
              <w:top w:val="nil"/>
              <w:left w:val="nil"/>
              <w:bottom w:val="single" w:sz="4" w:space="0" w:color="auto"/>
              <w:right w:val="nil"/>
            </w:tcBorders>
            <w:vAlign w:val="bottom"/>
          </w:tcPr>
          <w:p w14:paraId="190F2993" w14:textId="2847E53F"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P</w:t>
            </w:r>
            <w:r w:rsidRPr="00085A1E">
              <w:rPr>
                <w:rFonts w:ascii="Cambria" w:eastAsia="Times New Roman" w:hAnsi="Cambria" w:cs="Calibri"/>
                <w:color w:val="000000"/>
                <w:sz w:val="24"/>
                <w:szCs w:val="24"/>
                <w:lang w:val="en-GB" w:eastAsia="zh-CN"/>
              </w:rPr>
              <w:t>laces visited by tested preliminarily positive</w:t>
            </w:r>
            <w:r w:rsidR="00111444">
              <w:rPr>
                <w:rFonts w:ascii="Cambria" w:eastAsia="Times New Roman" w:hAnsi="Cambria" w:cs="Calibri"/>
                <w:color w:val="000000"/>
                <w:sz w:val="24"/>
                <w:szCs w:val="24"/>
                <w:lang w:val="en-GB" w:eastAsia="zh-CN"/>
              </w:rPr>
              <w:t>/positive</w:t>
            </w:r>
            <w:r w:rsidRPr="00085A1E">
              <w:rPr>
                <w:rFonts w:ascii="Cambria" w:eastAsia="Times New Roman" w:hAnsi="Cambria" w:cs="Calibri"/>
                <w:color w:val="000000"/>
                <w:sz w:val="24"/>
                <w:szCs w:val="24"/>
                <w:lang w:val="en-GB" w:eastAsia="zh-CN"/>
              </w:rPr>
              <w:t xml:space="preserve"> cases </w:t>
            </w:r>
          </w:p>
        </w:tc>
        <w:tc>
          <w:tcPr>
            <w:tcW w:w="641" w:type="pct"/>
            <w:tcBorders>
              <w:top w:val="nil"/>
              <w:left w:val="nil"/>
              <w:bottom w:val="single" w:sz="4" w:space="0" w:color="auto"/>
              <w:right w:val="nil"/>
            </w:tcBorders>
            <w:noWrap/>
            <w:vAlign w:val="bottom"/>
          </w:tcPr>
          <w:p w14:paraId="75BAA80B" w14:textId="4CF2EC15" w:rsidR="008D2B6B" w:rsidRPr="00A96364" w:rsidRDefault="008D2B6B" w:rsidP="008D2B6B">
            <w:pPr>
              <w:snapToGrid w:val="0"/>
              <w:spacing w:after="0" w:line="480" w:lineRule="auto"/>
              <w:jc w:val="right"/>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t>65</w:t>
            </w:r>
            <w:r w:rsidR="00111444">
              <w:rPr>
                <w:rFonts w:ascii="Cambria" w:eastAsia="Times New Roman" w:hAnsi="Cambria" w:cs="Calibri"/>
                <w:color w:val="000000"/>
                <w:sz w:val="24"/>
                <w:szCs w:val="24"/>
                <w:lang w:val="en-GB" w:eastAsia="zh-CN"/>
              </w:rPr>
              <w:t>8</w:t>
            </w:r>
          </w:p>
        </w:tc>
        <w:tc>
          <w:tcPr>
            <w:tcW w:w="1289" w:type="pct"/>
            <w:tcBorders>
              <w:top w:val="nil"/>
              <w:left w:val="nil"/>
              <w:bottom w:val="single" w:sz="4" w:space="0" w:color="auto"/>
              <w:right w:val="nil"/>
            </w:tcBorders>
            <w:noWrap/>
            <w:vAlign w:val="bottom"/>
          </w:tcPr>
          <w:p w14:paraId="14CD9E51" w14:textId="77777777"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Confirmed case(s) in a building</w:t>
            </w:r>
          </w:p>
        </w:tc>
      </w:tr>
      <w:tr w:rsidR="008D2B6B" w:rsidRPr="00A96364" w14:paraId="76CC3AD1" w14:textId="77777777" w:rsidTr="0002380B">
        <w:trPr>
          <w:trHeight w:val="493"/>
          <w:jc w:val="center"/>
        </w:trPr>
        <w:tc>
          <w:tcPr>
            <w:tcW w:w="1117" w:type="pct"/>
            <w:tcBorders>
              <w:top w:val="nil"/>
              <w:left w:val="nil"/>
              <w:bottom w:val="single" w:sz="4" w:space="0" w:color="auto"/>
              <w:right w:val="nil"/>
            </w:tcBorders>
            <w:vAlign w:val="bottom"/>
            <w:hideMark/>
          </w:tcPr>
          <w:p w14:paraId="503BE1E1" w14:textId="77777777" w:rsidR="008D2B6B"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20 January 202</w:t>
            </w:r>
            <w:r>
              <w:rPr>
                <w:rFonts w:ascii="Cambria" w:eastAsia="Times New Roman" w:hAnsi="Cambria" w:cs="Calibri"/>
                <w:color w:val="000000"/>
                <w:sz w:val="24"/>
                <w:szCs w:val="24"/>
                <w:lang w:val="en-GB" w:eastAsia="zh-CN"/>
              </w:rPr>
              <w:t>2</w:t>
            </w:r>
          </w:p>
          <w:p w14:paraId="5D54B49B" w14:textId="4B9D18DB" w:rsidR="00CF4832" w:rsidRPr="00A96364" w:rsidRDefault="00CF4832"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lastRenderedPageBreak/>
              <w:t>(</w:t>
            </w:r>
            <w:proofErr w:type="gramStart"/>
            <w:r>
              <w:rPr>
                <w:rFonts w:ascii="Cambria" w:eastAsia="Times New Roman" w:hAnsi="Cambria" w:cs="Calibri"/>
                <w:color w:val="000000"/>
                <w:sz w:val="24"/>
                <w:szCs w:val="24"/>
                <w:lang w:val="en-GB" w:eastAsia="zh-CN"/>
              </w:rPr>
              <w:t>first</w:t>
            </w:r>
            <w:proofErr w:type="gramEnd"/>
            <w:r>
              <w:rPr>
                <w:rFonts w:ascii="Cambria" w:eastAsia="Times New Roman" w:hAnsi="Cambria" w:cs="Calibri"/>
                <w:color w:val="000000"/>
                <w:sz w:val="24"/>
                <w:szCs w:val="24"/>
                <w:lang w:val="en-GB" w:eastAsia="zh-CN"/>
              </w:rPr>
              <w:t xml:space="preserve"> observed)</w:t>
            </w:r>
          </w:p>
        </w:tc>
        <w:tc>
          <w:tcPr>
            <w:tcW w:w="1953" w:type="pct"/>
            <w:tcBorders>
              <w:top w:val="nil"/>
              <w:left w:val="nil"/>
              <w:bottom w:val="single" w:sz="4" w:space="0" w:color="auto"/>
              <w:right w:val="nil"/>
            </w:tcBorders>
            <w:vAlign w:val="bottom"/>
            <w:hideMark/>
          </w:tcPr>
          <w:p w14:paraId="15A17963" w14:textId="07CD290B"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lastRenderedPageBreak/>
              <w:t>P</w:t>
            </w:r>
            <w:r w:rsidRPr="009F7F89">
              <w:rPr>
                <w:rFonts w:ascii="Cambria" w:eastAsia="Times New Roman" w:hAnsi="Cambria" w:cs="Calibri"/>
                <w:color w:val="000000"/>
                <w:sz w:val="24"/>
                <w:szCs w:val="24"/>
                <w:lang w:val="en-GB" w:eastAsia="zh-CN"/>
              </w:rPr>
              <w:t>laces with sewage sample(s)</w:t>
            </w:r>
            <w:r>
              <w:rPr>
                <w:rFonts w:ascii="Cambria" w:eastAsia="Times New Roman" w:hAnsi="Cambria" w:cs="Calibri"/>
                <w:color w:val="000000"/>
                <w:sz w:val="24"/>
                <w:szCs w:val="24"/>
                <w:lang w:val="en-GB" w:eastAsia="zh-CN"/>
              </w:rPr>
              <w:t xml:space="preserve"> </w:t>
            </w:r>
            <w:r w:rsidRPr="009F7F89">
              <w:rPr>
                <w:rFonts w:ascii="Cambria" w:eastAsia="Times New Roman" w:hAnsi="Cambria" w:cs="Calibri"/>
                <w:color w:val="000000"/>
                <w:sz w:val="24"/>
                <w:szCs w:val="24"/>
                <w:lang w:val="en-GB" w:eastAsia="zh-CN"/>
              </w:rPr>
              <w:t xml:space="preserve">tested </w:t>
            </w:r>
            <w:r w:rsidRPr="009F7F89">
              <w:rPr>
                <w:rFonts w:ascii="Cambria" w:eastAsia="Times New Roman" w:hAnsi="Cambria" w:cs="Calibri"/>
                <w:color w:val="000000"/>
                <w:sz w:val="24"/>
                <w:szCs w:val="24"/>
                <w:lang w:val="en-GB" w:eastAsia="zh-CN"/>
              </w:rPr>
              <w:lastRenderedPageBreak/>
              <w:t>positive</w:t>
            </w:r>
          </w:p>
        </w:tc>
        <w:tc>
          <w:tcPr>
            <w:tcW w:w="641" w:type="pct"/>
            <w:tcBorders>
              <w:top w:val="nil"/>
              <w:left w:val="nil"/>
              <w:bottom w:val="single" w:sz="4" w:space="0" w:color="auto"/>
              <w:right w:val="nil"/>
            </w:tcBorders>
            <w:noWrap/>
            <w:vAlign w:val="bottom"/>
            <w:hideMark/>
          </w:tcPr>
          <w:p w14:paraId="6EBA894D" w14:textId="5178023F" w:rsidR="008D2B6B" w:rsidRPr="00A96364" w:rsidRDefault="00CF4832" w:rsidP="008D2B6B">
            <w:pPr>
              <w:snapToGrid w:val="0"/>
              <w:spacing w:after="0" w:line="480" w:lineRule="auto"/>
              <w:jc w:val="right"/>
              <w:rPr>
                <w:rFonts w:ascii="Cambria" w:eastAsia="Times New Roman" w:hAnsi="Cambria" w:cs="Calibri"/>
                <w:color w:val="000000"/>
                <w:sz w:val="24"/>
                <w:szCs w:val="24"/>
                <w:lang w:val="en-GB" w:eastAsia="zh-CN"/>
              </w:rPr>
            </w:pPr>
            <w:r>
              <w:rPr>
                <w:rFonts w:ascii="Cambria" w:eastAsia="Times New Roman" w:hAnsi="Cambria" w:cs="Calibri"/>
                <w:color w:val="000000"/>
                <w:sz w:val="24"/>
                <w:szCs w:val="24"/>
                <w:lang w:val="en-GB" w:eastAsia="zh-CN"/>
              </w:rPr>
              <w:lastRenderedPageBreak/>
              <w:t>173</w:t>
            </w:r>
          </w:p>
        </w:tc>
        <w:tc>
          <w:tcPr>
            <w:tcW w:w="1289" w:type="pct"/>
            <w:tcBorders>
              <w:top w:val="nil"/>
              <w:left w:val="nil"/>
              <w:bottom w:val="single" w:sz="4" w:space="0" w:color="auto"/>
              <w:right w:val="nil"/>
            </w:tcBorders>
            <w:noWrap/>
            <w:vAlign w:val="bottom"/>
            <w:hideMark/>
          </w:tcPr>
          <w:p w14:paraId="053253F9" w14:textId="77777777" w:rsidR="008D2B6B" w:rsidRPr="00A96364" w:rsidRDefault="008D2B6B" w:rsidP="008D2B6B">
            <w:pPr>
              <w:snapToGrid w:val="0"/>
              <w:spacing w:after="0" w:line="480" w:lineRule="auto"/>
              <w:rPr>
                <w:rFonts w:ascii="Cambria" w:eastAsia="Times New Roman" w:hAnsi="Cambria" w:cs="Calibri"/>
                <w:color w:val="000000"/>
                <w:sz w:val="24"/>
                <w:szCs w:val="24"/>
                <w:lang w:val="en-GB" w:eastAsia="zh-CN"/>
              </w:rPr>
            </w:pPr>
            <w:r w:rsidRPr="00A96364">
              <w:rPr>
                <w:rFonts w:ascii="Cambria" w:eastAsia="Times New Roman" w:hAnsi="Cambria" w:cs="Calibri"/>
                <w:color w:val="000000"/>
                <w:sz w:val="24"/>
                <w:szCs w:val="24"/>
                <w:lang w:val="en-GB" w:eastAsia="zh-CN"/>
              </w:rPr>
              <w:t xml:space="preserve">Positive sewage </w:t>
            </w:r>
            <w:r w:rsidRPr="00A96364">
              <w:rPr>
                <w:rFonts w:ascii="Cambria" w:eastAsia="Times New Roman" w:hAnsi="Cambria" w:cs="Calibri"/>
                <w:color w:val="000000"/>
                <w:sz w:val="24"/>
                <w:szCs w:val="24"/>
                <w:lang w:val="en-GB" w:eastAsia="zh-CN"/>
              </w:rPr>
              <w:lastRenderedPageBreak/>
              <w:t>samples</w:t>
            </w:r>
          </w:p>
        </w:tc>
      </w:tr>
    </w:tbl>
    <w:p w14:paraId="12D1714A" w14:textId="77777777" w:rsidR="00D1401F" w:rsidRPr="00A96364" w:rsidRDefault="00D1401F" w:rsidP="00CC7DC5">
      <w:pPr>
        <w:spacing w:line="480" w:lineRule="auto"/>
        <w:rPr>
          <w:rFonts w:ascii="Cambria" w:hAnsi="Cambria"/>
          <w:sz w:val="24"/>
          <w:szCs w:val="24"/>
          <w:lang w:val="en-GB"/>
        </w:rPr>
      </w:pPr>
    </w:p>
    <w:p w14:paraId="78404FE6" w14:textId="26D813BD" w:rsidR="00A96364" w:rsidRDefault="00A96364" w:rsidP="00CC7DC5">
      <w:pPr>
        <w:spacing w:line="480" w:lineRule="auto"/>
        <w:jc w:val="center"/>
        <w:rPr>
          <w:rFonts w:ascii="Cambria" w:hAnsi="Cambria"/>
          <w:sz w:val="24"/>
          <w:szCs w:val="24"/>
        </w:rPr>
      </w:pPr>
      <w:r>
        <w:rPr>
          <w:rFonts w:ascii="Cambria" w:hAnsi="Cambria"/>
          <w:sz w:val="24"/>
          <w:szCs w:val="24"/>
        </w:rPr>
        <w:br w:type="column"/>
      </w:r>
      <w:r w:rsidR="0001261A">
        <w:rPr>
          <w:rFonts w:ascii="Cambria" w:hAnsi="Cambria"/>
          <w:noProof/>
          <w:sz w:val="24"/>
          <w:szCs w:val="24"/>
        </w:rPr>
        <w:lastRenderedPageBreak/>
        <w:drawing>
          <wp:inline distT="0" distB="0" distL="0" distR="0" wp14:anchorId="4D993695" wp14:editId="6EFE24D6">
            <wp:extent cx="4097020" cy="5224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020" cy="5224780"/>
                    </a:xfrm>
                    <a:prstGeom prst="rect">
                      <a:avLst/>
                    </a:prstGeom>
                    <a:noFill/>
                  </pic:spPr>
                </pic:pic>
              </a:graphicData>
            </a:graphic>
          </wp:inline>
        </w:drawing>
      </w:r>
    </w:p>
    <w:p w14:paraId="6045BB1C" w14:textId="7F895C04" w:rsidR="00CD3BC3" w:rsidRDefault="00506594" w:rsidP="00CC7DC5">
      <w:pPr>
        <w:spacing w:line="480" w:lineRule="auto"/>
        <w:rPr>
          <w:rFonts w:ascii="Cambria" w:hAnsi="Cambria"/>
          <w:sz w:val="24"/>
          <w:szCs w:val="24"/>
        </w:rPr>
      </w:pPr>
      <w:r w:rsidRPr="00A96364">
        <w:rPr>
          <w:rFonts w:ascii="Cambria" w:hAnsi="Cambria"/>
          <w:sz w:val="24"/>
          <w:szCs w:val="24"/>
        </w:rPr>
        <w:t xml:space="preserve">Figure </w:t>
      </w:r>
      <w:r w:rsidR="00242DD6">
        <w:rPr>
          <w:rFonts w:ascii="Cambria" w:hAnsi="Cambria"/>
          <w:sz w:val="24"/>
          <w:szCs w:val="24"/>
        </w:rPr>
        <w:t>A</w:t>
      </w:r>
      <w:r w:rsidRPr="00A96364">
        <w:rPr>
          <w:rFonts w:ascii="Cambria" w:hAnsi="Cambria"/>
          <w:sz w:val="24"/>
          <w:szCs w:val="24"/>
        </w:rPr>
        <w:t xml:space="preserve">1. </w:t>
      </w:r>
      <w:r w:rsidR="00A71123" w:rsidRPr="00A96364">
        <w:rPr>
          <w:rFonts w:ascii="Cambria" w:hAnsi="Cambria"/>
          <w:sz w:val="24"/>
          <w:szCs w:val="24"/>
        </w:rPr>
        <w:t xml:space="preserve">The number of locally transmitted cases in waves one to four, infected by the ancestral strain, and wave five, infected by either Omicron BA2.1 or Delta </w:t>
      </w:r>
      <w:r w:rsidRPr="00A96364">
        <w:rPr>
          <w:rFonts w:ascii="Cambria" w:hAnsi="Cambria"/>
          <w:sz w:val="24"/>
          <w:szCs w:val="24"/>
        </w:rPr>
        <w:t>variants</w:t>
      </w:r>
      <w:r w:rsidR="00A71123" w:rsidRPr="00A96364">
        <w:rPr>
          <w:rFonts w:ascii="Cambria" w:hAnsi="Cambria"/>
          <w:sz w:val="24"/>
          <w:szCs w:val="24"/>
        </w:rPr>
        <w:t xml:space="preserve"> are displayed along with reason a valid building address </w:t>
      </w:r>
      <w:r w:rsidR="0001261A">
        <w:rPr>
          <w:rFonts w:ascii="Cambria" w:hAnsi="Cambria"/>
          <w:sz w:val="24"/>
          <w:szCs w:val="24"/>
        </w:rPr>
        <w:t>was</w:t>
      </w:r>
      <w:r w:rsidR="00A71123" w:rsidRPr="00A96364">
        <w:rPr>
          <w:rFonts w:ascii="Cambria" w:hAnsi="Cambria"/>
          <w:sz w:val="24"/>
          <w:szCs w:val="24"/>
        </w:rPr>
        <w:t xml:space="preserve"> missing</w:t>
      </w:r>
      <w:r w:rsidR="0001261A">
        <w:rPr>
          <w:rFonts w:ascii="Cambria" w:hAnsi="Cambria"/>
          <w:sz w:val="24"/>
          <w:szCs w:val="24"/>
        </w:rPr>
        <w:t xml:space="preserve"> and the total number with a valid residential address</w:t>
      </w:r>
      <w:r w:rsidR="00A71123" w:rsidRPr="00A96364">
        <w:rPr>
          <w:rFonts w:ascii="Cambria" w:hAnsi="Cambria"/>
          <w:sz w:val="24"/>
          <w:szCs w:val="24"/>
        </w:rPr>
        <w:t xml:space="preserve">. </w:t>
      </w:r>
    </w:p>
    <w:p w14:paraId="649C63AF" w14:textId="232D343B" w:rsidR="00030232" w:rsidRDefault="00030232" w:rsidP="00030232">
      <w:pPr>
        <w:snapToGrid w:val="0"/>
        <w:spacing w:after="0" w:line="480" w:lineRule="auto"/>
        <w:rPr>
          <w:rFonts w:ascii="Cambria" w:hAnsi="Cambria"/>
          <w:sz w:val="24"/>
          <w:szCs w:val="24"/>
          <w:lang w:val="en-GB"/>
        </w:rPr>
      </w:pPr>
      <w:r>
        <w:rPr>
          <w:rFonts w:ascii="Cambria" w:hAnsi="Cambria"/>
          <w:sz w:val="24"/>
          <w:szCs w:val="24"/>
        </w:rPr>
        <w:br w:type="column"/>
      </w:r>
      <w:r>
        <w:rPr>
          <w:rFonts w:ascii="Cambria" w:hAnsi="Cambria"/>
          <w:sz w:val="24"/>
          <w:szCs w:val="24"/>
        </w:rPr>
        <w:lastRenderedPageBreak/>
        <w:t xml:space="preserve">Figure </w:t>
      </w:r>
      <w:r w:rsidR="00242DD6">
        <w:rPr>
          <w:rFonts w:ascii="Cambria" w:hAnsi="Cambria"/>
          <w:sz w:val="24"/>
          <w:szCs w:val="24"/>
        </w:rPr>
        <w:t>A</w:t>
      </w:r>
      <w:r>
        <w:rPr>
          <w:rFonts w:ascii="Cambria" w:hAnsi="Cambria"/>
          <w:iCs/>
          <w:sz w:val="24"/>
          <w:szCs w:val="24"/>
        </w:rPr>
        <w:t>2</w:t>
      </w:r>
      <w:r>
        <w:rPr>
          <w:rFonts w:ascii="Cambria" w:hAnsi="Cambria"/>
          <w:sz w:val="24"/>
          <w:szCs w:val="24"/>
        </w:rPr>
        <w:t>. Residential outbreak at Block 8 of Kwai Shing Estates</w:t>
      </w:r>
      <w:r>
        <w:rPr>
          <w:rFonts w:ascii="Cambria" w:hAnsi="Cambria"/>
          <w:sz w:val="24"/>
          <w:szCs w:val="24"/>
          <w:lang w:val="en-GB"/>
        </w:rPr>
        <w:t xml:space="preserve"> in Hong Kong from 20 November 2020 — 25 December 2020. Cases are grouped by associated cluster. The first case is associated with two case clusters, a cluster of cases originating from a dance </w:t>
      </w:r>
      <w:r w:rsidR="005A6BB7">
        <w:rPr>
          <w:noProof/>
        </w:rPr>
        <w:drawing>
          <wp:anchor distT="0" distB="0" distL="114300" distR="114300" simplePos="0" relativeHeight="251659264" behindDoc="0" locked="0" layoutInCell="1" allowOverlap="1" wp14:anchorId="76598DA8" wp14:editId="5604C24B">
            <wp:simplePos x="0" y="0"/>
            <wp:positionH relativeFrom="margin">
              <wp:posOffset>-2540</wp:posOffset>
            </wp:positionH>
            <wp:positionV relativeFrom="paragraph">
              <wp:posOffset>1809698</wp:posOffset>
            </wp:positionV>
            <wp:extent cx="5731510" cy="3082290"/>
            <wp:effectExtent l="0" t="0" r="2540" b="3810"/>
            <wp:wrapTopAndBottom/>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 bar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0822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lang w:val="en-GB"/>
        </w:rPr>
        <w:t xml:space="preserve">club and its household cluster. </w:t>
      </w:r>
    </w:p>
    <w:p w14:paraId="39606648" w14:textId="6CA3D148" w:rsidR="00030232" w:rsidRPr="00A96364" w:rsidRDefault="00030232" w:rsidP="00CC7DC5">
      <w:pPr>
        <w:spacing w:line="480" w:lineRule="auto"/>
        <w:rPr>
          <w:rFonts w:ascii="Cambria" w:hAnsi="Cambria"/>
          <w:sz w:val="24"/>
          <w:szCs w:val="24"/>
        </w:rPr>
      </w:pPr>
    </w:p>
    <w:sectPr w:rsidR="00030232" w:rsidRPr="00A96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5CA1"/>
    <w:rsid w:val="0001261A"/>
    <w:rsid w:val="0002380B"/>
    <w:rsid w:val="00030232"/>
    <w:rsid w:val="00085A1E"/>
    <w:rsid w:val="000A7068"/>
    <w:rsid w:val="000C046C"/>
    <w:rsid w:val="00111444"/>
    <w:rsid w:val="00151677"/>
    <w:rsid w:val="0017027C"/>
    <w:rsid w:val="00175CA1"/>
    <w:rsid w:val="00187AB7"/>
    <w:rsid w:val="00242DD6"/>
    <w:rsid w:val="00250004"/>
    <w:rsid w:val="00347119"/>
    <w:rsid w:val="00363AF2"/>
    <w:rsid w:val="003872D5"/>
    <w:rsid w:val="00506594"/>
    <w:rsid w:val="005A6BB7"/>
    <w:rsid w:val="005B3879"/>
    <w:rsid w:val="006A0C4F"/>
    <w:rsid w:val="006F1EA7"/>
    <w:rsid w:val="00710BD2"/>
    <w:rsid w:val="00801C66"/>
    <w:rsid w:val="00897D7E"/>
    <w:rsid w:val="008D2B6B"/>
    <w:rsid w:val="00940F19"/>
    <w:rsid w:val="0097034B"/>
    <w:rsid w:val="009F7F89"/>
    <w:rsid w:val="00A272CF"/>
    <w:rsid w:val="00A2785B"/>
    <w:rsid w:val="00A71123"/>
    <w:rsid w:val="00A96364"/>
    <w:rsid w:val="00AD36C3"/>
    <w:rsid w:val="00BE050F"/>
    <w:rsid w:val="00C02E8F"/>
    <w:rsid w:val="00CC7DC5"/>
    <w:rsid w:val="00CD105C"/>
    <w:rsid w:val="00CD3BC3"/>
    <w:rsid w:val="00CF4832"/>
    <w:rsid w:val="00D1401F"/>
    <w:rsid w:val="00D55A01"/>
    <w:rsid w:val="00EF4DC4"/>
    <w:rsid w:val="00FD732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DFA9"/>
  <w15:docId w15:val="{D050B7B1-462B-4110-8854-B69EF963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123"/>
    <w:pPr>
      <w:keepNext/>
      <w:keepLines/>
      <w:snapToGrid w:val="0"/>
      <w:spacing w:after="0" w:line="480" w:lineRule="auto"/>
      <w:outlineLvl w:val="0"/>
    </w:pPr>
    <w:rPr>
      <w:rFonts w:ascii="Cambria" w:hAnsi="Cambria"/>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23"/>
    <w:rPr>
      <w:rFonts w:ascii="Cambria" w:hAnsi="Cambria"/>
      <w:b/>
      <w:bCs/>
      <w:sz w:val="24"/>
      <w:lang w:val="en-US"/>
    </w:rPr>
  </w:style>
  <w:style w:type="paragraph" w:styleId="Caption">
    <w:name w:val="caption"/>
    <w:basedOn w:val="Normal"/>
    <w:next w:val="Normal"/>
    <w:uiPriority w:val="35"/>
    <w:semiHidden/>
    <w:unhideWhenUsed/>
    <w:qFormat/>
    <w:rsid w:val="00506594"/>
    <w:pPr>
      <w:spacing w:after="200" w:line="240" w:lineRule="auto"/>
    </w:pPr>
    <w:rPr>
      <w:rFonts w:eastAsia="SimSun"/>
      <w:i/>
      <w:iCs/>
      <w:color w:val="44546A" w:themeColor="text2"/>
      <w:sz w:val="18"/>
      <w:szCs w:val="18"/>
      <w:lang w:val="en-US"/>
    </w:rPr>
  </w:style>
  <w:style w:type="paragraph" w:styleId="Revision">
    <w:name w:val="Revision"/>
    <w:hidden/>
    <w:uiPriority w:val="99"/>
    <w:semiHidden/>
    <w:rsid w:val="00EF4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484">
      <w:bodyDiv w:val="1"/>
      <w:marLeft w:val="0"/>
      <w:marRight w:val="0"/>
      <w:marTop w:val="0"/>
      <w:marBottom w:val="0"/>
      <w:divBdr>
        <w:top w:val="none" w:sz="0" w:space="0" w:color="auto"/>
        <w:left w:val="none" w:sz="0" w:space="0" w:color="auto"/>
        <w:bottom w:val="none" w:sz="0" w:space="0" w:color="auto"/>
        <w:right w:val="none" w:sz="0" w:space="0" w:color="auto"/>
      </w:divBdr>
    </w:div>
    <w:div w:id="138879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CF86-DB80-4B73-8EC8-A90151ED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Young</dc:creator>
  <cp:keywords/>
  <dc:description/>
  <cp:lastModifiedBy>Young Benjamin Ross</cp:lastModifiedBy>
  <cp:revision>4</cp:revision>
  <dcterms:created xsi:type="dcterms:W3CDTF">2022-09-30T08:44:00Z</dcterms:created>
  <dcterms:modified xsi:type="dcterms:W3CDTF">2022-09-30T08:45:00Z</dcterms:modified>
</cp:coreProperties>
</file>