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BA5E" w14:textId="0FCBE5DC" w:rsidR="00A34821" w:rsidRPr="00A34821" w:rsidRDefault="00A34821" w:rsidP="00A34821">
      <w:pPr>
        <w:pStyle w:val="Caption"/>
        <w:keepNext/>
        <w:spacing w:line="480" w:lineRule="auto"/>
        <w:rPr>
          <w:i w:val="0"/>
          <w:color w:val="000000" w:themeColor="text1"/>
          <w:sz w:val="24"/>
          <w:szCs w:val="24"/>
          <w:lang w:val="en-GB"/>
        </w:rPr>
      </w:pPr>
      <w:r w:rsidRPr="00A634AF">
        <w:rPr>
          <w:i w:val="0"/>
          <w:color w:val="000000" w:themeColor="text1"/>
          <w:sz w:val="24"/>
          <w:szCs w:val="24"/>
          <w:lang w:val="en-GB"/>
        </w:rPr>
        <w:t xml:space="preserve">Table </w:t>
      </w:r>
      <w:r w:rsidRPr="00A634AF">
        <w:rPr>
          <w:i w:val="0"/>
          <w:color w:val="000000" w:themeColor="text1"/>
          <w:sz w:val="24"/>
          <w:szCs w:val="24"/>
          <w:lang w:val="en-GB"/>
        </w:rPr>
        <w:fldChar w:fldCharType="begin"/>
      </w:r>
      <w:r w:rsidRPr="00A634AF">
        <w:rPr>
          <w:i w:val="0"/>
          <w:color w:val="000000" w:themeColor="text1"/>
          <w:sz w:val="24"/>
          <w:szCs w:val="24"/>
          <w:lang w:val="en-GB"/>
        </w:rPr>
        <w:instrText xml:space="preserve"> SEQ Table \* ARABIC </w:instrText>
      </w:r>
      <w:r w:rsidRPr="00A634AF">
        <w:rPr>
          <w:i w:val="0"/>
          <w:color w:val="000000" w:themeColor="text1"/>
          <w:sz w:val="24"/>
          <w:szCs w:val="24"/>
          <w:lang w:val="en-GB"/>
        </w:rPr>
        <w:fldChar w:fldCharType="separate"/>
      </w:r>
      <w:r w:rsidRPr="00A634AF">
        <w:rPr>
          <w:i w:val="0"/>
          <w:noProof/>
          <w:color w:val="000000" w:themeColor="text1"/>
          <w:sz w:val="24"/>
          <w:szCs w:val="24"/>
          <w:lang w:val="en-GB"/>
        </w:rPr>
        <w:t>1</w:t>
      </w:r>
      <w:r w:rsidRPr="00A634AF">
        <w:rPr>
          <w:i w:val="0"/>
          <w:color w:val="000000" w:themeColor="text1"/>
          <w:sz w:val="24"/>
          <w:szCs w:val="24"/>
          <w:lang w:val="en-GB"/>
        </w:rPr>
        <w:fldChar w:fldCharType="end"/>
      </w:r>
      <w:r w:rsidRPr="00A634AF">
        <w:rPr>
          <w:i w:val="0"/>
          <w:color w:val="000000" w:themeColor="text1"/>
          <w:sz w:val="24"/>
          <w:szCs w:val="24"/>
          <w:lang w:val="en-GB"/>
        </w:rPr>
        <w:t>. Number of compulsory testing notice (CTN) associated cases, by wave and virus variant as well as the number of buildings targeted in the CTNs for the study periods of interest including wave four (9 December 2020 – 23 April 2021) and the early period of wave five (15 December 2021- 15 February 2, 2022)</w:t>
      </w:r>
    </w:p>
    <w:tbl>
      <w:tblPr>
        <w:tblW w:w="5032" w:type="pct"/>
        <w:jc w:val="center"/>
        <w:tblLook w:val="04A0" w:firstRow="1" w:lastRow="0" w:firstColumn="1" w:lastColumn="0" w:noHBand="0" w:noVBand="1"/>
      </w:tblPr>
      <w:tblGrid>
        <w:gridCol w:w="4279"/>
        <w:gridCol w:w="1192"/>
        <w:gridCol w:w="1086"/>
        <w:gridCol w:w="1192"/>
        <w:gridCol w:w="1335"/>
      </w:tblGrid>
      <w:tr w:rsidR="00665719" w:rsidRPr="00A634AF" w14:paraId="4940B93A" w14:textId="77777777" w:rsidTr="00A5081C">
        <w:trPr>
          <w:trHeight w:val="212"/>
          <w:jc w:val="center"/>
        </w:trPr>
        <w:tc>
          <w:tcPr>
            <w:tcW w:w="2355" w:type="pct"/>
            <w:tcBorders>
              <w:top w:val="single" w:sz="4" w:space="0" w:color="auto"/>
              <w:left w:val="nil"/>
              <w:bottom w:val="nil"/>
              <w:right w:val="nil"/>
            </w:tcBorders>
            <w:shd w:val="clear" w:color="auto" w:fill="auto"/>
            <w:noWrap/>
            <w:vAlign w:val="bottom"/>
            <w:hideMark/>
          </w:tcPr>
          <w:p w14:paraId="59BA5D78" w14:textId="77777777" w:rsidR="00665719" w:rsidRPr="00A634AF" w:rsidRDefault="00665719" w:rsidP="00A5081C">
            <w:pPr>
              <w:spacing w:line="360" w:lineRule="auto"/>
              <w:jc w:val="center"/>
              <w:rPr>
                <w:rFonts w:eastAsia="Times New Roman" w:cs="Times New Roman"/>
                <w:sz w:val="20"/>
                <w:szCs w:val="20"/>
                <w:lang w:val="en-GB"/>
              </w:rPr>
            </w:pPr>
          </w:p>
        </w:tc>
        <w:tc>
          <w:tcPr>
            <w:tcW w:w="656" w:type="pct"/>
            <w:tcBorders>
              <w:top w:val="single" w:sz="4" w:space="0" w:color="auto"/>
              <w:left w:val="nil"/>
              <w:bottom w:val="nil"/>
              <w:right w:val="nil"/>
            </w:tcBorders>
            <w:shd w:val="clear" w:color="auto" w:fill="auto"/>
            <w:noWrap/>
            <w:vAlign w:val="bottom"/>
            <w:hideMark/>
          </w:tcPr>
          <w:p w14:paraId="5DA0A360" w14:textId="77777777" w:rsidR="00665719" w:rsidRPr="00A634AF" w:rsidRDefault="00665719" w:rsidP="00A5081C">
            <w:pPr>
              <w:spacing w:line="360" w:lineRule="auto"/>
              <w:jc w:val="center"/>
              <w:rPr>
                <w:color w:val="000000" w:themeColor="text1"/>
                <w:sz w:val="20"/>
                <w:szCs w:val="20"/>
                <w:lang w:val="en-GB"/>
              </w:rPr>
            </w:pPr>
            <w:r w:rsidRPr="00A634AF">
              <w:rPr>
                <w:rFonts w:eastAsia="Times New Roman" w:cs="Calibri"/>
                <w:color w:val="000000"/>
                <w:sz w:val="20"/>
                <w:szCs w:val="20"/>
                <w:lang w:val="en-GB"/>
              </w:rPr>
              <w:t>Wave 4</w:t>
            </w:r>
          </w:p>
        </w:tc>
        <w:tc>
          <w:tcPr>
            <w:tcW w:w="1254" w:type="pct"/>
            <w:gridSpan w:val="2"/>
            <w:tcBorders>
              <w:top w:val="single" w:sz="4" w:space="0" w:color="auto"/>
              <w:left w:val="nil"/>
              <w:bottom w:val="nil"/>
              <w:right w:val="nil"/>
            </w:tcBorders>
            <w:shd w:val="clear" w:color="auto" w:fill="auto"/>
            <w:noWrap/>
            <w:vAlign w:val="bottom"/>
            <w:hideMark/>
          </w:tcPr>
          <w:p w14:paraId="76A89175"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Wave 5</w:t>
            </w:r>
          </w:p>
        </w:tc>
        <w:tc>
          <w:tcPr>
            <w:tcW w:w="735" w:type="pct"/>
            <w:tcBorders>
              <w:top w:val="single" w:sz="4" w:space="0" w:color="auto"/>
              <w:left w:val="nil"/>
              <w:right w:val="nil"/>
            </w:tcBorders>
            <w:shd w:val="clear" w:color="auto" w:fill="auto"/>
            <w:noWrap/>
            <w:vAlign w:val="bottom"/>
            <w:hideMark/>
          </w:tcPr>
          <w:p w14:paraId="3BE131CF" w14:textId="77777777" w:rsidR="00665719" w:rsidRPr="00A634AF" w:rsidRDefault="00665719" w:rsidP="00A5081C">
            <w:pPr>
              <w:spacing w:line="360" w:lineRule="auto"/>
              <w:jc w:val="center"/>
              <w:rPr>
                <w:rFonts w:eastAsia="Times New Roman" w:cs="Calibri"/>
                <w:color w:val="000000"/>
                <w:sz w:val="20"/>
                <w:szCs w:val="20"/>
                <w:lang w:val="en-GB"/>
              </w:rPr>
            </w:pPr>
          </w:p>
        </w:tc>
      </w:tr>
      <w:tr w:rsidR="00665719" w:rsidRPr="00A634AF" w14:paraId="5662108E" w14:textId="77777777" w:rsidTr="00A5081C">
        <w:trPr>
          <w:trHeight w:val="88"/>
          <w:jc w:val="center"/>
        </w:trPr>
        <w:tc>
          <w:tcPr>
            <w:tcW w:w="2355" w:type="pct"/>
            <w:tcBorders>
              <w:top w:val="nil"/>
              <w:left w:val="nil"/>
              <w:bottom w:val="single" w:sz="8" w:space="0" w:color="auto"/>
              <w:right w:val="nil"/>
            </w:tcBorders>
            <w:shd w:val="clear" w:color="auto" w:fill="auto"/>
            <w:noWrap/>
            <w:vAlign w:val="bottom"/>
          </w:tcPr>
          <w:p w14:paraId="530EB68B" w14:textId="77777777" w:rsidR="00665719" w:rsidRPr="00A634AF" w:rsidRDefault="00665719" w:rsidP="00A5081C">
            <w:pPr>
              <w:spacing w:line="360" w:lineRule="auto"/>
              <w:rPr>
                <w:rFonts w:eastAsia="Times New Roman" w:cs="Calibri"/>
                <w:color w:val="000000"/>
                <w:sz w:val="20"/>
                <w:szCs w:val="20"/>
                <w:lang w:val="en-GB"/>
              </w:rPr>
            </w:pPr>
          </w:p>
        </w:tc>
        <w:tc>
          <w:tcPr>
            <w:tcW w:w="656" w:type="pct"/>
            <w:tcBorders>
              <w:top w:val="nil"/>
              <w:left w:val="nil"/>
              <w:bottom w:val="single" w:sz="8" w:space="0" w:color="auto"/>
              <w:right w:val="nil"/>
            </w:tcBorders>
            <w:shd w:val="clear" w:color="auto" w:fill="auto"/>
            <w:noWrap/>
            <w:vAlign w:val="bottom"/>
            <w:hideMark/>
          </w:tcPr>
          <w:p w14:paraId="767DCF7B"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ancestral</w:t>
            </w:r>
          </w:p>
        </w:tc>
        <w:tc>
          <w:tcPr>
            <w:tcW w:w="598" w:type="pct"/>
            <w:tcBorders>
              <w:top w:val="nil"/>
              <w:left w:val="nil"/>
              <w:bottom w:val="single" w:sz="8" w:space="0" w:color="auto"/>
              <w:right w:val="nil"/>
            </w:tcBorders>
            <w:shd w:val="clear" w:color="auto" w:fill="auto"/>
            <w:vAlign w:val="bottom"/>
            <w:hideMark/>
          </w:tcPr>
          <w:p w14:paraId="538D8B7B"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Delta</w:t>
            </w:r>
          </w:p>
        </w:tc>
        <w:tc>
          <w:tcPr>
            <w:tcW w:w="656" w:type="pct"/>
            <w:tcBorders>
              <w:top w:val="nil"/>
              <w:left w:val="nil"/>
              <w:bottom w:val="single" w:sz="8" w:space="0" w:color="auto"/>
              <w:right w:val="nil"/>
            </w:tcBorders>
            <w:shd w:val="clear" w:color="auto" w:fill="auto"/>
            <w:vAlign w:val="bottom"/>
            <w:hideMark/>
          </w:tcPr>
          <w:p w14:paraId="782CD9CD"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Omicron</w:t>
            </w:r>
          </w:p>
        </w:tc>
        <w:tc>
          <w:tcPr>
            <w:tcW w:w="735" w:type="pct"/>
            <w:tcBorders>
              <w:left w:val="nil"/>
              <w:bottom w:val="single" w:sz="8" w:space="0" w:color="auto"/>
              <w:right w:val="nil"/>
            </w:tcBorders>
            <w:shd w:val="clear" w:color="auto" w:fill="auto"/>
            <w:noWrap/>
            <w:vAlign w:val="bottom"/>
          </w:tcPr>
          <w:p w14:paraId="6BAC91CB"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p-value</w:t>
            </w:r>
          </w:p>
        </w:tc>
      </w:tr>
      <w:tr w:rsidR="00665719" w:rsidRPr="00A634AF" w14:paraId="593E1995" w14:textId="77777777" w:rsidTr="00A5081C">
        <w:trPr>
          <w:trHeight w:val="223"/>
          <w:jc w:val="center"/>
        </w:trPr>
        <w:tc>
          <w:tcPr>
            <w:tcW w:w="2355" w:type="pct"/>
            <w:tcBorders>
              <w:top w:val="single" w:sz="8" w:space="0" w:color="auto"/>
              <w:left w:val="nil"/>
              <w:bottom w:val="nil"/>
              <w:right w:val="nil"/>
            </w:tcBorders>
            <w:shd w:val="clear" w:color="auto" w:fill="auto"/>
            <w:noWrap/>
            <w:vAlign w:val="bottom"/>
            <w:hideMark/>
          </w:tcPr>
          <w:p w14:paraId="0B220283"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Cases with valid residence, n</w:t>
            </w:r>
          </w:p>
        </w:tc>
        <w:tc>
          <w:tcPr>
            <w:tcW w:w="656" w:type="pct"/>
            <w:tcBorders>
              <w:top w:val="single" w:sz="8" w:space="0" w:color="auto"/>
              <w:left w:val="nil"/>
              <w:bottom w:val="nil"/>
              <w:right w:val="nil"/>
            </w:tcBorders>
            <w:shd w:val="clear" w:color="auto" w:fill="auto"/>
            <w:noWrap/>
            <w:vAlign w:val="bottom"/>
            <w:hideMark/>
          </w:tcPr>
          <w:p w14:paraId="32C716C9"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sz w:val="20"/>
                <w:szCs w:val="20"/>
                <w:lang w:val="en-GB"/>
              </w:rPr>
              <w:t>3426</w:t>
            </w:r>
          </w:p>
        </w:tc>
        <w:tc>
          <w:tcPr>
            <w:tcW w:w="598" w:type="pct"/>
            <w:tcBorders>
              <w:top w:val="single" w:sz="8" w:space="0" w:color="auto"/>
              <w:left w:val="nil"/>
              <w:bottom w:val="nil"/>
              <w:right w:val="nil"/>
            </w:tcBorders>
            <w:shd w:val="clear" w:color="auto" w:fill="auto"/>
            <w:noWrap/>
            <w:vAlign w:val="bottom"/>
            <w:hideMark/>
          </w:tcPr>
          <w:p w14:paraId="1AC1E388"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160</w:t>
            </w:r>
          </w:p>
        </w:tc>
        <w:tc>
          <w:tcPr>
            <w:tcW w:w="656" w:type="pct"/>
            <w:tcBorders>
              <w:top w:val="single" w:sz="8" w:space="0" w:color="auto"/>
              <w:left w:val="nil"/>
              <w:bottom w:val="nil"/>
              <w:right w:val="nil"/>
            </w:tcBorders>
            <w:shd w:val="clear" w:color="auto" w:fill="auto"/>
            <w:noWrap/>
            <w:vAlign w:val="bottom"/>
            <w:hideMark/>
          </w:tcPr>
          <w:p w14:paraId="1B4288F6"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8208</w:t>
            </w:r>
          </w:p>
        </w:tc>
        <w:tc>
          <w:tcPr>
            <w:tcW w:w="735" w:type="pct"/>
            <w:tcBorders>
              <w:top w:val="single" w:sz="8" w:space="0" w:color="auto"/>
              <w:left w:val="nil"/>
              <w:bottom w:val="nil"/>
              <w:right w:val="nil"/>
            </w:tcBorders>
            <w:shd w:val="clear" w:color="auto" w:fill="auto"/>
            <w:noWrap/>
            <w:vAlign w:val="bottom"/>
          </w:tcPr>
          <w:p w14:paraId="628D13D1"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w:t>
            </w:r>
          </w:p>
        </w:tc>
      </w:tr>
      <w:tr w:rsidR="00665719" w:rsidRPr="00A634AF" w14:paraId="02566B85" w14:textId="77777777" w:rsidTr="00A5081C">
        <w:trPr>
          <w:trHeight w:val="212"/>
          <w:jc w:val="center"/>
        </w:trPr>
        <w:tc>
          <w:tcPr>
            <w:tcW w:w="2355" w:type="pct"/>
            <w:tcBorders>
              <w:top w:val="nil"/>
              <w:left w:val="nil"/>
              <w:bottom w:val="nil"/>
              <w:right w:val="nil"/>
            </w:tcBorders>
            <w:shd w:val="clear" w:color="auto" w:fill="auto"/>
            <w:noWrap/>
            <w:vAlign w:val="bottom"/>
            <w:hideMark/>
          </w:tcPr>
          <w:p w14:paraId="3E684F1B"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Cases associated with CTNs, n (%)</w:t>
            </w:r>
          </w:p>
        </w:tc>
        <w:tc>
          <w:tcPr>
            <w:tcW w:w="656" w:type="pct"/>
            <w:tcBorders>
              <w:top w:val="nil"/>
              <w:left w:val="nil"/>
              <w:bottom w:val="nil"/>
              <w:right w:val="nil"/>
            </w:tcBorders>
            <w:shd w:val="clear" w:color="auto" w:fill="auto"/>
            <w:noWrap/>
            <w:vAlign w:val="bottom"/>
            <w:hideMark/>
          </w:tcPr>
          <w:p w14:paraId="42AFA0D1"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345 (10.1)</w:t>
            </w:r>
          </w:p>
        </w:tc>
        <w:tc>
          <w:tcPr>
            <w:tcW w:w="598" w:type="pct"/>
            <w:tcBorders>
              <w:top w:val="nil"/>
              <w:left w:val="nil"/>
              <w:bottom w:val="nil"/>
              <w:right w:val="nil"/>
            </w:tcBorders>
            <w:shd w:val="clear" w:color="auto" w:fill="auto"/>
            <w:noWrap/>
            <w:vAlign w:val="bottom"/>
            <w:hideMark/>
          </w:tcPr>
          <w:p w14:paraId="66B93BE1"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87 (5.4)</w:t>
            </w:r>
          </w:p>
        </w:tc>
        <w:tc>
          <w:tcPr>
            <w:tcW w:w="656" w:type="pct"/>
            <w:tcBorders>
              <w:top w:val="nil"/>
              <w:left w:val="nil"/>
              <w:bottom w:val="nil"/>
              <w:right w:val="nil"/>
            </w:tcBorders>
            <w:shd w:val="clear" w:color="auto" w:fill="auto"/>
            <w:noWrap/>
            <w:vAlign w:val="bottom"/>
            <w:hideMark/>
          </w:tcPr>
          <w:p w14:paraId="6B3B0B4A"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1708 (20.8)</w:t>
            </w:r>
          </w:p>
        </w:tc>
        <w:tc>
          <w:tcPr>
            <w:tcW w:w="735" w:type="pct"/>
            <w:tcBorders>
              <w:top w:val="nil"/>
              <w:left w:val="nil"/>
              <w:bottom w:val="nil"/>
              <w:right w:val="nil"/>
            </w:tcBorders>
            <w:shd w:val="clear" w:color="auto" w:fill="auto"/>
            <w:noWrap/>
            <w:vAlign w:val="bottom"/>
          </w:tcPr>
          <w:p w14:paraId="532D0CF1"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&lt;0.001</w:t>
            </w:r>
          </w:p>
        </w:tc>
      </w:tr>
      <w:tr w:rsidR="00665719" w:rsidRPr="00A634AF" w14:paraId="51944CFF" w14:textId="77777777" w:rsidTr="00A5081C">
        <w:trPr>
          <w:trHeight w:val="212"/>
          <w:jc w:val="center"/>
        </w:trPr>
        <w:tc>
          <w:tcPr>
            <w:tcW w:w="2355" w:type="pct"/>
            <w:tcBorders>
              <w:top w:val="nil"/>
              <w:left w:val="nil"/>
              <w:right w:val="nil"/>
            </w:tcBorders>
            <w:shd w:val="clear" w:color="auto" w:fill="auto"/>
            <w:noWrap/>
            <w:vAlign w:val="bottom"/>
            <w:hideMark/>
          </w:tcPr>
          <w:p w14:paraId="48678B5B" w14:textId="77777777" w:rsidR="00665719" w:rsidRPr="00A634AF" w:rsidRDefault="00665719" w:rsidP="00A5081C">
            <w:pPr>
              <w:spacing w:line="360" w:lineRule="auto"/>
              <w:ind w:firstLineChars="100" w:firstLine="200"/>
              <w:rPr>
                <w:rFonts w:eastAsia="Times New Roman" w:cs="Calibri"/>
                <w:color w:val="000000"/>
                <w:sz w:val="20"/>
                <w:szCs w:val="20"/>
                <w:lang w:val="en-GB"/>
              </w:rPr>
            </w:pPr>
            <w:r w:rsidRPr="00A634AF">
              <w:rPr>
                <w:rFonts w:eastAsia="Times New Roman" w:cs="Calibri"/>
                <w:color w:val="000000"/>
                <w:sz w:val="20"/>
                <w:szCs w:val="20"/>
                <w:lang w:val="en-GB"/>
              </w:rPr>
              <w:t>Asymptomatic cases, n (%)</w:t>
            </w:r>
          </w:p>
        </w:tc>
        <w:tc>
          <w:tcPr>
            <w:tcW w:w="656" w:type="pct"/>
            <w:tcBorders>
              <w:top w:val="nil"/>
              <w:left w:val="nil"/>
              <w:right w:val="nil"/>
            </w:tcBorders>
            <w:shd w:val="clear" w:color="auto" w:fill="auto"/>
            <w:noWrap/>
            <w:vAlign w:val="bottom"/>
            <w:hideMark/>
          </w:tcPr>
          <w:p w14:paraId="475A0B2F"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108 (31.8)</w:t>
            </w:r>
          </w:p>
        </w:tc>
        <w:tc>
          <w:tcPr>
            <w:tcW w:w="598" w:type="pct"/>
            <w:tcBorders>
              <w:top w:val="nil"/>
              <w:left w:val="nil"/>
              <w:right w:val="nil"/>
            </w:tcBorders>
            <w:shd w:val="clear" w:color="auto" w:fill="auto"/>
            <w:noWrap/>
            <w:vAlign w:val="bottom"/>
            <w:hideMark/>
          </w:tcPr>
          <w:p w14:paraId="646BF4D8"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23 (26.4)</w:t>
            </w:r>
          </w:p>
        </w:tc>
        <w:tc>
          <w:tcPr>
            <w:tcW w:w="656" w:type="pct"/>
            <w:tcBorders>
              <w:top w:val="nil"/>
              <w:left w:val="nil"/>
              <w:right w:val="nil"/>
            </w:tcBorders>
            <w:shd w:val="clear" w:color="auto" w:fill="auto"/>
            <w:noWrap/>
            <w:vAlign w:val="bottom"/>
            <w:hideMark/>
          </w:tcPr>
          <w:p w14:paraId="1C9CFC74"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401 (23.5)</w:t>
            </w:r>
          </w:p>
        </w:tc>
        <w:tc>
          <w:tcPr>
            <w:tcW w:w="735" w:type="pct"/>
            <w:tcBorders>
              <w:top w:val="nil"/>
              <w:left w:val="nil"/>
              <w:right w:val="nil"/>
            </w:tcBorders>
            <w:shd w:val="clear" w:color="auto" w:fill="auto"/>
            <w:noWrap/>
            <w:vAlign w:val="bottom"/>
          </w:tcPr>
          <w:p w14:paraId="4D8DBCE4"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0.0158</w:t>
            </w:r>
          </w:p>
        </w:tc>
      </w:tr>
      <w:tr w:rsidR="00665719" w:rsidRPr="00A634AF" w14:paraId="42B81160" w14:textId="77777777" w:rsidTr="00A5081C">
        <w:trPr>
          <w:trHeight w:val="212"/>
          <w:jc w:val="center"/>
        </w:trPr>
        <w:tc>
          <w:tcPr>
            <w:tcW w:w="2355" w:type="pct"/>
            <w:tcBorders>
              <w:top w:val="nil"/>
              <w:left w:val="nil"/>
              <w:bottom w:val="single" w:sz="4" w:space="0" w:color="auto"/>
              <w:right w:val="nil"/>
            </w:tcBorders>
            <w:shd w:val="clear" w:color="auto" w:fill="auto"/>
            <w:noWrap/>
            <w:vAlign w:val="bottom"/>
            <w:hideMark/>
          </w:tcPr>
          <w:p w14:paraId="415AA821" w14:textId="77777777" w:rsidR="00665719" w:rsidRPr="00A634AF" w:rsidRDefault="00665719" w:rsidP="00A5081C">
            <w:pPr>
              <w:spacing w:line="360" w:lineRule="auto"/>
              <w:ind w:firstLineChars="100" w:firstLine="200"/>
              <w:rPr>
                <w:rFonts w:eastAsia="Times New Roman" w:cs="Calibri"/>
                <w:color w:val="000000"/>
                <w:sz w:val="20"/>
                <w:szCs w:val="20"/>
                <w:lang w:val="en-GB"/>
              </w:rPr>
            </w:pPr>
            <w:r w:rsidRPr="00A634AF">
              <w:rPr>
                <w:rFonts w:eastAsia="Times New Roman" w:cs="Calibri"/>
                <w:color w:val="000000"/>
                <w:sz w:val="20"/>
                <w:szCs w:val="20"/>
                <w:lang w:val="en-GB"/>
              </w:rPr>
              <w:t>Untraceable cases, n (%)</w:t>
            </w:r>
          </w:p>
        </w:tc>
        <w:tc>
          <w:tcPr>
            <w:tcW w:w="656" w:type="pct"/>
            <w:tcBorders>
              <w:top w:val="nil"/>
              <w:left w:val="nil"/>
              <w:bottom w:val="single" w:sz="4" w:space="0" w:color="auto"/>
              <w:right w:val="nil"/>
            </w:tcBorders>
            <w:shd w:val="clear" w:color="auto" w:fill="auto"/>
            <w:noWrap/>
            <w:vAlign w:val="bottom"/>
            <w:hideMark/>
          </w:tcPr>
          <w:p w14:paraId="4DF0DD7E"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139 (39.8)</w:t>
            </w:r>
          </w:p>
        </w:tc>
        <w:tc>
          <w:tcPr>
            <w:tcW w:w="598" w:type="pct"/>
            <w:tcBorders>
              <w:top w:val="nil"/>
              <w:left w:val="nil"/>
              <w:bottom w:val="single" w:sz="4" w:space="0" w:color="auto"/>
              <w:right w:val="nil"/>
            </w:tcBorders>
            <w:shd w:val="clear" w:color="auto" w:fill="auto"/>
            <w:noWrap/>
            <w:vAlign w:val="bottom"/>
            <w:hideMark/>
          </w:tcPr>
          <w:p w14:paraId="2C6E0D02"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68 (78.2)</w:t>
            </w:r>
          </w:p>
        </w:tc>
        <w:tc>
          <w:tcPr>
            <w:tcW w:w="656" w:type="pct"/>
            <w:tcBorders>
              <w:top w:val="nil"/>
              <w:left w:val="nil"/>
              <w:bottom w:val="single" w:sz="4" w:space="0" w:color="auto"/>
              <w:right w:val="nil"/>
            </w:tcBorders>
            <w:shd w:val="clear" w:color="auto" w:fill="auto"/>
            <w:noWrap/>
            <w:vAlign w:val="bottom"/>
            <w:hideMark/>
          </w:tcPr>
          <w:p w14:paraId="14F5BE3A"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1373 (80.4)</w:t>
            </w:r>
          </w:p>
        </w:tc>
        <w:tc>
          <w:tcPr>
            <w:tcW w:w="735" w:type="pct"/>
            <w:tcBorders>
              <w:top w:val="nil"/>
              <w:left w:val="nil"/>
              <w:bottom w:val="single" w:sz="4" w:space="0" w:color="auto"/>
              <w:right w:val="nil"/>
            </w:tcBorders>
            <w:shd w:val="clear" w:color="auto" w:fill="auto"/>
            <w:noWrap/>
            <w:vAlign w:val="bottom"/>
          </w:tcPr>
          <w:p w14:paraId="328F68E6"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&lt;0.001</w:t>
            </w:r>
          </w:p>
        </w:tc>
      </w:tr>
      <w:tr w:rsidR="00665719" w:rsidRPr="00A634AF" w14:paraId="795C8C63" w14:textId="77777777" w:rsidTr="00A5081C">
        <w:trPr>
          <w:trHeight w:val="212"/>
          <w:jc w:val="center"/>
        </w:trPr>
        <w:tc>
          <w:tcPr>
            <w:tcW w:w="2355" w:type="pct"/>
            <w:tcBorders>
              <w:top w:val="single" w:sz="4" w:space="0" w:color="auto"/>
              <w:left w:val="nil"/>
              <w:bottom w:val="nil"/>
              <w:right w:val="nil"/>
            </w:tcBorders>
            <w:shd w:val="clear" w:color="auto" w:fill="auto"/>
            <w:noWrap/>
            <w:vAlign w:val="bottom"/>
            <w:hideMark/>
          </w:tcPr>
          <w:p w14:paraId="2A7F7734"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Buildings targeted in CTNs, n</w:t>
            </w:r>
          </w:p>
        </w:tc>
        <w:tc>
          <w:tcPr>
            <w:tcW w:w="656" w:type="pct"/>
            <w:tcBorders>
              <w:top w:val="single" w:sz="4" w:space="0" w:color="auto"/>
              <w:left w:val="nil"/>
              <w:bottom w:val="nil"/>
              <w:right w:val="nil"/>
            </w:tcBorders>
            <w:shd w:val="clear" w:color="auto" w:fill="auto"/>
            <w:noWrap/>
            <w:vAlign w:val="bottom"/>
            <w:hideMark/>
          </w:tcPr>
          <w:p w14:paraId="770CCBDF"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1207</w:t>
            </w:r>
          </w:p>
        </w:tc>
        <w:tc>
          <w:tcPr>
            <w:tcW w:w="1254" w:type="pct"/>
            <w:gridSpan w:val="2"/>
            <w:tcBorders>
              <w:top w:val="single" w:sz="4" w:space="0" w:color="auto"/>
              <w:left w:val="nil"/>
              <w:bottom w:val="nil"/>
              <w:right w:val="nil"/>
            </w:tcBorders>
            <w:shd w:val="clear" w:color="auto" w:fill="auto"/>
            <w:noWrap/>
            <w:vAlign w:val="bottom"/>
            <w:hideMark/>
          </w:tcPr>
          <w:p w14:paraId="40F61CE1"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1097</w:t>
            </w:r>
          </w:p>
        </w:tc>
        <w:tc>
          <w:tcPr>
            <w:tcW w:w="735" w:type="pct"/>
            <w:tcBorders>
              <w:top w:val="single" w:sz="4" w:space="0" w:color="auto"/>
              <w:left w:val="nil"/>
              <w:bottom w:val="nil"/>
              <w:right w:val="nil"/>
            </w:tcBorders>
            <w:shd w:val="clear" w:color="auto" w:fill="auto"/>
            <w:noWrap/>
            <w:vAlign w:val="bottom"/>
          </w:tcPr>
          <w:p w14:paraId="3CBEA8BF"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w:t>
            </w:r>
          </w:p>
        </w:tc>
      </w:tr>
      <w:tr w:rsidR="00665719" w:rsidRPr="00A634AF" w14:paraId="4B69DADA" w14:textId="77777777" w:rsidTr="00A5081C">
        <w:trPr>
          <w:trHeight w:val="212"/>
          <w:jc w:val="center"/>
        </w:trPr>
        <w:tc>
          <w:tcPr>
            <w:tcW w:w="2355" w:type="pct"/>
            <w:tcBorders>
              <w:top w:val="nil"/>
              <w:left w:val="nil"/>
              <w:bottom w:val="nil"/>
              <w:right w:val="nil"/>
            </w:tcBorders>
            <w:shd w:val="clear" w:color="auto" w:fill="auto"/>
            <w:noWrap/>
            <w:vAlign w:val="bottom"/>
            <w:hideMark/>
          </w:tcPr>
          <w:p w14:paraId="6E82AC78"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 xml:space="preserve">Building-wide mandated tests, n </w:t>
            </w:r>
          </w:p>
        </w:tc>
        <w:tc>
          <w:tcPr>
            <w:tcW w:w="656" w:type="pct"/>
            <w:tcBorders>
              <w:top w:val="nil"/>
              <w:left w:val="nil"/>
              <w:bottom w:val="nil"/>
              <w:right w:val="nil"/>
            </w:tcBorders>
            <w:shd w:val="clear" w:color="auto" w:fill="auto"/>
            <w:noWrap/>
            <w:vAlign w:val="bottom"/>
            <w:hideMark/>
          </w:tcPr>
          <w:p w14:paraId="261F7733"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1207</w:t>
            </w:r>
          </w:p>
        </w:tc>
        <w:tc>
          <w:tcPr>
            <w:tcW w:w="1254" w:type="pct"/>
            <w:gridSpan w:val="2"/>
            <w:tcBorders>
              <w:top w:val="nil"/>
              <w:left w:val="nil"/>
              <w:bottom w:val="nil"/>
              <w:right w:val="nil"/>
            </w:tcBorders>
            <w:shd w:val="clear" w:color="auto" w:fill="auto"/>
            <w:noWrap/>
            <w:vAlign w:val="bottom"/>
            <w:hideMark/>
          </w:tcPr>
          <w:p w14:paraId="202C9FE5"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4174</w:t>
            </w:r>
          </w:p>
        </w:tc>
        <w:tc>
          <w:tcPr>
            <w:tcW w:w="735" w:type="pct"/>
            <w:tcBorders>
              <w:top w:val="nil"/>
              <w:left w:val="nil"/>
              <w:bottom w:val="nil"/>
              <w:right w:val="nil"/>
            </w:tcBorders>
            <w:shd w:val="clear" w:color="auto" w:fill="auto"/>
            <w:noWrap/>
            <w:vAlign w:val="bottom"/>
            <w:hideMark/>
          </w:tcPr>
          <w:p w14:paraId="6AFEC8CA"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w:t>
            </w:r>
          </w:p>
        </w:tc>
      </w:tr>
      <w:tr w:rsidR="00665719" w:rsidRPr="00A634AF" w14:paraId="5D9E91A1" w14:textId="77777777" w:rsidTr="00A5081C">
        <w:trPr>
          <w:trHeight w:val="212"/>
          <w:jc w:val="center"/>
        </w:trPr>
        <w:tc>
          <w:tcPr>
            <w:tcW w:w="2355" w:type="pct"/>
            <w:tcBorders>
              <w:top w:val="nil"/>
              <w:left w:val="nil"/>
              <w:bottom w:val="nil"/>
              <w:right w:val="nil"/>
            </w:tcBorders>
            <w:shd w:val="clear" w:color="auto" w:fill="auto"/>
            <w:noWrap/>
            <w:vAlign w:val="bottom"/>
            <w:hideMark/>
          </w:tcPr>
          <w:p w14:paraId="36FDC592" w14:textId="77777777" w:rsidR="00665719" w:rsidRPr="00A634AF" w:rsidRDefault="00665719" w:rsidP="00A5081C">
            <w:pPr>
              <w:spacing w:line="360" w:lineRule="auto"/>
              <w:ind w:firstLineChars="100" w:firstLine="200"/>
              <w:rPr>
                <w:rFonts w:eastAsia="Times New Roman" w:cs="Calibri"/>
                <w:color w:val="000000"/>
                <w:sz w:val="20"/>
                <w:szCs w:val="20"/>
                <w:lang w:val="en-GB"/>
              </w:rPr>
            </w:pPr>
            <w:r w:rsidRPr="00A634AF">
              <w:rPr>
                <w:rFonts w:eastAsia="Times New Roman" w:cs="Calibri"/>
                <w:color w:val="000000"/>
                <w:sz w:val="20"/>
                <w:szCs w:val="20"/>
                <w:lang w:val="en-GB"/>
              </w:rPr>
              <w:t>Median tests per building (interquartile range)</w:t>
            </w:r>
          </w:p>
        </w:tc>
        <w:tc>
          <w:tcPr>
            <w:tcW w:w="656" w:type="pct"/>
            <w:tcBorders>
              <w:top w:val="nil"/>
              <w:left w:val="nil"/>
              <w:bottom w:val="nil"/>
              <w:right w:val="nil"/>
            </w:tcBorders>
            <w:shd w:val="clear" w:color="auto" w:fill="auto"/>
            <w:noWrap/>
            <w:vAlign w:val="bottom"/>
            <w:hideMark/>
          </w:tcPr>
          <w:p w14:paraId="40914CDA"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 (1,1)</w:t>
            </w:r>
          </w:p>
        </w:tc>
        <w:tc>
          <w:tcPr>
            <w:tcW w:w="1254" w:type="pct"/>
            <w:gridSpan w:val="2"/>
            <w:tcBorders>
              <w:top w:val="nil"/>
              <w:left w:val="nil"/>
              <w:bottom w:val="nil"/>
              <w:right w:val="nil"/>
            </w:tcBorders>
            <w:shd w:val="clear" w:color="auto" w:fill="auto"/>
            <w:noWrap/>
            <w:vAlign w:val="bottom"/>
            <w:hideMark/>
          </w:tcPr>
          <w:p w14:paraId="213E26BB"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4 (1, 6)</w:t>
            </w:r>
          </w:p>
        </w:tc>
        <w:tc>
          <w:tcPr>
            <w:tcW w:w="735" w:type="pct"/>
            <w:tcBorders>
              <w:top w:val="nil"/>
              <w:left w:val="nil"/>
              <w:bottom w:val="nil"/>
              <w:right w:val="nil"/>
            </w:tcBorders>
            <w:shd w:val="clear" w:color="auto" w:fill="auto"/>
            <w:noWrap/>
            <w:vAlign w:val="bottom"/>
            <w:hideMark/>
          </w:tcPr>
          <w:p w14:paraId="68609E1C"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w:t>
            </w:r>
          </w:p>
        </w:tc>
      </w:tr>
      <w:tr w:rsidR="00665719" w:rsidRPr="00A634AF" w14:paraId="7E62005F" w14:textId="77777777" w:rsidTr="00A5081C">
        <w:trPr>
          <w:trHeight w:val="83"/>
          <w:jc w:val="center"/>
        </w:trPr>
        <w:tc>
          <w:tcPr>
            <w:tcW w:w="2355" w:type="pct"/>
            <w:tcBorders>
              <w:top w:val="nil"/>
              <w:left w:val="nil"/>
              <w:bottom w:val="nil"/>
              <w:right w:val="nil"/>
            </w:tcBorders>
            <w:shd w:val="clear" w:color="auto" w:fill="auto"/>
            <w:noWrap/>
            <w:vAlign w:val="bottom"/>
            <w:hideMark/>
          </w:tcPr>
          <w:p w14:paraId="2745B830" w14:textId="77777777" w:rsidR="00665719" w:rsidRPr="00A634AF" w:rsidRDefault="00665719" w:rsidP="00A5081C">
            <w:pPr>
              <w:spacing w:line="360" w:lineRule="auto"/>
              <w:ind w:firstLineChars="100" w:firstLine="200"/>
              <w:rPr>
                <w:rFonts w:eastAsia="Times New Roman" w:cs="Calibri"/>
                <w:color w:val="000000"/>
                <w:sz w:val="20"/>
                <w:szCs w:val="20"/>
                <w:lang w:val="en-GB"/>
              </w:rPr>
            </w:pPr>
            <w:r w:rsidRPr="00A634AF">
              <w:rPr>
                <w:rFonts w:eastAsia="Times New Roman" w:cs="Calibri"/>
                <w:color w:val="000000"/>
                <w:sz w:val="20"/>
                <w:szCs w:val="20"/>
                <w:lang w:val="en-GB"/>
              </w:rPr>
              <w:t>Range</w:t>
            </w:r>
          </w:p>
        </w:tc>
        <w:tc>
          <w:tcPr>
            <w:tcW w:w="656" w:type="pct"/>
            <w:tcBorders>
              <w:top w:val="nil"/>
              <w:left w:val="nil"/>
              <w:bottom w:val="nil"/>
              <w:right w:val="nil"/>
            </w:tcBorders>
            <w:shd w:val="clear" w:color="auto" w:fill="auto"/>
            <w:noWrap/>
            <w:vAlign w:val="bottom"/>
            <w:hideMark/>
          </w:tcPr>
          <w:p w14:paraId="38B7D617"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1-1</w:t>
            </w:r>
          </w:p>
        </w:tc>
        <w:tc>
          <w:tcPr>
            <w:tcW w:w="1254" w:type="pct"/>
            <w:gridSpan w:val="2"/>
            <w:tcBorders>
              <w:top w:val="nil"/>
              <w:left w:val="nil"/>
              <w:bottom w:val="nil"/>
              <w:right w:val="nil"/>
            </w:tcBorders>
            <w:shd w:val="clear" w:color="auto" w:fill="auto"/>
            <w:noWrap/>
            <w:vAlign w:val="bottom"/>
            <w:hideMark/>
          </w:tcPr>
          <w:p w14:paraId="7F9D0339"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1-15</w:t>
            </w:r>
          </w:p>
        </w:tc>
        <w:tc>
          <w:tcPr>
            <w:tcW w:w="735" w:type="pct"/>
            <w:tcBorders>
              <w:top w:val="nil"/>
              <w:left w:val="nil"/>
              <w:bottom w:val="nil"/>
              <w:right w:val="nil"/>
            </w:tcBorders>
            <w:shd w:val="clear" w:color="auto" w:fill="auto"/>
            <w:noWrap/>
            <w:vAlign w:val="bottom"/>
            <w:hideMark/>
          </w:tcPr>
          <w:p w14:paraId="45919DDD"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w:t>
            </w:r>
          </w:p>
        </w:tc>
      </w:tr>
      <w:tr w:rsidR="00665719" w:rsidRPr="00A634AF" w14:paraId="66ABE290" w14:textId="77777777" w:rsidTr="00A5081C">
        <w:trPr>
          <w:trHeight w:val="212"/>
          <w:jc w:val="center"/>
        </w:trPr>
        <w:tc>
          <w:tcPr>
            <w:tcW w:w="2355" w:type="pct"/>
            <w:tcBorders>
              <w:top w:val="nil"/>
              <w:left w:val="nil"/>
              <w:bottom w:val="nil"/>
              <w:right w:val="nil"/>
            </w:tcBorders>
            <w:shd w:val="clear" w:color="auto" w:fill="auto"/>
            <w:vAlign w:val="bottom"/>
          </w:tcPr>
          <w:p w14:paraId="10B53B98"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Justifications</w:t>
            </w:r>
          </w:p>
        </w:tc>
        <w:tc>
          <w:tcPr>
            <w:tcW w:w="656" w:type="pct"/>
            <w:tcBorders>
              <w:top w:val="nil"/>
              <w:left w:val="nil"/>
              <w:bottom w:val="nil"/>
              <w:right w:val="nil"/>
            </w:tcBorders>
            <w:shd w:val="clear" w:color="auto" w:fill="auto"/>
            <w:noWrap/>
            <w:vAlign w:val="bottom"/>
          </w:tcPr>
          <w:p w14:paraId="13BBEC18" w14:textId="77777777" w:rsidR="00665719" w:rsidRPr="00A634AF" w:rsidRDefault="00665719" w:rsidP="00A5081C">
            <w:pPr>
              <w:spacing w:line="360" w:lineRule="auto"/>
              <w:jc w:val="center"/>
              <w:rPr>
                <w:rFonts w:eastAsia="Times New Roman" w:cs="Calibri"/>
                <w:color w:val="000000"/>
                <w:sz w:val="20"/>
                <w:szCs w:val="20"/>
                <w:lang w:val="en-GB"/>
              </w:rPr>
            </w:pPr>
          </w:p>
        </w:tc>
        <w:tc>
          <w:tcPr>
            <w:tcW w:w="1254" w:type="pct"/>
            <w:gridSpan w:val="2"/>
            <w:tcBorders>
              <w:top w:val="nil"/>
              <w:left w:val="nil"/>
              <w:bottom w:val="nil"/>
              <w:right w:val="nil"/>
            </w:tcBorders>
            <w:shd w:val="clear" w:color="auto" w:fill="auto"/>
            <w:noWrap/>
            <w:vAlign w:val="bottom"/>
          </w:tcPr>
          <w:p w14:paraId="2B5D1F33" w14:textId="77777777" w:rsidR="00665719" w:rsidRPr="00A634AF" w:rsidRDefault="00665719" w:rsidP="00A5081C">
            <w:pPr>
              <w:spacing w:line="360" w:lineRule="auto"/>
              <w:jc w:val="center"/>
              <w:rPr>
                <w:rFonts w:eastAsia="Times New Roman" w:cs="Calibri"/>
                <w:color w:val="000000"/>
                <w:sz w:val="20"/>
                <w:szCs w:val="20"/>
                <w:lang w:val="en-GB"/>
              </w:rPr>
            </w:pPr>
          </w:p>
        </w:tc>
        <w:tc>
          <w:tcPr>
            <w:tcW w:w="735" w:type="pct"/>
            <w:tcBorders>
              <w:top w:val="nil"/>
              <w:left w:val="nil"/>
              <w:bottom w:val="nil"/>
              <w:right w:val="nil"/>
            </w:tcBorders>
            <w:shd w:val="clear" w:color="auto" w:fill="auto"/>
            <w:noWrap/>
            <w:vAlign w:val="bottom"/>
          </w:tcPr>
          <w:p w14:paraId="2E82B022" w14:textId="77777777" w:rsidR="00665719" w:rsidRPr="00A634AF" w:rsidRDefault="00665719" w:rsidP="00A5081C">
            <w:pPr>
              <w:spacing w:line="360" w:lineRule="auto"/>
              <w:jc w:val="center"/>
              <w:rPr>
                <w:rFonts w:eastAsia="Times New Roman" w:cs="Calibri"/>
                <w:color w:val="000000"/>
                <w:sz w:val="20"/>
                <w:szCs w:val="20"/>
                <w:lang w:val="en-GB"/>
              </w:rPr>
            </w:pPr>
          </w:p>
        </w:tc>
      </w:tr>
      <w:tr w:rsidR="00665719" w:rsidRPr="00A634AF" w14:paraId="19727AD5" w14:textId="77777777" w:rsidTr="00A5081C">
        <w:trPr>
          <w:trHeight w:val="212"/>
          <w:jc w:val="center"/>
        </w:trPr>
        <w:tc>
          <w:tcPr>
            <w:tcW w:w="2355" w:type="pct"/>
            <w:tcBorders>
              <w:top w:val="nil"/>
              <w:left w:val="nil"/>
              <w:bottom w:val="nil"/>
              <w:right w:val="nil"/>
            </w:tcBorders>
            <w:shd w:val="clear" w:color="auto" w:fill="auto"/>
            <w:vAlign w:val="bottom"/>
          </w:tcPr>
          <w:p w14:paraId="6B1FA2D3"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 xml:space="preserve">   Confirmed case(s) in the building</w:t>
            </w:r>
          </w:p>
        </w:tc>
        <w:tc>
          <w:tcPr>
            <w:tcW w:w="656" w:type="pct"/>
            <w:tcBorders>
              <w:top w:val="nil"/>
              <w:left w:val="nil"/>
              <w:bottom w:val="nil"/>
              <w:right w:val="nil"/>
            </w:tcBorders>
            <w:shd w:val="clear" w:color="auto" w:fill="auto"/>
            <w:noWrap/>
            <w:vAlign w:val="bottom"/>
          </w:tcPr>
          <w:p w14:paraId="37B663CD"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661</w:t>
            </w:r>
          </w:p>
        </w:tc>
        <w:tc>
          <w:tcPr>
            <w:tcW w:w="1254" w:type="pct"/>
            <w:gridSpan w:val="2"/>
            <w:tcBorders>
              <w:top w:val="nil"/>
              <w:left w:val="nil"/>
              <w:bottom w:val="nil"/>
              <w:right w:val="nil"/>
            </w:tcBorders>
            <w:shd w:val="clear" w:color="auto" w:fill="auto"/>
            <w:noWrap/>
            <w:vAlign w:val="bottom"/>
          </w:tcPr>
          <w:p w14:paraId="6B1F7FB8"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3801</w:t>
            </w:r>
          </w:p>
        </w:tc>
        <w:tc>
          <w:tcPr>
            <w:tcW w:w="735" w:type="pct"/>
            <w:tcBorders>
              <w:top w:val="nil"/>
              <w:left w:val="nil"/>
              <w:bottom w:val="nil"/>
              <w:right w:val="nil"/>
            </w:tcBorders>
            <w:shd w:val="clear" w:color="auto" w:fill="auto"/>
            <w:noWrap/>
            <w:vAlign w:val="bottom"/>
          </w:tcPr>
          <w:p w14:paraId="3273A44A" w14:textId="77777777" w:rsidR="00665719" w:rsidRPr="00A634AF" w:rsidRDefault="00665719" w:rsidP="00A5081C">
            <w:pPr>
              <w:spacing w:line="360" w:lineRule="auto"/>
              <w:jc w:val="center"/>
              <w:rPr>
                <w:rFonts w:eastAsia="Times New Roman" w:cs="Calibri"/>
                <w:color w:val="000000"/>
                <w:sz w:val="20"/>
                <w:szCs w:val="20"/>
                <w:lang w:val="en-GB"/>
              </w:rPr>
            </w:pPr>
          </w:p>
        </w:tc>
      </w:tr>
      <w:tr w:rsidR="00665719" w:rsidRPr="00A634AF" w14:paraId="5FDC309F" w14:textId="77777777" w:rsidTr="00A5081C">
        <w:trPr>
          <w:trHeight w:val="212"/>
          <w:jc w:val="center"/>
        </w:trPr>
        <w:tc>
          <w:tcPr>
            <w:tcW w:w="2355" w:type="pct"/>
            <w:tcBorders>
              <w:top w:val="nil"/>
              <w:left w:val="nil"/>
              <w:bottom w:val="nil"/>
              <w:right w:val="nil"/>
            </w:tcBorders>
            <w:shd w:val="clear" w:color="auto" w:fill="auto"/>
            <w:vAlign w:val="bottom"/>
          </w:tcPr>
          <w:p w14:paraId="57DF0FF3"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 xml:space="preserve">   Positive sewage samples</w:t>
            </w:r>
          </w:p>
        </w:tc>
        <w:tc>
          <w:tcPr>
            <w:tcW w:w="656" w:type="pct"/>
            <w:tcBorders>
              <w:top w:val="nil"/>
              <w:left w:val="nil"/>
              <w:bottom w:val="nil"/>
              <w:right w:val="nil"/>
            </w:tcBorders>
            <w:shd w:val="clear" w:color="auto" w:fill="auto"/>
            <w:noWrap/>
            <w:vAlign w:val="bottom"/>
          </w:tcPr>
          <w:p w14:paraId="2373BD90"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232</w:t>
            </w:r>
          </w:p>
        </w:tc>
        <w:tc>
          <w:tcPr>
            <w:tcW w:w="1254" w:type="pct"/>
            <w:gridSpan w:val="2"/>
            <w:tcBorders>
              <w:top w:val="nil"/>
              <w:left w:val="nil"/>
              <w:bottom w:val="nil"/>
              <w:right w:val="nil"/>
            </w:tcBorders>
            <w:shd w:val="clear" w:color="auto" w:fill="auto"/>
            <w:noWrap/>
            <w:vAlign w:val="bottom"/>
          </w:tcPr>
          <w:p w14:paraId="2A3C0073"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179</w:t>
            </w:r>
          </w:p>
        </w:tc>
        <w:tc>
          <w:tcPr>
            <w:tcW w:w="735" w:type="pct"/>
            <w:tcBorders>
              <w:top w:val="nil"/>
              <w:left w:val="nil"/>
              <w:bottom w:val="nil"/>
              <w:right w:val="nil"/>
            </w:tcBorders>
            <w:shd w:val="clear" w:color="auto" w:fill="auto"/>
            <w:noWrap/>
            <w:vAlign w:val="bottom"/>
          </w:tcPr>
          <w:p w14:paraId="5AEA0C06" w14:textId="77777777" w:rsidR="00665719" w:rsidRPr="00A634AF" w:rsidRDefault="00665719" w:rsidP="00A5081C">
            <w:pPr>
              <w:spacing w:line="360" w:lineRule="auto"/>
              <w:jc w:val="center"/>
              <w:rPr>
                <w:rFonts w:eastAsia="Times New Roman" w:cs="Calibri"/>
                <w:color w:val="000000"/>
                <w:sz w:val="20"/>
                <w:szCs w:val="20"/>
                <w:lang w:val="en-GB"/>
              </w:rPr>
            </w:pPr>
          </w:p>
        </w:tc>
      </w:tr>
      <w:tr w:rsidR="00665719" w:rsidRPr="00A634AF" w14:paraId="56F570E7" w14:textId="77777777" w:rsidTr="00A5081C">
        <w:trPr>
          <w:trHeight w:val="212"/>
          <w:jc w:val="center"/>
        </w:trPr>
        <w:tc>
          <w:tcPr>
            <w:tcW w:w="2355" w:type="pct"/>
            <w:tcBorders>
              <w:top w:val="nil"/>
              <w:left w:val="nil"/>
              <w:bottom w:val="nil"/>
              <w:right w:val="nil"/>
            </w:tcBorders>
            <w:shd w:val="clear" w:color="auto" w:fill="auto"/>
            <w:vAlign w:val="bottom"/>
          </w:tcPr>
          <w:p w14:paraId="1D4239ED"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 xml:space="preserve">   Restriction testing declaration</w:t>
            </w:r>
          </w:p>
        </w:tc>
        <w:tc>
          <w:tcPr>
            <w:tcW w:w="656" w:type="pct"/>
            <w:tcBorders>
              <w:top w:val="nil"/>
              <w:left w:val="nil"/>
              <w:bottom w:val="nil"/>
              <w:right w:val="nil"/>
            </w:tcBorders>
            <w:shd w:val="clear" w:color="auto" w:fill="auto"/>
            <w:noWrap/>
            <w:vAlign w:val="bottom"/>
          </w:tcPr>
          <w:p w14:paraId="10B4FDBC"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305</w:t>
            </w:r>
          </w:p>
        </w:tc>
        <w:tc>
          <w:tcPr>
            <w:tcW w:w="1254" w:type="pct"/>
            <w:gridSpan w:val="2"/>
            <w:tcBorders>
              <w:top w:val="nil"/>
              <w:left w:val="nil"/>
              <w:bottom w:val="nil"/>
              <w:right w:val="nil"/>
            </w:tcBorders>
            <w:shd w:val="clear" w:color="auto" w:fill="auto"/>
            <w:noWrap/>
            <w:vAlign w:val="bottom"/>
          </w:tcPr>
          <w:p w14:paraId="0A76D776"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163</w:t>
            </w:r>
          </w:p>
        </w:tc>
        <w:tc>
          <w:tcPr>
            <w:tcW w:w="735" w:type="pct"/>
            <w:tcBorders>
              <w:top w:val="nil"/>
              <w:left w:val="nil"/>
              <w:bottom w:val="nil"/>
              <w:right w:val="nil"/>
            </w:tcBorders>
            <w:shd w:val="clear" w:color="auto" w:fill="auto"/>
            <w:noWrap/>
            <w:vAlign w:val="bottom"/>
          </w:tcPr>
          <w:p w14:paraId="0C348C42" w14:textId="77777777" w:rsidR="00665719" w:rsidRPr="00A634AF" w:rsidRDefault="00665719" w:rsidP="00A5081C">
            <w:pPr>
              <w:spacing w:line="360" w:lineRule="auto"/>
              <w:jc w:val="center"/>
              <w:rPr>
                <w:rFonts w:eastAsia="Times New Roman" w:cs="Calibri"/>
                <w:color w:val="000000"/>
                <w:sz w:val="20"/>
                <w:szCs w:val="20"/>
                <w:lang w:val="en-GB"/>
              </w:rPr>
            </w:pPr>
          </w:p>
        </w:tc>
      </w:tr>
      <w:tr w:rsidR="00665719" w:rsidRPr="00A634AF" w14:paraId="6EA424A6" w14:textId="77777777" w:rsidTr="00A5081C">
        <w:trPr>
          <w:trHeight w:val="212"/>
          <w:jc w:val="center"/>
        </w:trPr>
        <w:tc>
          <w:tcPr>
            <w:tcW w:w="2355" w:type="pct"/>
            <w:tcBorders>
              <w:top w:val="nil"/>
              <w:left w:val="nil"/>
              <w:bottom w:val="nil"/>
              <w:right w:val="nil"/>
            </w:tcBorders>
            <w:shd w:val="clear" w:color="auto" w:fill="auto"/>
            <w:vAlign w:val="bottom"/>
          </w:tcPr>
          <w:p w14:paraId="20F93F36"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 xml:space="preserve">   Combined</w:t>
            </w:r>
          </w:p>
        </w:tc>
        <w:tc>
          <w:tcPr>
            <w:tcW w:w="656" w:type="pct"/>
            <w:tcBorders>
              <w:top w:val="nil"/>
              <w:left w:val="nil"/>
              <w:bottom w:val="nil"/>
              <w:right w:val="nil"/>
            </w:tcBorders>
            <w:shd w:val="clear" w:color="auto" w:fill="auto"/>
            <w:noWrap/>
            <w:vAlign w:val="bottom"/>
          </w:tcPr>
          <w:p w14:paraId="14FAC6AC"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9</w:t>
            </w:r>
          </w:p>
        </w:tc>
        <w:tc>
          <w:tcPr>
            <w:tcW w:w="1254" w:type="pct"/>
            <w:gridSpan w:val="2"/>
            <w:tcBorders>
              <w:top w:val="nil"/>
              <w:left w:val="nil"/>
              <w:bottom w:val="nil"/>
              <w:right w:val="nil"/>
            </w:tcBorders>
            <w:shd w:val="clear" w:color="auto" w:fill="auto"/>
            <w:noWrap/>
            <w:vAlign w:val="bottom"/>
          </w:tcPr>
          <w:p w14:paraId="73A475F8"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31</w:t>
            </w:r>
          </w:p>
        </w:tc>
        <w:tc>
          <w:tcPr>
            <w:tcW w:w="735" w:type="pct"/>
            <w:tcBorders>
              <w:top w:val="nil"/>
              <w:left w:val="nil"/>
              <w:bottom w:val="nil"/>
              <w:right w:val="nil"/>
            </w:tcBorders>
            <w:shd w:val="clear" w:color="auto" w:fill="auto"/>
            <w:noWrap/>
            <w:vAlign w:val="bottom"/>
          </w:tcPr>
          <w:p w14:paraId="074EA1DC" w14:textId="77777777" w:rsidR="00665719" w:rsidRPr="00A634AF" w:rsidRDefault="00665719" w:rsidP="00A5081C">
            <w:pPr>
              <w:spacing w:line="360" w:lineRule="auto"/>
              <w:jc w:val="center"/>
              <w:rPr>
                <w:rFonts w:eastAsia="Times New Roman" w:cs="Calibri"/>
                <w:color w:val="000000"/>
                <w:sz w:val="20"/>
                <w:szCs w:val="20"/>
                <w:lang w:val="en-GB"/>
              </w:rPr>
            </w:pPr>
          </w:p>
        </w:tc>
      </w:tr>
      <w:tr w:rsidR="00665719" w:rsidRPr="00A634AF" w14:paraId="1060F1DB" w14:textId="77777777" w:rsidTr="00A5081C">
        <w:trPr>
          <w:trHeight w:val="212"/>
          <w:jc w:val="center"/>
        </w:trPr>
        <w:tc>
          <w:tcPr>
            <w:tcW w:w="2355" w:type="pct"/>
            <w:tcBorders>
              <w:top w:val="nil"/>
              <w:left w:val="nil"/>
              <w:bottom w:val="nil"/>
              <w:right w:val="nil"/>
            </w:tcBorders>
            <w:shd w:val="clear" w:color="auto" w:fill="auto"/>
            <w:vAlign w:val="bottom"/>
          </w:tcPr>
          <w:p w14:paraId="2A1EE932"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Cases per 100 buildings targeted¹ (95% CI)</w:t>
            </w:r>
          </w:p>
        </w:tc>
        <w:tc>
          <w:tcPr>
            <w:tcW w:w="656" w:type="pct"/>
            <w:tcBorders>
              <w:top w:val="nil"/>
              <w:left w:val="nil"/>
              <w:bottom w:val="nil"/>
              <w:right w:val="nil"/>
            </w:tcBorders>
            <w:shd w:val="clear" w:color="auto" w:fill="auto"/>
            <w:noWrap/>
            <w:vAlign w:val="bottom"/>
          </w:tcPr>
          <w:p w14:paraId="7EE4E46C"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29 (26, 32)</w:t>
            </w:r>
          </w:p>
        </w:tc>
        <w:tc>
          <w:tcPr>
            <w:tcW w:w="1254" w:type="pct"/>
            <w:gridSpan w:val="2"/>
            <w:tcBorders>
              <w:top w:val="nil"/>
              <w:left w:val="nil"/>
              <w:bottom w:val="nil"/>
              <w:right w:val="nil"/>
            </w:tcBorders>
            <w:shd w:val="clear" w:color="auto" w:fill="auto"/>
            <w:noWrap/>
            <w:vAlign w:val="bottom"/>
          </w:tcPr>
          <w:p w14:paraId="2E1C0B75" w14:textId="77777777" w:rsidR="00665719" w:rsidRPr="00A634AF" w:rsidRDefault="00665719" w:rsidP="00A5081C">
            <w:pPr>
              <w:spacing w:line="360" w:lineRule="auto"/>
              <w:jc w:val="center"/>
              <w:rPr>
                <w:rFonts w:eastAsia="Times New Roman" w:cs="Times New Roman"/>
                <w:sz w:val="20"/>
                <w:szCs w:val="20"/>
                <w:vertAlign w:val="superscript"/>
                <w:lang w:val="en-GB"/>
              </w:rPr>
            </w:pPr>
            <w:r w:rsidRPr="00A634AF">
              <w:rPr>
                <w:rFonts w:eastAsia="Times New Roman" w:cs="Calibri"/>
                <w:color w:val="000000"/>
                <w:sz w:val="20"/>
                <w:szCs w:val="20"/>
                <w:lang w:val="en-GB"/>
              </w:rPr>
              <w:t xml:space="preserve">172 (164, </w:t>
            </w:r>
            <w:proofErr w:type="gramStart"/>
            <w:r w:rsidRPr="00A634AF">
              <w:rPr>
                <w:rFonts w:eastAsia="Times New Roman" w:cs="Calibri"/>
                <w:color w:val="000000"/>
                <w:sz w:val="20"/>
                <w:szCs w:val="20"/>
                <w:lang w:val="en-GB"/>
              </w:rPr>
              <w:t>180)*</w:t>
            </w:r>
            <w:proofErr w:type="gramEnd"/>
          </w:p>
        </w:tc>
        <w:tc>
          <w:tcPr>
            <w:tcW w:w="735" w:type="pct"/>
            <w:tcBorders>
              <w:top w:val="nil"/>
              <w:left w:val="nil"/>
              <w:bottom w:val="nil"/>
              <w:right w:val="nil"/>
            </w:tcBorders>
            <w:shd w:val="clear" w:color="auto" w:fill="auto"/>
            <w:noWrap/>
            <w:vAlign w:val="bottom"/>
          </w:tcPr>
          <w:p w14:paraId="04F043AD"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&lt;0.001</w:t>
            </w:r>
          </w:p>
        </w:tc>
      </w:tr>
      <w:tr w:rsidR="00665719" w:rsidRPr="00A634AF" w14:paraId="4505AC8C" w14:textId="77777777" w:rsidTr="00A5081C">
        <w:trPr>
          <w:trHeight w:val="212"/>
          <w:jc w:val="center"/>
        </w:trPr>
        <w:tc>
          <w:tcPr>
            <w:tcW w:w="2355" w:type="pct"/>
            <w:tcBorders>
              <w:top w:val="nil"/>
              <w:left w:val="nil"/>
              <w:bottom w:val="nil"/>
              <w:right w:val="nil"/>
            </w:tcBorders>
            <w:shd w:val="clear" w:color="auto" w:fill="auto"/>
            <w:vAlign w:val="bottom"/>
          </w:tcPr>
          <w:p w14:paraId="722B2643"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Cases per 100 building-wide mandated tests</w:t>
            </w:r>
            <w:r w:rsidRPr="00A634AF">
              <w:rPr>
                <w:rFonts w:eastAsia="Times New Roman" w:cs="Calibri"/>
                <w:color w:val="000000"/>
                <w:sz w:val="20"/>
                <w:szCs w:val="20"/>
                <w:vertAlign w:val="superscript"/>
                <w:lang w:val="en-GB"/>
              </w:rPr>
              <w:t>2</w:t>
            </w:r>
            <w:r w:rsidRPr="00A634AF">
              <w:rPr>
                <w:rFonts w:eastAsia="Times New Roman" w:cs="Calibri"/>
                <w:color w:val="000000"/>
                <w:sz w:val="20"/>
                <w:szCs w:val="20"/>
                <w:lang w:val="en-GB"/>
              </w:rPr>
              <w:t xml:space="preserve"> (95% CI)</w:t>
            </w:r>
          </w:p>
        </w:tc>
        <w:tc>
          <w:tcPr>
            <w:tcW w:w="656" w:type="pct"/>
            <w:tcBorders>
              <w:top w:val="nil"/>
              <w:left w:val="nil"/>
              <w:bottom w:val="nil"/>
              <w:right w:val="nil"/>
            </w:tcBorders>
            <w:shd w:val="clear" w:color="auto" w:fill="auto"/>
            <w:noWrap/>
            <w:vAlign w:val="bottom"/>
          </w:tcPr>
          <w:p w14:paraId="7C67D205"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29 (26, 32)</w:t>
            </w:r>
          </w:p>
        </w:tc>
        <w:tc>
          <w:tcPr>
            <w:tcW w:w="1254" w:type="pct"/>
            <w:gridSpan w:val="2"/>
            <w:tcBorders>
              <w:top w:val="nil"/>
              <w:left w:val="nil"/>
              <w:bottom w:val="nil"/>
              <w:right w:val="nil"/>
            </w:tcBorders>
            <w:shd w:val="clear" w:color="auto" w:fill="auto"/>
            <w:noWrap/>
            <w:vAlign w:val="bottom"/>
          </w:tcPr>
          <w:p w14:paraId="35F1096C"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 xml:space="preserve">45 (43, </w:t>
            </w:r>
            <w:proofErr w:type="gramStart"/>
            <w:r w:rsidRPr="00A634AF">
              <w:rPr>
                <w:rFonts w:eastAsia="Times New Roman" w:cs="Calibri"/>
                <w:color w:val="000000"/>
                <w:sz w:val="20"/>
                <w:szCs w:val="20"/>
                <w:lang w:val="en-GB"/>
              </w:rPr>
              <w:t>47)*</w:t>
            </w:r>
            <w:proofErr w:type="gramEnd"/>
          </w:p>
        </w:tc>
        <w:tc>
          <w:tcPr>
            <w:tcW w:w="735" w:type="pct"/>
            <w:tcBorders>
              <w:top w:val="nil"/>
              <w:left w:val="nil"/>
              <w:bottom w:val="nil"/>
              <w:right w:val="nil"/>
            </w:tcBorders>
            <w:shd w:val="clear" w:color="auto" w:fill="auto"/>
            <w:noWrap/>
            <w:vAlign w:val="bottom"/>
          </w:tcPr>
          <w:p w14:paraId="7B033498"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&lt;0.001</w:t>
            </w:r>
          </w:p>
        </w:tc>
      </w:tr>
      <w:tr w:rsidR="00665719" w:rsidRPr="00A634AF" w14:paraId="28269253" w14:textId="77777777" w:rsidTr="00A5081C">
        <w:trPr>
          <w:trHeight w:val="212"/>
          <w:jc w:val="center"/>
        </w:trPr>
        <w:tc>
          <w:tcPr>
            <w:tcW w:w="2355" w:type="pct"/>
            <w:tcBorders>
              <w:top w:val="nil"/>
              <w:left w:val="nil"/>
              <w:bottom w:val="nil"/>
              <w:right w:val="nil"/>
            </w:tcBorders>
            <w:shd w:val="clear" w:color="auto" w:fill="auto"/>
            <w:vAlign w:val="bottom"/>
            <w:hideMark/>
          </w:tcPr>
          <w:p w14:paraId="05B93E1F"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Untraceable</w:t>
            </w:r>
            <w:r w:rsidRPr="00A634AF">
              <w:rPr>
                <w:rFonts w:eastAsia="Times New Roman" w:cs="Calibri"/>
                <w:color w:val="000000"/>
                <w:sz w:val="20"/>
                <w:szCs w:val="20"/>
                <w:vertAlign w:val="superscript"/>
                <w:lang w:val="en-GB"/>
              </w:rPr>
              <w:t>3</w:t>
            </w:r>
            <w:r w:rsidRPr="00A634AF">
              <w:rPr>
                <w:rFonts w:eastAsia="Times New Roman" w:cs="Calibri"/>
                <w:color w:val="000000"/>
                <w:sz w:val="20"/>
                <w:szCs w:val="20"/>
                <w:lang w:val="en-GB"/>
              </w:rPr>
              <w:t xml:space="preserve"> cases per 100 buildings targeted (95% CI)</w:t>
            </w:r>
          </w:p>
        </w:tc>
        <w:tc>
          <w:tcPr>
            <w:tcW w:w="656" w:type="pct"/>
            <w:tcBorders>
              <w:top w:val="nil"/>
              <w:left w:val="nil"/>
              <w:bottom w:val="nil"/>
              <w:right w:val="nil"/>
            </w:tcBorders>
            <w:shd w:val="clear" w:color="auto" w:fill="auto"/>
            <w:noWrap/>
            <w:vAlign w:val="bottom"/>
            <w:hideMark/>
          </w:tcPr>
          <w:p w14:paraId="2E90D4C6"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12 (10, 41)</w:t>
            </w:r>
          </w:p>
        </w:tc>
        <w:tc>
          <w:tcPr>
            <w:tcW w:w="1254" w:type="pct"/>
            <w:gridSpan w:val="2"/>
            <w:tcBorders>
              <w:top w:val="nil"/>
              <w:left w:val="nil"/>
              <w:bottom w:val="nil"/>
              <w:right w:val="nil"/>
            </w:tcBorders>
            <w:shd w:val="clear" w:color="auto" w:fill="auto"/>
            <w:noWrap/>
            <w:vAlign w:val="bottom"/>
            <w:hideMark/>
          </w:tcPr>
          <w:p w14:paraId="053F7B89"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98 (93, 103)</w:t>
            </w:r>
          </w:p>
        </w:tc>
        <w:tc>
          <w:tcPr>
            <w:tcW w:w="735" w:type="pct"/>
            <w:tcBorders>
              <w:top w:val="nil"/>
              <w:left w:val="nil"/>
              <w:bottom w:val="nil"/>
              <w:right w:val="nil"/>
            </w:tcBorders>
            <w:shd w:val="clear" w:color="auto" w:fill="auto"/>
            <w:noWrap/>
            <w:vAlign w:val="bottom"/>
            <w:hideMark/>
          </w:tcPr>
          <w:p w14:paraId="6F72F4CF" w14:textId="77777777" w:rsidR="00665719" w:rsidRPr="00A634AF" w:rsidRDefault="00665719" w:rsidP="00A5081C">
            <w:pPr>
              <w:spacing w:line="360" w:lineRule="auto"/>
              <w:jc w:val="center"/>
              <w:rPr>
                <w:rFonts w:eastAsia="Times New Roman" w:cs="Times New Roman"/>
                <w:sz w:val="20"/>
                <w:szCs w:val="20"/>
                <w:lang w:val="en-GB"/>
              </w:rPr>
            </w:pPr>
            <w:r w:rsidRPr="00A634AF">
              <w:rPr>
                <w:rFonts w:eastAsia="Times New Roman" w:cs="Calibri"/>
                <w:color w:val="000000"/>
                <w:sz w:val="20"/>
                <w:szCs w:val="20"/>
                <w:lang w:val="en-GB"/>
              </w:rPr>
              <w:t>&lt;0.001</w:t>
            </w:r>
          </w:p>
        </w:tc>
      </w:tr>
      <w:tr w:rsidR="00665719" w:rsidRPr="00A634AF" w14:paraId="00B59955" w14:textId="77777777" w:rsidTr="00A5081C">
        <w:trPr>
          <w:trHeight w:val="212"/>
          <w:jc w:val="center"/>
        </w:trPr>
        <w:tc>
          <w:tcPr>
            <w:tcW w:w="2355" w:type="pct"/>
            <w:tcBorders>
              <w:top w:val="nil"/>
              <w:left w:val="nil"/>
              <w:bottom w:val="single" w:sz="8" w:space="0" w:color="auto"/>
              <w:right w:val="nil"/>
            </w:tcBorders>
            <w:shd w:val="clear" w:color="auto" w:fill="auto"/>
            <w:vAlign w:val="bottom"/>
          </w:tcPr>
          <w:p w14:paraId="6AC84DFF" w14:textId="77777777" w:rsidR="00665719" w:rsidRPr="00A634AF" w:rsidRDefault="00665719" w:rsidP="00A5081C">
            <w:pPr>
              <w:spacing w:line="360" w:lineRule="auto"/>
              <w:rPr>
                <w:rFonts w:eastAsia="Times New Roman" w:cs="Calibri"/>
                <w:color w:val="000000"/>
                <w:sz w:val="20"/>
                <w:szCs w:val="20"/>
                <w:lang w:val="en-GB"/>
              </w:rPr>
            </w:pPr>
            <w:r w:rsidRPr="00A634AF">
              <w:rPr>
                <w:rFonts w:eastAsia="Times New Roman" w:cs="Calibri"/>
                <w:color w:val="000000"/>
                <w:sz w:val="20"/>
                <w:szCs w:val="20"/>
                <w:lang w:val="en-GB"/>
              </w:rPr>
              <w:t>Untraceable cases per 100 building-wide mandated tests (95% CI)</w:t>
            </w:r>
          </w:p>
        </w:tc>
        <w:tc>
          <w:tcPr>
            <w:tcW w:w="656" w:type="pct"/>
            <w:tcBorders>
              <w:top w:val="nil"/>
              <w:left w:val="nil"/>
              <w:bottom w:val="single" w:sz="8" w:space="0" w:color="auto"/>
              <w:right w:val="nil"/>
            </w:tcBorders>
            <w:shd w:val="clear" w:color="auto" w:fill="auto"/>
            <w:noWrap/>
            <w:vAlign w:val="bottom"/>
          </w:tcPr>
          <w:p w14:paraId="2165134B"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12 (10, 41)</w:t>
            </w:r>
          </w:p>
        </w:tc>
        <w:tc>
          <w:tcPr>
            <w:tcW w:w="1254" w:type="pct"/>
            <w:gridSpan w:val="2"/>
            <w:tcBorders>
              <w:top w:val="nil"/>
              <w:left w:val="nil"/>
              <w:bottom w:val="single" w:sz="8" w:space="0" w:color="auto"/>
              <w:right w:val="nil"/>
            </w:tcBorders>
            <w:shd w:val="clear" w:color="auto" w:fill="auto"/>
            <w:noWrap/>
            <w:vAlign w:val="bottom"/>
          </w:tcPr>
          <w:p w14:paraId="3DA1EE33"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36 (35, 38)</w:t>
            </w:r>
          </w:p>
        </w:tc>
        <w:tc>
          <w:tcPr>
            <w:tcW w:w="735" w:type="pct"/>
            <w:tcBorders>
              <w:top w:val="nil"/>
              <w:left w:val="nil"/>
              <w:bottom w:val="single" w:sz="8" w:space="0" w:color="auto"/>
              <w:right w:val="nil"/>
            </w:tcBorders>
            <w:shd w:val="clear" w:color="auto" w:fill="auto"/>
            <w:noWrap/>
            <w:vAlign w:val="bottom"/>
          </w:tcPr>
          <w:p w14:paraId="083BFF16" w14:textId="77777777" w:rsidR="00665719" w:rsidRPr="00A634AF" w:rsidRDefault="00665719" w:rsidP="00A5081C">
            <w:pPr>
              <w:spacing w:line="360" w:lineRule="auto"/>
              <w:jc w:val="center"/>
              <w:rPr>
                <w:rFonts w:eastAsia="Times New Roman" w:cs="Calibri"/>
                <w:color w:val="000000"/>
                <w:sz w:val="20"/>
                <w:szCs w:val="20"/>
                <w:lang w:val="en-GB"/>
              </w:rPr>
            </w:pPr>
            <w:r w:rsidRPr="00A634AF">
              <w:rPr>
                <w:rFonts w:eastAsia="Times New Roman" w:cs="Calibri"/>
                <w:color w:val="000000"/>
                <w:sz w:val="20"/>
                <w:szCs w:val="20"/>
                <w:lang w:val="en-GB"/>
              </w:rPr>
              <w:t>&lt;0.001</w:t>
            </w:r>
          </w:p>
        </w:tc>
      </w:tr>
      <w:tr w:rsidR="00665719" w:rsidRPr="00A634AF" w14:paraId="6D0D63EF" w14:textId="77777777" w:rsidTr="00A5081C">
        <w:trPr>
          <w:trHeight w:val="564"/>
          <w:jc w:val="center"/>
        </w:trPr>
        <w:tc>
          <w:tcPr>
            <w:tcW w:w="5000" w:type="pct"/>
            <w:gridSpan w:val="5"/>
            <w:tcBorders>
              <w:top w:val="single" w:sz="8" w:space="0" w:color="auto"/>
              <w:left w:val="nil"/>
              <w:right w:val="nil"/>
            </w:tcBorders>
          </w:tcPr>
          <w:p w14:paraId="51C7F70B" w14:textId="77777777" w:rsidR="00665719" w:rsidRPr="00A634AF" w:rsidRDefault="00665719" w:rsidP="00A5081C">
            <w:pPr>
              <w:spacing w:line="360" w:lineRule="auto"/>
              <w:rPr>
                <w:rFonts w:eastAsia="Times New Roman" w:cs="Calibri"/>
                <w:color w:val="000000"/>
                <w:sz w:val="12"/>
                <w:szCs w:val="12"/>
                <w:lang w:val="en-GB"/>
              </w:rPr>
            </w:pPr>
            <w:r w:rsidRPr="00A634AF">
              <w:rPr>
                <w:rFonts w:eastAsia="Times New Roman" w:cs="Calibri"/>
                <w:color w:val="000000"/>
                <w:sz w:val="12"/>
                <w:szCs w:val="12"/>
                <w:lang w:val="en-GB"/>
              </w:rPr>
              <w:t>¹Cases per 100 buildings targeted = total number of cases associated with CTNs/buildings targeted x 100</w:t>
            </w:r>
          </w:p>
          <w:p w14:paraId="7F5D3E6E" w14:textId="77777777" w:rsidR="00665719" w:rsidRPr="00A634AF" w:rsidRDefault="00665719" w:rsidP="00A5081C">
            <w:pPr>
              <w:spacing w:line="360" w:lineRule="auto"/>
              <w:rPr>
                <w:rFonts w:eastAsia="Times New Roman" w:cs="Calibri"/>
                <w:color w:val="000000"/>
                <w:sz w:val="12"/>
                <w:szCs w:val="12"/>
                <w:lang w:val="en-GB"/>
              </w:rPr>
            </w:pPr>
            <w:r w:rsidRPr="00A634AF">
              <w:rPr>
                <w:rFonts w:eastAsia="Times New Roman" w:cs="Calibri"/>
                <w:color w:val="000000"/>
                <w:sz w:val="12"/>
                <w:szCs w:val="12"/>
                <w:vertAlign w:val="superscript"/>
                <w:lang w:val="en-GB"/>
              </w:rPr>
              <w:t>2</w:t>
            </w:r>
            <w:r w:rsidRPr="00A634AF">
              <w:rPr>
                <w:rFonts w:eastAsia="Times New Roman" w:cs="Calibri"/>
                <w:color w:val="000000"/>
                <w:sz w:val="12"/>
                <w:szCs w:val="12"/>
                <w:lang w:val="en-GB"/>
              </w:rPr>
              <w:t>Cases per 100 building-wide mandated tested = total number of cases associated with CTNs /building-wide mandated tests x 100</w:t>
            </w:r>
          </w:p>
          <w:p w14:paraId="3730FAAC" w14:textId="77777777" w:rsidR="00665719" w:rsidRPr="00A634AF" w:rsidRDefault="00665719" w:rsidP="00A5081C">
            <w:pPr>
              <w:spacing w:line="360" w:lineRule="auto"/>
              <w:rPr>
                <w:rFonts w:eastAsia="Times New Roman" w:cs="Calibri"/>
                <w:color w:val="000000"/>
                <w:sz w:val="12"/>
                <w:szCs w:val="12"/>
                <w:lang w:val="en-GB"/>
              </w:rPr>
            </w:pPr>
            <w:r w:rsidRPr="00A634AF">
              <w:rPr>
                <w:rFonts w:eastAsia="Times New Roman" w:cs="Calibri"/>
                <w:color w:val="000000"/>
                <w:sz w:val="12"/>
                <w:szCs w:val="12"/>
                <w:vertAlign w:val="superscript"/>
                <w:lang w:val="en-GB"/>
              </w:rPr>
              <w:t>3</w:t>
            </w:r>
            <w:r w:rsidRPr="00A634AF">
              <w:rPr>
                <w:rFonts w:eastAsia="Times New Roman" w:cs="Calibri"/>
                <w:color w:val="000000"/>
                <w:sz w:val="12"/>
                <w:szCs w:val="12"/>
                <w:lang w:val="en-GB"/>
              </w:rPr>
              <w:t>Cases were considered untraceable if (1) they were non-clustered and reported by the CHP after the compulsory testing order, for clustered cases (2) only associated with one cluster, (3) in a cluster where all cases were reported after the CTN issuance, or (4) in a cluster where no cases were linked to a separate cluster (prior or subsequent) with any cases reported before the earliest report date of the cluster in question.</w:t>
            </w:r>
          </w:p>
        </w:tc>
      </w:tr>
      <w:tr w:rsidR="00665719" w:rsidRPr="007B117C" w14:paraId="18E82C30" w14:textId="77777777" w:rsidTr="00A5081C">
        <w:trPr>
          <w:trHeight w:val="223"/>
          <w:jc w:val="center"/>
        </w:trPr>
        <w:tc>
          <w:tcPr>
            <w:tcW w:w="5000" w:type="pct"/>
            <w:gridSpan w:val="5"/>
            <w:tcBorders>
              <w:top w:val="nil"/>
              <w:left w:val="nil"/>
              <w:bottom w:val="nil"/>
              <w:right w:val="nil"/>
            </w:tcBorders>
          </w:tcPr>
          <w:p w14:paraId="35BFC4A8" w14:textId="77777777" w:rsidR="00665719" w:rsidRPr="00FE3D69" w:rsidRDefault="00665719" w:rsidP="00A5081C">
            <w:pPr>
              <w:spacing w:line="360" w:lineRule="auto"/>
              <w:rPr>
                <w:rFonts w:eastAsia="Times New Roman" w:cs="Calibri"/>
                <w:color w:val="000000"/>
                <w:sz w:val="12"/>
                <w:szCs w:val="12"/>
              </w:rPr>
            </w:pPr>
            <w:r w:rsidRPr="00A634AF">
              <w:rPr>
                <w:rFonts w:eastAsia="Times New Roman" w:cs="Calibri"/>
                <w:color w:val="000000"/>
                <w:sz w:val="12"/>
                <w:szCs w:val="12"/>
              </w:rPr>
              <w:t>*Including 93 cases associated with CTNs wherein the infecting virus variant was undefined</w:t>
            </w:r>
          </w:p>
        </w:tc>
      </w:tr>
    </w:tbl>
    <w:p w14:paraId="1DF3E809" w14:textId="77777777" w:rsidR="00665719" w:rsidRPr="007B117C" w:rsidRDefault="00665719" w:rsidP="00665719">
      <w:pPr>
        <w:spacing w:line="360" w:lineRule="auto"/>
        <w:rPr>
          <w:lang w:val="en-GB"/>
        </w:rPr>
      </w:pPr>
    </w:p>
    <w:p w14:paraId="673239A1" w14:textId="77777777" w:rsidR="002D65E7" w:rsidRDefault="002D65E7"/>
    <w:sectPr w:rsidR="002D6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19"/>
    <w:rsid w:val="002D65E7"/>
    <w:rsid w:val="005B3FCA"/>
    <w:rsid w:val="00630F3F"/>
    <w:rsid w:val="00665719"/>
    <w:rsid w:val="00A34821"/>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4903"/>
  <w15:chartTrackingRefBased/>
  <w15:docId w15:val="{C748E0AE-7278-41C6-83EA-C03ACDAD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19"/>
    <w:pPr>
      <w:snapToGrid w:val="0"/>
      <w:spacing w:after="0" w:line="480" w:lineRule="auto"/>
    </w:pPr>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6571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Benjamin Ross</dc:creator>
  <cp:keywords/>
  <dc:description/>
  <cp:lastModifiedBy>Young Benjamin Ross</cp:lastModifiedBy>
  <cp:revision>3</cp:revision>
  <dcterms:created xsi:type="dcterms:W3CDTF">2022-09-29T02:58:00Z</dcterms:created>
  <dcterms:modified xsi:type="dcterms:W3CDTF">2022-09-30T08:47:00Z</dcterms:modified>
</cp:coreProperties>
</file>