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E297D0" w:rsidR="00362222" w:rsidRPr="00F60F40" w:rsidRDefault="005229B1">
      <w:pPr>
        <w:spacing w:after="240" w:line="256" w:lineRule="auto"/>
        <w:jc w:val="both"/>
        <w:rPr>
          <w:rFonts w:ascii="Calibri" w:eastAsia="Calibri" w:hAnsi="Calibri" w:cs="Calibri"/>
          <w:b/>
          <w:color w:val="0E101A"/>
          <w:lang w:val="en-US"/>
        </w:rPr>
      </w:pPr>
      <w:r w:rsidRPr="00F60F40">
        <w:rPr>
          <w:rFonts w:ascii="Calibri" w:eastAsia="Calibri" w:hAnsi="Calibri" w:cs="Calibri"/>
          <w:b/>
          <w:color w:val="0E101A"/>
          <w:lang w:val="en-US"/>
        </w:rPr>
        <w:t xml:space="preserve">Supplementary </w:t>
      </w:r>
      <w:r w:rsidR="00611B62">
        <w:rPr>
          <w:rFonts w:ascii="Calibri" w:eastAsia="Calibri" w:hAnsi="Calibri" w:cs="Calibri"/>
          <w:b/>
          <w:color w:val="0E101A"/>
          <w:lang w:val="en-US"/>
        </w:rPr>
        <w:t>M</w:t>
      </w:r>
      <w:r w:rsidRPr="00F60F40">
        <w:rPr>
          <w:rFonts w:ascii="Calibri" w:eastAsia="Calibri" w:hAnsi="Calibri" w:cs="Calibri"/>
          <w:b/>
          <w:color w:val="0E101A"/>
          <w:lang w:val="en-US"/>
        </w:rPr>
        <w:t>ethods</w:t>
      </w:r>
      <w:r w:rsidR="00611B62">
        <w:rPr>
          <w:rFonts w:ascii="Calibri" w:eastAsia="Calibri" w:hAnsi="Calibri" w:cs="Calibri"/>
          <w:b/>
          <w:color w:val="0E101A"/>
          <w:lang w:val="en-US"/>
        </w:rPr>
        <w:t xml:space="preserve"> and Results</w:t>
      </w:r>
    </w:p>
    <w:p w14:paraId="00000002" w14:textId="77777777" w:rsidR="00362222" w:rsidRPr="00F60F40" w:rsidRDefault="005229B1">
      <w:pPr>
        <w:spacing w:after="240" w:line="256" w:lineRule="auto"/>
        <w:jc w:val="both"/>
        <w:rPr>
          <w:rFonts w:ascii="Calibri" w:eastAsia="Calibri" w:hAnsi="Calibri" w:cs="Calibri"/>
          <w:color w:val="0E101A"/>
          <w:lang w:val="en-US"/>
        </w:rPr>
      </w:pPr>
      <w:r w:rsidRPr="00F60F40">
        <w:rPr>
          <w:rFonts w:ascii="Calibri" w:eastAsia="Calibri" w:hAnsi="Calibri" w:cs="Calibri"/>
          <w:i/>
          <w:color w:val="0E101A"/>
          <w:lang w:val="en-US"/>
        </w:rPr>
        <w:t>Heritability estimation</w:t>
      </w:r>
      <w:r w:rsidRPr="00F60F40">
        <w:rPr>
          <w:rFonts w:ascii="Calibri" w:eastAsia="Calibri" w:hAnsi="Calibri" w:cs="Calibri"/>
          <w:color w:val="0E101A"/>
          <w:lang w:val="en-US"/>
        </w:rPr>
        <w:t xml:space="preserve"> </w:t>
      </w:r>
    </w:p>
    <w:p w14:paraId="00000003" w14:textId="319129BD" w:rsidR="00362222" w:rsidRPr="00F60F40" w:rsidRDefault="005229B1">
      <w:pPr>
        <w:spacing w:before="240" w:after="240" w:line="256" w:lineRule="auto"/>
        <w:jc w:val="both"/>
        <w:rPr>
          <w:rFonts w:ascii="Calibri" w:eastAsia="Calibri" w:hAnsi="Calibri" w:cs="Calibri"/>
          <w:i/>
          <w:color w:val="0E101A"/>
          <w:lang w:val="en-US"/>
        </w:rPr>
      </w:pPr>
      <w:r w:rsidRPr="00F60F40">
        <w:rPr>
          <w:rFonts w:ascii="Calibri" w:eastAsia="Calibri" w:hAnsi="Calibri" w:cs="Calibri"/>
          <w:color w:val="0E101A"/>
          <w:lang w:val="en-US"/>
        </w:rPr>
        <w:t>We used the Linkage Disequilibrium Score Regression method (LDSC) to estimate the single nucleotide polymorphisms based heritability (SNP-h</w:t>
      </w:r>
      <w:r w:rsidRPr="00E210BB">
        <w:rPr>
          <w:rFonts w:ascii="Calibri" w:eastAsia="Calibri" w:hAnsi="Calibri" w:cs="Calibri"/>
          <w:color w:val="0E101A"/>
          <w:vertAlign w:val="superscript"/>
          <w:lang w:val="en-US"/>
        </w:rPr>
        <w:t>2</w:t>
      </w:r>
      <w:r w:rsidRPr="00F60F40">
        <w:rPr>
          <w:rFonts w:ascii="Calibri" w:eastAsia="Calibri" w:hAnsi="Calibri" w:cs="Calibri"/>
          <w:color w:val="0E101A"/>
          <w:lang w:val="en-US"/>
        </w:rPr>
        <w:t>) of each MHQ trait</w:t>
      </w:r>
      <w:r w:rsidRPr="00F60F40">
        <w:rPr>
          <w:rFonts w:ascii="Calibri" w:eastAsia="Calibri" w:hAnsi="Calibri" w:cs="Calibri"/>
          <w:color w:val="0E101A"/>
          <w:vertAlign w:val="superscript"/>
          <w:lang w:val="en-US"/>
        </w:rPr>
        <w:t>1</w:t>
      </w:r>
      <w:r w:rsidRPr="00F60F40">
        <w:rPr>
          <w:rFonts w:ascii="Calibri" w:eastAsia="Calibri" w:hAnsi="Calibri" w:cs="Calibri"/>
          <w:color w:val="0E101A"/>
          <w:lang w:val="en-US"/>
        </w:rPr>
        <w:t>. For this, the genome-wide association study (GWAS) summary statistics of each MHQ trait were formatted as standard LDSC input and analyzed using the 1000 Genomes phase 3 European dataset as LD reference panel</w:t>
      </w:r>
      <w:r w:rsidRPr="00F60F40">
        <w:rPr>
          <w:rFonts w:ascii="Calibri" w:eastAsia="Calibri" w:hAnsi="Calibri" w:cs="Calibri"/>
          <w:color w:val="0E101A"/>
          <w:vertAlign w:val="superscript"/>
          <w:lang w:val="en-US"/>
        </w:rPr>
        <w:t>2</w:t>
      </w:r>
      <w:r w:rsidRPr="00F60F40">
        <w:rPr>
          <w:rFonts w:ascii="Calibri" w:eastAsia="Calibri" w:hAnsi="Calibri" w:cs="Calibri"/>
          <w:color w:val="0E101A"/>
          <w:lang w:val="en-US"/>
        </w:rPr>
        <w:t>. The major histocompatibility complex (MHC) region (chr6: 26–34Mb) was excluded from the analysis. Also, heritability estimates of MHQ traits using the Scalable and Accurate Implementation of GEneralized (SAIGE)</w:t>
      </w:r>
      <w:r w:rsidRPr="00F60F40">
        <w:rPr>
          <w:rFonts w:ascii="Calibri" w:eastAsia="Calibri" w:hAnsi="Calibri" w:cs="Calibri"/>
          <w:color w:val="0E101A"/>
          <w:vertAlign w:val="superscript"/>
          <w:lang w:val="en-US"/>
        </w:rPr>
        <w:t>3</w:t>
      </w:r>
      <w:r w:rsidRPr="00F60F40">
        <w:rPr>
          <w:rFonts w:ascii="Calibri" w:eastAsia="Calibri" w:hAnsi="Calibri" w:cs="Calibri"/>
          <w:color w:val="0E101A"/>
          <w:lang w:val="en-US"/>
        </w:rPr>
        <w:t xml:space="preserve"> mixed model were obtained from the pan-ancestry genetic analysis of the UKB (Pan-UKB) website (</w:t>
      </w:r>
      <w:hyperlink r:id="rId5">
        <w:r w:rsidRPr="00F60F40">
          <w:rPr>
            <w:rFonts w:ascii="Calibri" w:eastAsia="Calibri" w:hAnsi="Calibri" w:cs="Calibri"/>
            <w:color w:val="1155CC"/>
            <w:u w:val="single"/>
            <w:lang w:val="en-US"/>
          </w:rPr>
          <w:t>https://pan.ukbb.broadinstitute.org</w:t>
        </w:r>
      </w:hyperlink>
      <w:r w:rsidRPr="00F60F40">
        <w:rPr>
          <w:rFonts w:ascii="Calibri" w:eastAsia="Calibri" w:hAnsi="Calibri" w:cs="Calibri"/>
          <w:color w:val="0E101A"/>
          <w:lang w:val="en-US"/>
        </w:rPr>
        <w:t>)</w:t>
      </w:r>
      <w:r w:rsidRPr="00F60F40">
        <w:rPr>
          <w:rFonts w:ascii="Calibri" w:eastAsia="Calibri" w:hAnsi="Calibri" w:cs="Calibri"/>
          <w:color w:val="0E101A"/>
          <w:vertAlign w:val="superscript"/>
          <w:lang w:val="en-US"/>
        </w:rPr>
        <w:t>4</w:t>
      </w:r>
      <w:r w:rsidRPr="00F60F40">
        <w:rPr>
          <w:rFonts w:ascii="Calibri" w:eastAsia="Calibri" w:hAnsi="Calibri" w:cs="Calibri"/>
          <w:color w:val="0E101A"/>
          <w:lang w:val="en-US"/>
        </w:rPr>
        <w:t>. Those MHQ traits with a SNP-h</w:t>
      </w:r>
      <w:r w:rsidRPr="00F60F40">
        <w:rPr>
          <w:rFonts w:ascii="Calibri" w:eastAsia="Calibri" w:hAnsi="Calibri" w:cs="Calibri"/>
          <w:color w:val="0E101A"/>
          <w:vertAlign w:val="superscript"/>
          <w:lang w:val="en-US"/>
        </w:rPr>
        <w:t>2</w:t>
      </w:r>
      <w:r w:rsidRPr="00F60F40">
        <w:rPr>
          <w:rFonts w:ascii="Calibri" w:eastAsia="Calibri" w:hAnsi="Calibri" w:cs="Calibri"/>
          <w:color w:val="0E101A"/>
          <w:lang w:val="en-US"/>
        </w:rPr>
        <w:t xml:space="preserve"> p-value &lt; 0.05 and a SAIGE heritability estimate &gt; 0.03 were selected for the estimation of </w:t>
      </w:r>
      <w:r w:rsidR="005D6AC0" w:rsidRPr="00F60F40">
        <w:rPr>
          <w:rFonts w:ascii="Calibri" w:eastAsia="Calibri" w:hAnsi="Calibri" w:cs="Calibri"/>
          <w:color w:val="0E101A"/>
          <w:lang w:val="en-US"/>
        </w:rPr>
        <w:t xml:space="preserve">AM. </w:t>
      </w:r>
    </w:p>
    <w:p w14:paraId="00000004" w14:textId="77777777" w:rsidR="00362222" w:rsidRPr="00F60F40" w:rsidRDefault="005229B1">
      <w:pPr>
        <w:spacing w:after="240" w:line="256" w:lineRule="auto"/>
        <w:jc w:val="both"/>
        <w:rPr>
          <w:rFonts w:ascii="Calibri" w:eastAsia="Calibri" w:hAnsi="Calibri" w:cs="Calibri"/>
          <w:i/>
          <w:color w:val="0E101A"/>
          <w:lang w:val="en-US"/>
        </w:rPr>
      </w:pPr>
      <w:r w:rsidRPr="00F60F40">
        <w:rPr>
          <w:rFonts w:ascii="Calibri" w:eastAsia="Calibri" w:hAnsi="Calibri" w:cs="Calibri"/>
          <w:i/>
          <w:color w:val="0E101A"/>
          <w:lang w:val="en-US"/>
        </w:rPr>
        <w:t xml:space="preserve">Genome-wide association analysis of socioeconomic status-related variables </w:t>
      </w:r>
    </w:p>
    <w:p w14:paraId="00000005" w14:textId="517A79C7" w:rsidR="00362222" w:rsidRPr="00F60F40" w:rsidRDefault="005229B1">
      <w:pPr>
        <w:spacing w:before="240" w:after="240" w:line="256" w:lineRule="auto"/>
        <w:jc w:val="both"/>
        <w:rPr>
          <w:rFonts w:ascii="Calibri" w:eastAsia="Calibri" w:hAnsi="Calibri" w:cs="Calibri"/>
          <w:color w:val="0E101A"/>
          <w:lang w:val="en-US"/>
        </w:rPr>
      </w:pPr>
      <w:r w:rsidRPr="00F60F40">
        <w:rPr>
          <w:rFonts w:ascii="Calibri" w:eastAsia="Calibri" w:hAnsi="Calibri" w:cs="Calibri"/>
          <w:color w:val="0E101A"/>
          <w:lang w:val="en-US"/>
        </w:rPr>
        <w:t xml:space="preserve">We performed GWAS for two measures of socioeconomic status (SES): household income (HI) and the Townsend deprivation index (TDI) separately in </w:t>
      </w:r>
      <w:r w:rsidRPr="00F60F40">
        <w:rPr>
          <w:rFonts w:ascii="Calibri" w:eastAsia="Calibri" w:hAnsi="Calibri" w:cs="Calibri"/>
          <w:lang w:val="en-US"/>
        </w:rPr>
        <w:t>118,656</w:t>
      </w:r>
      <w:r w:rsidRPr="00F60F40">
        <w:rPr>
          <w:rFonts w:ascii="Calibri" w:eastAsia="Calibri" w:hAnsi="Calibri" w:cs="Calibri"/>
          <w:color w:val="0E101A"/>
          <w:lang w:val="en-US"/>
        </w:rPr>
        <w:t xml:space="preserve"> unrelated UKB participants of European descent who completed the MHQ (MHQ-responders). HI refers to the combined gross income of all members of a household and was assessed via a touchscreen questionnaire completed by UKB participants</w:t>
      </w:r>
      <w:r w:rsidRPr="00F60F40">
        <w:rPr>
          <w:rFonts w:ascii="Calibri" w:eastAsia="Calibri" w:hAnsi="Calibri" w:cs="Calibri"/>
          <w:color w:val="0E101A"/>
          <w:vertAlign w:val="superscript"/>
          <w:lang w:val="en-US"/>
        </w:rPr>
        <w:t>5</w:t>
      </w:r>
      <w:r w:rsidRPr="00F60F40">
        <w:rPr>
          <w:rFonts w:ascii="Calibri" w:eastAsia="Calibri" w:hAnsi="Calibri" w:cs="Calibri"/>
          <w:color w:val="0E101A"/>
          <w:lang w:val="en-US"/>
        </w:rPr>
        <w:t>. This information was collected using a 5-point scale corresponding to the total household income before tax, 1 being less than £18,000, 2 being £18,000–£29,999, 3 being £30,000–£51,999, 4 being £52,000–£100,000 and 5 being greater than £100,000</w:t>
      </w:r>
      <w:r w:rsidRPr="00F60F40">
        <w:rPr>
          <w:rFonts w:ascii="Calibri" w:eastAsia="Calibri" w:hAnsi="Calibri" w:cs="Calibri"/>
          <w:color w:val="0E101A"/>
          <w:vertAlign w:val="superscript"/>
          <w:lang w:val="en-US"/>
        </w:rPr>
        <w:t>6</w:t>
      </w:r>
      <w:r w:rsidRPr="00F60F40">
        <w:rPr>
          <w:rFonts w:ascii="Calibri" w:eastAsia="Calibri" w:hAnsi="Calibri" w:cs="Calibri"/>
          <w:color w:val="0E101A"/>
          <w:lang w:val="en-US"/>
        </w:rPr>
        <w:t>. TDI is a measure of material deprivation based on four variables: unemployment, non-car ownership, non-home ownership, and household overcrowding aggregated for postcodes of residence</w:t>
      </w:r>
      <w:r w:rsidRPr="00F60F40">
        <w:rPr>
          <w:rFonts w:ascii="Calibri" w:eastAsia="Calibri" w:hAnsi="Calibri" w:cs="Calibri"/>
          <w:color w:val="0E101A"/>
          <w:vertAlign w:val="superscript"/>
          <w:lang w:val="en-US"/>
        </w:rPr>
        <w:t>7,8</w:t>
      </w:r>
      <w:r w:rsidRPr="00F60F40">
        <w:rPr>
          <w:rFonts w:ascii="Calibri" w:eastAsia="Calibri" w:hAnsi="Calibri" w:cs="Calibri"/>
          <w:color w:val="0E101A"/>
          <w:lang w:val="en-US"/>
        </w:rPr>
        <w:t>.</w:t>
      </w:r>
    </w:p>
    <w:p w14:paraId="00000006" w14:textId="7E24BE27" w:rsidR="00362222" w:rsidRPr="00F60F40" w:rsidRDefault="005229B1">
      <w:pPr>
        <w:spacing w:before="240" w:after="240" w:line="256" w:lineRule="auto"/>
        <w:jc w:val="both"/>
        <w:rPr>
          <w:rFonts w:ascii="Calibri" w:eastAsia="Calibri" w:hAnsi="Calibri" w:cs="Calibri"/>
          <w:lang w:val="en-US"/>
        </w:rPr>
      </w:pPr>
      <w:r w:rsidRPr="00F60F40">
        <w:rPr>
          <w:rFonts w:ascii="Calibri" w:eastAsia="Calibri" w:hAnsi="Calibri" w:cs="Calibri"/>
          <w:color w:val="0E101A"/>
          <w:lang w:val="en-US"/>
        </w:rPr>
        <w:t>GWAS were performed using a logistic regression implemented in PLINK 1.9</w:t>
      </w:r>
      <w:r w:rsidRPr="00F60F40">
        <w:rPr>
          <w:rFonts w:ascii="Calibri" w:eastAsia="Calibri" w:hAnsi="Calibri" w:cs="Calibri"/>
          <w:color w:val="0E101A"/>
          <w:vertAlign w:val="superscript"/>
          <w:lang w:val="en-US"/>
        </w:rPr>
        <w:t>9</w:t>
      </w:r>
      <w:r w:rsidRPr="00F60F40">
        <w:rPr>
          <w:rFonts w:ascii="Calibri" w:eastAsia="Calibri" w:hAnsi="Calibri" w:cs="Calibri"/>
          <w:color w:val="0E101A"/>
          <w:lang w:val="en-US"/>
        </w:rPr>
        <w:t xml:space="preserve">, including age, sex and the top ten PC to adjust by population stratification. Analyses include only SNPs with the following criteria: minor allele frequencies ≥ 0.01, missingness &lt;0.05, HWE p values &gt;1 × 10−6, and imputation quality score &gt;0.3. </w:t>
      </w:r>
      <w:r w:rsidRPr="00F60F40">
        <w:rPr>
          <w:rFonts w:ascii="Calibri" w:eastAsia="Calibri" w:hAnsi="Calibri" w:cs="Calibri"/>
          <w:lang w:val="en-US"/>
        </w:rPr>
        <w:t>LD pruning algorithm implemented in PLINK (r</w:t>
      </w:r>
      <w:r w:rsidRPr="00F60F40">
        <w:rPr>
          <w:rFonts w:ascii="Calibri" w:eastAsia="Calibri" w:hAnsi="Calibri" w:cs="Calibri"/>
          <w:vertAlign w:val="superscript"/>
          <w:lang w:val="en-US"/>
        </w:rPr>
        <w:t>2</w:t>
      </w:r>
      <w:r w:rsidRPr="00F60F40">
        <w:rPr>
          <w:rFonts w:ascii="Calibri" w:eastAsia="Calibri" w:hAnsi="Calibri" w:cs="Calibri"/>
          <w:lang w:val="en-US"/>
        </w:rPr>
        <w:t>&lt;0.5 considering a window of 50 SNPs).</w:t>
      </w:r>
      <w:r w:rsidRPr="00F60F40">
        <w:rPr>
          <w:rFonts w:ascii="Calibri" w:eastAsia="Calibri" w:hAnsi="Calibri" w:cs="Calibri"/>
          <w:color w:val="0E101A"/>
          <w:lang w:val="en-US"/>
        </w:rPr>
        <w:t xml:space="preserve"> PCs were calculated using the fast PCA approach implemented in PLINK version 2.0</w:t>
      </w:r>
      <w:r w:rsidRPr="00F60F40">
        <w:rPr>
          <w:rFonts w:ascii="Calibri" w:eastAsia="Calibri" w:hAnsi="Calibri" w:cs="Calibri"/>
          <w:color w:val="0E101A"/>
          <w:vertAlign w:val="superscript"/>
          <w:lang w:val="en-US"/>
        </w:rPr>
        <w:t>10,11</w:t>
      </w:r>
      <w:r w:rsidRPr="00F60F40">
        <w:rPr>
          <w:rFonts w:ascii="Calibri" w:eastAsia="Calibri" w:hAnsi="Calibri" w:cs="Calibri"/>
          <w:color w:val="0E101A"/>
          <w:lang w:val="en-US"/>
        </w:rPr>
        <w:t xml:space="preserve">.  </w:t>
      </w:r>
      <w:r w:rsidRPr="00F60F40">
        <w:rPr>
          <w:rFonts w:ascii="Calibri" w:eastAsia="Calibri" w:hAnsi="Calibri" w:cs="Calibri"/>
          <w:lang w:val="en-US"/>
        </w:rPr>
        <w:t>LD score regression intercepts for the results of both GWAS were estimated to distinguish polygenic heritability from inflation.</w:t>
      </w:r>
    </w:p>
    <w:p w14:paraId="00000007" w14:textId="77777777" w:rsidR="00362222" w:rsidRPr="00EB302F" w:rsidRDefault="005229B1" w:rsidP="00EB302F">
      <w:pPr>
        <w:jc w:val="both"/>
        <w:rPr>
          <w:rFonts w:asciiTheme="majorHAnsi" w:eastAsia="Calibri" w:hAnsiTheme="majorHAnsi" w:cstheme="majorHAnsi"/>
          <w:b/>
        </w:rPr>
      </w:pPr>
      <w:r w:rsidRPr="00EB302F">
        <w:rPr>
          <w:rFonts w:asciiTheme="majorHAnsi" w:eastAsia="Calibri" w:hAnsiTheme="majorHAnsi" w:cstheme="majorHAnsi"/>
          <w:b/>
        </w:rPr>
        <w:t>References</w:t>
      </w:r>
    </w:p>
    <w:p w14:paraId="00000008" w14:textId="77777777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 w:rsidRPr="00EB302F">
        <w:rPr>
          <w:rFonts w:asciiTheme="majorHAnsi" w:eastAsia="Calibri" w:hAnsiTheme="majorHAnsi" w:cstheme="majorHAnsi"/>
          <w:lang w:val="en-US"/>
        </w:rPr>
        <w:t xml:space="preserve">Schizophrenia Working Group of the Psychiatric Genomics Consortium, Bulik-Sullivan, B. K., Loh, P.-R., Finucane, H. K., Ripke, S., Yang, J., Patterson, N., Daly, M. J., Price, A. L., &amp; Neale, B. M. (2015). LD Score regression distinguishes confounding from polygenicity in genome-wide association studies. </w:t>
      </w:r>
      <w:r w:rsidRPr="00EB302F">
        <w:rPr>
          <w:rFonts w:asciiTheme="majorHAnsi" w:eastAsia="Calibri" w:hAnsiTheme="majorHAnsi" w:cstheme="majorHAnsi"/>
        </w:rPr>
        <w:t xml:space="preserve">Nature Genetics, 47(3), 291–295. </w:t>
      </w:r>
      <w:hyperlink r:id="rId6">
        <w:r w:rsidRPr="00EB302F">
          <w:rPr>
            <w:rFonts w:asciiTheme="majorHAnsi" w:eastAsia="Calibri" w:hAnsiTheme="majorHAnsi" w:cstheme="majorHAnsi"/>
            <w:color w:val="1155CC"/>
            <w:u w:val="single"/>
          </w:rPr>
          <w:t>https://doi.org/10.1038/ng.3211</w:t>
        </w:r>
      </w:hyperlink>
    </w:p>
    <w:p w14:paraId="00000009" w14:textId="77777777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lang w:val="en-US"/>
        </w:rPr>
      </w:pPr>
      <w:r w:rsidRPr="00EB302F">
        <w:rPr>
          <w:rFonts w:asciiTheme="majorHAnsi" w:eastAsia="Calibri" w:hAnsiTheme="majorHAnsi" w:cstheme="majorHAnsi"/>
          <w:lang w:val="en-US"/>
        </w:rPr>
        <w:t xml:space="preserve">1000 Genomes Project Consortium, Auton, A., Brooks, L. D., Durbin, R. M., Garrison, E. P., Kang, H. M., Korbel, J. O., Marchini, J. L., McCarthy, S., McVean, G. A., &amp; Abecasis, G. R. (2015). A global reference for human genetic variation. </w:t>
      </w:r>
      <w:r w:rsidRPr="00EB302F">
        <w:rPr>
          <w:rFonts w:asciiTheme="majorHAnsi" w:eastAsia="Calibri" w:hAnsiTheme="majorHAnsi" w:cstheme="majorHAnsi"/>
          <w:i/>
          <w:lang w:val="en-US"/>
        </w:rPr>
        <w:t>Nature</w:t>
      </w:r>
      <w:r w:rsidRPr="00EB302F">
        <w:rPr>
          <w:rFonts w:asciiTheme="majorHAnsi" w:eastAsia="Calibri" w:hAnsiTheme="majorHAnsi" w:cstheme="majorHAnsi"/>
          <w:lang w:val="en-US"/>
        </w:rPr>
        <w:t xml:space="preserve">, </w:t>
      </w:r>
      <w:r w:rsidRPr="00EB302F">
        <w:rPr>
          <w:rFonts w:asciiTheme="majorHAnsi" w:eastAsia="Calibri" w:hAnsiTheme="majorHAnsi" w:cstheme="majorHAnsi"/>
          <w:i/>
          <w:lang w:val="en-US"/>
        </w:rPr>
        <w:t>526</w:t>
      </w:r>
      <w:r w:rsidRPr="00EB302F">
        <w:rPr>
          <w:rFonts w:asciiTheme="majorHAnsi" w:eastAsia="Calibri" w:hAnsiTheme="majorHAnsi" w:cstheme="majorHAnsi"/>
          <w:lang w:val="en-US"/>
        </w:rPr>
        <w:t>(7571), 68–74.</w:t>
      </w:r>
      <w:hyperlink r:id="rId7">
        <w:r w:rsidRPr="00EB302F">
          <w:rPr>
            <w:rFonts w:asciiTheme="majorHAnsi" w:eastAsia="Calibri" w:hAnsiTheme="majorHAnsi" w:cstheme="majorHAnsi"/>
            <w:lang w:val="en-US"/>
          </w:rPr>
          <w:t xml:space="preserve"> </w:t>
        </w:r>
      </w:hyperlink>
      <w:hyperlink r:id="rId8">
        <w:r w:rsidRPr="00EB302F">
          <w:rPr>
            <w:rFonts w:asciiTheme="majorHAnsi" w:eastAsia="Calibri" w:hAnsiTheme="majorHAnsi" w:cstheme="majorHAnsi"/>
            <w:color w:val="1155CC"/>
            <w:u w:val="single"/>
            <w:lang w:val="en-US"/>
          </w:rPr>
          <w:t>https://doi.org/10.1038/nature15393</w:t>
        </w:r>
      </w:hyperlink>
    </w:p>
    <w:p w14:paraId="0000000A" w14:textId="77777777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 w:rsidRPr="00EB302F">
        <w:rPr>
          <w:rFonts w:asciiTheme="majorHAnsi" w:eastAsia="Calibri" w:hAnsiTheme="majorHAnsi" w:cstheme="majorHAnsi"/>
          <w:lang w:val="en-US"/>
        </w:rPr>
        <w:t xml:space="preserve">Zhou, W., Nielsen, J. B., Fritsche, L. G., Dey, R., Gabrielsen, M. E., Wolford, B. N., LeFaive, J., VandeHaar, P., Gagliano, S. A., Gifford, A., Bastarache, L. A., Wei, W.-Q., Denny, J. C., Lin, M., Hveem, K., Kang, H. M., Abecasis, G. R., Willer, C. J., &amp; Lee, S. (2018). Efficiently controlling for case-control imbalance and sample relatedness in large-scale genetic association studies. </w:t>
      </w:r>
      <w:r w:rsidRPr="00EB302F">
        <w:rPr>
          <w:rFonts w:asciiTheme="majorHAnsi" w:eastAsia="Calibri" w:hAnsiTheme="majorHAnsi" w:cstheme="majorHAnsi"/>
          <w:i/>
        </w:rPr>
        <w:t>Nature Genetics</w:t>
      </w:r>
      <w:r w:rsidRPr="00EB302F">
        <w:rPr>
          <w:rFonts w:asciiTheme="majorHAnsi" w:eastAsia="Calibri" w:hAnsiTheme="majorHAnsi" w:cstheme="majorHAnsi"/>
        </w:rPr>
        <w:t xml:space="preserve">, </w:t>
      </w:r>
      <w:r w:rsidRPr="00EB302F">
        <w:rPr>
          <w:rFonts w:asciiTheme="majorHAnsi" w:eastAsia="Calibri" w:hAnsiTheme="majorHAnsi" w:cstheme="majorHAnsi"/>
          <w:i/>
        </w:rPr>
        <w:t>50</w:t>
      </w:r>
      <w:r w:rsidRPr="00EB302F">
        <w:rPr>
          <w:rFonts w:asciiTheme="majorHAnsi" w:eastAsia="Calibri" w:hAnsiTheme="majorHAnsi" w:cstheme="majorHAnsi"/>
        </w:rPr>
        <w:t>(9), 1335–1341.</w:t>
      </w:r>
      <w:hyperlink r:id="rId9">
        <w:r w:rsidRPr="00EB302F">
          <w:rPr>
            <w:rFonts w:asciiTheme="majorHAnsi" w:eastAsia="Calibri" w:hAnsiTheme="majorHAnsi" w:cstheme="majorHAnsi"/>
          </w:rPr>
          <w:t xml:space="preserve"> </w:t>
        </w:r>
      </w:hyperlink>
      <w:hyperlink r:id="rId10">
        <w:r w:rsidRPr="00EB302F">
          <w:rPr>
            <w:rFonts w:asciiTheme="majorHAnsi" w:eastAsia="Calibri" w:hAnsiTheme="majorHAnsi" w:cstheme="majorHAnsi"/>
            <w:color w:val="1155CC"/>
            <w:u w:val="single"/>
          </w:rPr>
          <w:t>https://doi.org/10.1038/s41588-018-0184-y</w:t>
        </w:r>
      </w:hyperlink>
    </w:p>
    <w:p w14:paraId="0000000B" w14:textId="77777777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lang w:val="en-US"/>
        </w:rPr>
      </w:pPr>
      <w:r w:rsidRPr="00EB302F">
        <w:rPr>
          <w:rFonts w:asciiTheme="majorHAnsi" w:eastAsia="Calibri" w:hAnsiTheme="majorHAnsi" w:cstheme="majorHAnsi"/>
          <w:lang w:val="en-US"/>
        </w:rPr>
        <w:lastRenderedPageBreak/>
        <w:t xml:space="preserve">Pan-UKB team. https://pan.ukbb.broadinstitute.org. 2020. </w:t>
      </w:r>
    </w:p>
    <w:p w14:paraId="0000000C" w14:textId="77777777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 w:rsidRPr="00EB302F">
        <w:rPr>
          <w:rFonts w:asciiTheme="majorHAnsi" w:eastAsia="Calibri" w:hAnsiTheme="majorHAnsi" w:cstheme="majorHAnsi"/>
          <w:lang w:val="en-US"/>
        </w:rPr>
        <w:t xml:space="preserve">Bycroft, C., Freeman, C., Petkova, D., Band, G., Elliott, L. T., Sharp, K., Motyer, A., Vukcevic, D., Delaneau, O., O’Connell, J., Cortes, A., Welsh, S., Young, A., Effingham, M., McVean, G., Leslie, S., Allen, N., Donnelly, P., &amp; Marchini, J. (2018). The UK Biobank resource with deep phenotyping and genomic data. </w:t>
      </w:r>
      <w:r w:rsidRPr="00EB302F">
        <w:rPr>
          <w:rFonts w:asciiTheme="majorHAnsi" w:eastAsia="Calibri" w:hAnsiTheme="majorHAnsi" w:cstheme="majorHAnsi"/>
          <w:i/>
        </w:rPr>
        <w:t>Nature</w:t>
      </w:r>
      <w:r w:rsidRPr="00EB302F">
        <w:rPr>
          <w:rFonts w:asciiTheme="majorHAnsi" w:eastAsia="Calibri" w:hAnsiTheme="majorHAnsi" w:cstheme="majorHAnsi"/>
        </w:rPr>
        <w:t xml:space="preserve">, </w:t>
      </w:r>
      <w:r w:rsidRPr="00EB302F">
        <w:rPr>
          <w:rFonts w:asciiTheme="majorHAnsi" w:eastAsia="Calibri" w:hAnsiTheme="majorHAnsi" w:cstheme="majorHAnsi"/>
          <w:i/>
        </w:rPr>
        <w:t>562</w:t>
      </w:r>
      <w:r w:rsidRPr="00EB302F">
        <w:rPr>
          <w:rFonts w:asciiTheme="majorHAnsi" w:eastAsia="Calibri" w:hAnsiTheme="majorHAnsi" w:cstheme="majorHAnsi"/>
        </w:rPr>
        <w:t xml:space="preserve">(7726), 203–209. </w:t>
      </w:r>
      <w:hyperlink r:id="rId11">
        <w:r w:rsidRPr="00EB302F">
          <w:rPr>
            <w:rFonts w:asciiTheme="majorHAnsi" w:eastAsia="Calibri" w:hAnsiTheme="majorHAnsi" w:cstheme="majorHAnsi"/>
            <w:color w:val="1155CC"/>
            <w:u w:val="single"/>
          </w:rPr>
          <w:t>https://doi.org/10.1038/s41586-018-0579-z</w:t>
        </w:r>
      </w:hyperlink>
    </w:p>
    <w:p w14:paraId="0000000D" w14:textId="77777777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 w:rsidRPr="00EB302F">
        <w:rPr>
          <w:rFonts w:asciiTheme="majorHAnsi" w:eastAsia="Calibri" w:hAnsiTheme="majorHAnsi" w:cstheme="majorHAnsi"/>
          <w:lang w:val="en-US"/>
        </w:rPr>
        <w:t xml:space="preserve">Hill, W. D., Davies, N. M., Ritchie, S. J., Skene, N. G., Bryois, J., Bell, S., Di Angelantonio, E., Roberts, D. J., Xueyi, S., Davies, G., Liewald, D. C. M., Porteous, D. J., Hayward, C., Butterworth, A. S., McIntosh, A. M., Gale, C. R., &amp; Deary, I. J. (2019). Genome-wide analysis identifies molecular systems and 149 genetic loci associated with income. </w:t>
      </w:r>
      <w:r w:rsidRPr="00EB302F">
        <w:rPr>
          <w:rFonts w:asciiTheme="majorHAnsi" w:eastAsia="Calibri" w:hAnsiTheme="majorHAnsi" w:cstheme="majorHAnsi"/>
          <w:i/>
        </w:rPr>
        <w:t>Nature Communications</w:t>
      </w:r>
      <w:r w:rsidRPr="00EB302F">
        <w:rPr>
          <w:rFonts w:asciiTheme="majorHAnsi" w:eastAsia="Calibri" w:hAnsiTheme="majorHAnsi" w:cstheme="majorHAnsi"/>
        </w:rPr>
        <w:t xml:space="preserve">, </w:t>
      </w:r>
      <w:r w:rsidRPr="00EB302F">
        <w:rPr>
          <w:rFonts w:asciiTheme="majorHAnsi" w:eastAsia="Calibri" w:hAnsiTheme="majorHAnsi" w:cstheme="majorHAnsi"/>
          <w:i/>
        </w:rPr>
        <w:t>10</w:t>
      </w:r>
      <w:r w:rsidRPr="00EB302F">
        <w:rPr>
          <w:rFonts w:asciiTheme="majorHAnsi" w:eastAsia="Calibri" w:hAnsiTheme="majorHAnsi" w:cstheme="majorHAnsi"/>
        </w:rPr>
        <w:t xml:space="preserve">(1), 5741. </w:t>
      </w:r>
      <w:hyperlink r:id="rId12">
        <w:r w:rsidRPr="00EB302F">
          <w:rPr>
            <w:rFonts w:asciiTheme="majorHAnsi" w:eastAsia="Calibri" w:hAnsiTheme="majorHAnsi" w:cstheme="majorHAnsi"/>
            <w:color w:val="1155CC"/>
            <w:u w:val="single"/>
          </w:rPr>
          <w:t>https://doi.org/10.1038/s41467-019-13585-5</w:t>
        </w:r>
      </w:hyperlink>
    </w:p>
    <w:p w14:paraId="0000000E" w14:textId="77777777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 w:rsidRPr="00EB302F">
        <w:rPr>
          <w:rFonts w:asciiTheme="majorHAnsi" w:eastAsia="Calibri" w:hAnsiTheme="majorHAnsi" w:cstheme="majorHAnsi"/>
          <w:lang w:val="en-US"/>
        </w:rPr>
        <w:t xml:space="preserve">Townsend, P., Phillimore, P., &amp; Beattie, A. (1988). </w:t>
      </w:r>
      <w:r w:rsidRPr="00EB302F">
        <w:rPr>
          <w:rFonts w:asciiTheme="majorHAnsi" w:eastAsia="Calibri" w:hAnsiTheme="majorHAnsi" w:cstheme="majorHAnsi"/>
          <w:i/>
          <w:lang w:val="en-US"/>
        </w:rPr>
        <w:t>Health and deprivation: Inequality and the North</w:t>
      </w:r>
      <w:r w:rsidRPr="00EB302F">
        <w:rPr>
          <w:rFonts w:asciiTheme="majorHAnsi" w:eastAsia="Calibri" w:hAnsiTheme="majorHAnsi" w:cstheme="majorHAnsi"/>
          <w:lang w:val="en-US"/>
        </w:rPr>
        <w:t xml:space="preserve">. </w:t>
      </w:r>
      <w:r w:rsidRPr="00EB302F">
        <w:rPr>
          <w:rFonts w:asciiTheme="majorHAnsi" w:eastAsia="Calibri" w:hAnsiTheme="majorHAnsi" w:cstheme="majorHAnsi"/>
        </w:rPr>
        <w:t>Croom Helm.</w:t>
      </w:r>
    </w:p>
    <w:p w14:paraId="0000000F" w14:textId="77777777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lang w:val="en-US"/>
        </w:rPr>
      </w:pPr>
      <w:r w:rsidRPr="00EB302F">
        <w:rPr>
          <w:rFonts w:asciiTheme="majorHAnsi" w:eastAsia="Calibri" w:hAnsiTheme="majorHAnsi" w:cstheme="majorHAnsi"/>
          <w:lang w:val="en-US"/>
        </w:rPr>
        <w:t xml:space="preserve">Foster, H. M. E., Celis-Morales, C. A., Nicholl, B. I., Petermann-Rocha, F., Pell, J. P., Gill, J. M. R., O’Donnell, C. A., &amp; Mair, F. S. (2018). The effect of socioeconomic deprivation on the association between an extended measurement of unhealthy lifestyle factors and health outcomes: A prospective analysis of the UK Biobank cohort. </w:t>
      </w:r>
      <w:r w:rsidRPr="00EB302F">
        <w:rPr>
          <w:rFonts w:asciiTheme="majorHAnsi" w:eastAsia="Calibri" w:hAnsiTheme="majorHAnsi" w:cstheme="majorHAnsi"/>
          <w:i/>
          <w:lang w:val="en-US"/>
        </w:rPr>
        <w:t>The Lancet Public Health</w:t>
      </w:r>
      <w:r w:rsidRPr="00EB302F">
        <w:rPr>
          <w:rFonts w:asciiTheme="majorHAnsi" w:eastAsia="Calibri" w:hAnsiTheme="majorHAnsi" w:cstheme="majorHAnsi"/>
          <w:lang w:val="en-US"/>
        </w:rPr>
        <w:t xml:space="preserve">, </w:t>
      </w:r>
      <w:r w:rsidRPr="00EB302F">
        <w:rPr>
          <w:rFonts w:asciiTheme="majorHAnsi" w:eastAsia="Calibri" w:hAnsiTheme="majorHAnsi" w:cstheme="majorHAnsi"/>
          <w:i/>
          <w:lang w:val="en-US"/>
        </w:rPr>
        <w:t>3</w:t>
      </w:r>
      <w:r w:rsidRPr="00EB302F">
        <w:rPr>
          <w:rFonts w:asciiTheme="majorHAnsi" w:eastAsia="Calibri" w:hAnsiTheme="majorHAnsi" w:cstheme="majorHAnsi"/>
          <w:lang w:val="en-US"/>
        </w:rPr>
        <w:t xml:space="preserve">(12), e576–e585. </w:t>
      </w:r>
      <w:hyperlink r:id="rId13">
        <w:r w:rsidRPr="00EB302F">
          <w:rPr>
            <w:rFonts w:asciiTheme="majorHAnsi" w:eastAsia="Calibri" w:hAnsiTheme="majorHAnsi" w:cstheme="majorHAnsi"/>
            <w:color w:val="1155CC"/>
            <w:u w:val="single"/>
            <w:lang w:val="en-US"/>
          </w:rPr>
          <w:t>https://doi.org/10.1016/S2468-2667(18)30200-7</w:t>
        </w:r>
      </w:hyperlink>
    </w:p>
    <w:p w14:paraId="00000010" w14:textId="77777777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 w:rsidRPr="00EB302F">
        <w:rPr>
          <w:rFonts w:asciiTheme="majorHAnsi" w:eastAsia="Calibri" w:hAnsiTheme="majorHAnsi" w:cstheme="majorHAnsi"/>
          <w:lang w:val="en-US"/>
        </w:rPr>
        <w:t xml:space="preserve">Chang, C. C., Chow, C. C., Tellier, L. C., Vattikuti, S., Purcell, S. M., &amp; Lee, J. J. (2015). Second-generation PLINK: Rising to the challenge of larger and richer datasets. </w:t>
      </w:r>
      <w:r w:rsidRPr="00EB302F">
        <w:rPr>
          <w:rFonts w:asciiTheme="majorHAnsi" w:eastAsia="Calibri" w:hAnsiTheme="majorHAnsi" w:cstheme="majorHAnsi"/>
          <w:i/>
        </w:rPr>
        <w:t>GigaScience</w:t>
      </w:r>
      <w:r w:rsidRPr="00EB302F">
        <w:rPr>
          <w:rFonts w:asciiTheme="majorHAnsi" w:eastAsia="Calibri" w:hAnsiTheme="majorHAnsi" w:cstheme="majorHAnsi"/>
        </w:rPr>
        <w:t xml:space="preserve">, </w:t>
      </w:r>
      <w:r w:rsidRPr="00EB302F">
        <w:rPr>
          <w:rFonts w:asciiTheme="majorHAnsi" w:eastAsia="Calibri" w:hAnsiTheme="majorHAnsi" w:cstheme="majorHAnsi"/>
          <w:i/>
        </w:rPr>
        <w:t>4</w:t>
      </w:r>
      <w:r w:rsidRPr="00EB302F">
        <w:rPr>
          <w:rFonts w:asciiTheme="majorHAnsi" w:eastAsia="Calibri" w:hAnsiTheme="majorHAnsi" w:cstheme="majorHAnsi"/>
        </w:rPr>
        <w:t xml:space="preserve">(1), 7. </w:t>
      </w:r>
      <w:hyperlink r:id="rId14">
        <w:r w:rsidRPr="00EB302F">
          <w:rPr>
            <w:rFonts w:asciiTheme="majorHAnsi" w:eastAsia="Calibri" w:hAnsiTheme="majorHAnsi" w:cstheme="majorHAnsi"/>
            <w:color w:val="1155CC"/>
            <w:u w:val="single"/>
          </w:rPr>
          <w:t>https://doi.org/10.1186/s13742-015-0047-8</w:t>
        </w:r>
      </w:hyperlink>
    </w:p>
    <w:p w14:paraId="00000011" w14:textId="77777777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lang w:val="en-US"/>
        </w:rPr>
      </w:pPr>
      <w:r w:rsidRPr="00EB302F">
        <w:rPr>
          <w:rFonts w:asciiTheme="majorHAnsi" w:eastAsia="Calibri" w:hAnsiTheme="majorHAnsi" w:cstheme="majorHAnsi"/>
          <w:lang w:val="en-US"/>
        </w:rPr>
        <w:t xml:space="preserve">Galinsky, K. J., Bhatia, G., Loh, P.-R., Georgiev, S., Mukherjee, S., Patterson, N. J., &amp; Price, A. L. (2016). Fast principal-component analysis reveals convergent evolution of adh1b in europe and east asia. </w:t>
      </w:r>
      <w:r w:rsidRPr="00EB302F">
        <w:rPr>
          <w:rFonts w:asciiTheme="majorHAnsi" w:eastAsia="Calibri" w:hAnsiTheme="majorHAnsi" w:cstheme="majorHAnsi"/>
          <w:i/>
          <w:lang w:val="en-US"/>
        </w:rPr>
        <w:t>American Journal of Human Genetics</w:t>
      </w:r>
      <w:r w:rsidRPr="00EB302F">
        <w:rPr>
          <w:rFonts w:asciiTheme="majorHAnsi" w:eastAsia="Calibri" w:hAnsiTheme="majorHAnsi" w:cstheme="majorHAnsi"/>
          <w:lang w:val="en-US"/>
        </w:rPr>
        <w:t xml:space="preserve">, </w:t>
      </w:r>
      <w:r w:rsidRPr="00EB302F">
        <w:rPr>
          <w:rFonts w:asciiTheme="majorHAnsi" w:eastAsia="Calibri" w:hAnsiTheme="majorHAnsi" w:cstheme="majorHAnsi"/>
          <w:i/>
          <w:lang w:val="en-US"/>
        </w:rPr>
        <w:t>98</w:t>
      </w:r>
      <w:r w:rsidRPr="00EB302F">
        <w:rPr>
          <w:rFonts w:asciiTheme="majorHAnsi" w:eastAsia="Calibri" w:hAnsiTheme="majorHAnsi" w:cstheme="majorHAnsi"/>
          <w:lang w:val="en-US"/>
        </w:rPr>
        <w:t>(3), 456–472.</w:t>
      </w:r>
      <w:hyperlink r:id="rId15">
        <w:r w:rsidRPr="00EB302F">
          <w:rPr>
            <w:rFonts w:asciiTheme="majorHAnsi" w:eastAsia="Calibri" w:hAnsiTheme="majorHAnsi" w:cstheme="majorHAnsi"/>
            <w:lang w:val="en-US"/>
          </w:rPr>
          <w:t xml:space="preserve"> </w:t>
        </w:r>
      </w:hyperlink>
      <w:hyperlink r:id="rId16">
        <w:r w:rsidRPr="00EB302F">
          <w:rPr>
            <w:rFonts w:asciiTheme="majorHAnsi" w:eastAsia="Calibri" w:hAnsiTheme="majorHAnsi" w:cstheme="majorHAnsi"/>
            <w:color w:val="1155CC"/>
            <w:u w:val="single"/>
            <w:lang w:val="en-US"/>
          </w:rPr>
          <w:t>https://doi.org/10.1016/j.ajhg.2015.12.022</w:t>
        </w:r>
      </w:hyperlink>
    </w:p>
    <w:p w14:paraId="00000012" w14:textId="70F1EEB2" w:rsidR="00362222" w:rsidRPr="00EB302F" w:rsidRDefault="005229B1" w:rsidP="00EB302F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 w:rsidRPr="00EB302F">
        <w:rPr>
          <w:rFonts w:asciiTheme="majorHAnsi" w:eastAsia="Calibri" w:hAnsiTheme="majorHAnsi" w:cstheme="majorHAnsi"/>
          <w:lang w:val="en-US"/>
        </w:rPr>
        <w:t xml:space="preserve">Purcell, S., Neale, B., Todd-Brown, K., Thomas, L., Ferreira, M. A. R., Bender, D., Maller, J., Sklar, P., de Bakker, P. I. W., Daly, M. J., &amp; Sham, P. C. (2007). PLINK: A tool set for whole-genome association and population-based linkage analyses. </w:t>
      </w:r>
      <w:r w:rsidRPr="00EB302F">
        <w:rPr>
          <w:rFonts w:asciiTheme="majorHAnsi" w:eastAsia="Calibri" w:hAnsiTheme="majorHAnsi" w:cstheme="majorHAnsi"/>
          <w:i/>
        </w:rPr>
        <w:t>American Journal of Human Genetics</w:t>
      </w:r>
      <w:r w:rsidRPr="00EB302F">
        <w:rPr>
          <w:rFonts w:asciiTheme="majorHAnsi" w:eastAsia="Calibri" w:hAnsiTheme="majorHAnsi" w:cstheme="majorHAnsi"/>
        </w:rPr>
        <w:t xml:space="preserve">, </w:t>
      </w:r>
      <w:r w:rsidRPr="00EB302F">
        <w:rPr>
          <w:rFonts w:asciiTheme="majorHAnsi" w:eastAsia="Calibri" w:hAnsiTheme="majorHAnsi" w:cstheme="majorHAnsi"/>
          <w:i/>
        </w:rPr>
        <w:t>81</w:t>
      </w:r>
      <w:r w:rsidRPr="00EB302F">
        <w:rPr>
          <w:rFonts w:asciiTheme="majorHAnsi" w:eastAsia="Calibri" w:hAnsiTheme="majorHAnsi" w:cstheme="majorHAnsi"/>
        </w:rPr>
        <w:t>(3), 559–575.</w:t>
      </w:r>
      <w:hyperlink r:id="rId17">
        <w:r w:rsidRPr="00EB302F">
          <w:rPr>
            <w:rFonts w:asciiTheme="majorHAnsi" w:eastAsia="Calibri" w:hAnsiTheme="majorHAnsi" w:cstheme="majorHAnsi"/>
          </w:rPr>
          <w:t xml:space="preserve"> </w:t>
        </w:r>
      </w:hyperlink>
      <w:hyperlink r:id="rId18">
        <w:r w:rsidRPr="00EB302F">
          <w:rPr>
            <w:rFonts w:asciiTheme="majorHAnsi" w:eastAsia="Calibri" w:hAnsiTheme="majorHAnsi" w:cstheme="majorHAnsi"/>
            <w:color w:val="1155CC"/>
            <w:u w:val="single"/>
          </w:rPr>
          <w:t>https://doi.org/10.1086/519795</w:t>
        </w:r>
      </w:hyperlink>
    </w:p>
    <w:p w14:paraId="0C5F24E5" w14:textId="39170CFB" w:rsidR="00334F98" w:rsidRPr="00EB302F" w:rsidRDefault="00334F98" w:rsidP="00EB302F">
      <w:pPr>
        <w:jc w:val="both"/>
        <w:rPr>
          <w:rFonts w:asciiTheme="majorHAnsi" w:eastAsia="Calibri" w:hAnsiTheme="majorHAnsi" w:cstheme="majorHAnsi"/>
          <w:color w:val="1155CC"/>
          <w:u w:val="single"/>
        </w:rPr>
      </w:pPr>
    </w:p>
    <w:p w14:paraId="2E0AE445" w14:textId="77777777" w:rsidR="00CF2629" w:rsidRPr="00EB302F" w:rsidRDefault="00CF2629" w:rsidP="00EB302F">
      <w:pPr>
        <w:jc w:val="both"/>
        <w:rPr>
          <w:rFonts w:asciiTheme="majorHAnsi" w:eastAsia="Calibri" w:hAnsiTheme="majorHAnsi" w:cstheme="majorHAnsi"/>
          <w:color w:val="1155CC"/>
          <w:u w:val="single"/>
        </w:rPr>
      </w:pPr>
    </w:p>
    <w:p w14:paraId="30832B1E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0602A22E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6372D5D4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65015B09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3EABF69A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7FDFFF23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2A91A3DD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5B8F9871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33FF6A74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69609E86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4D8B5CE0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48A1055A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7C331FDB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297C9E5E" w14:textId="77777777" w:rsidR="00CF2629" w:rsidRDefault="00CF2629" w:rsidP="00334F98">
      <w:pPr>
        <w:rPr>
          <w:rFonts w:ascii="Calibri" w:eastAsia="Calibri" w:hAnsi="Calibri" w:cs="Calibri"/>
          <w:color w:val="1155CC"/>
          <w:u w:val="single"/>
        </w:rPr>
      </w:pPr>
    </w:p>
    <w:p w14:paraId="4459BDF8" w14:textId="2CD43A31" w:rsidR="00334F98" w:rsidRPr="00CF2629" w:rsidRDefault="00334F98" w:rsidP="00334F98">
      <w:pPr>
        <w:rPr>
          <w:rFonts w:ascii="Calibri" w:eastAsia="Calibri" w:hAnsi="Calibri" w:cs="Calibri"/>
          <w:b/>
          <w:bCs/>
          <w:color w:val="000000" w:themeColor="text1"/>
        </w:rPr>
      </w:pPr>
      <w:r w:rsidRPr="00CF2629">
        <w:rPr>
          <w:rFonts w:ascii="Calibri" w:eastAsia="Calibri" w:hAnsi="Calibri" w:cs="Calibri"/>
          <w:b/>
          <w:bCs/>
          <w:color w:val="000000" w:themeColor="text1"/>
        </w:rPr>
        <w:lastRenderedPageBreak/>
        <w:t>Supplementary Figures</w:t>
      </w:r>
    </w:p>
    <w:p w14:paraId="733232F7" w14:textId="77777777" w:rsidR="00611B62" w:rsidRDefault="00611B62" w:rsidP="00334F98">
      <w:pPr>
        <w:rPr>
          <w:rFonts w:ascii="Calibri" w:eastAsia="Calibri" w:hAnsi="Calibri" w:cs="Calibri"/>
          <w:color w:val="1155CC"/>
          <w:u w:val="single"/>
        </w:rPr>
      </w:pPr>
    </w:p>
    <w:p w14:paraId="6CA306BD" w14:textId="2F480959" w:rsidR="00334F98" w:rsidRDefault="00DE021F" w:rsidP="00334F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inline distT="0" distB="0" distL="0" distR="0" wp14:anchorId="799B6DC0" wp14:editId="2DF6CBFB">
            <wp:extent cx="5733415" cy="47694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76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1E459" w14:textId="338CF422" w:rsidR="00D0156E" w:rsidRDefault="00D0156E" w:rsidP="00D0156E">
      <w:pPr>
        <w:spacing w:line="257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02CC8">
        <w:rPr>
          <w:rFonts w:ascii="Calibri" w:eastAsia="Calibri" w:hAnsi="Calibri" w:cs="Calibri"/>
          <w:b/>
          <w:bCs/>
          <w:sz w:val="20"/>
          <w:szCs w:val="20"/>
          <w:lang w:val="en-US"/>
        </w:rPr>
        <w:t>Supplementary Figure 1.</w:t>
      </w:r>
      <w:r w:rsidRPr="00402CC8">
        <w:rPr>
          <w:rFonts w:ascii="Calibri" w:eastAsia="Calibri" w:hAnsi="Calibri" w:cs="Calibri"/>
          <w:sz w:val="20"/>
          <w:szCs w:val="20"/>
          <w:lang w:val="en-US"/>
        </w:rPr>
        <w:t xml:space="preserve"> Genetic signatures of assortative mating across psychiatric traits and disorders in UKB participants of European descent. Cell shades</w:t>
      </w:r>
      <w:r w:rsidRPr="00402CC8">
        <w:rPr>
          <w:sz w:val="20"/>
          <w:szCs w:val="20"/>
          <w:lang w:val="en-US"/>
        </w:rPr>
        <w:t xml:space="preserve"> </w:t>
      </w:r>
      <w:r w:rsidRPr="00402CC8">
        <w:rPr>
          <w:rFonts w:ascii="Calibri" w:eastAsia="Calibri" w:hAnsi="Calibri" w:cs="Calibri"/>
          <w:sz w:val="20"/>
          <w:szCs w:val="20"/>
          <w:lang w:val="en-US"/>
        </w:rPr>
        <w:t xml:space="preserve">correspond to significance strength of each estimate, from white (p &gt; 0.05, non-significant), to dark coral (FDR q &lt; 0.05, FDR-significant). The estimate reported as a percentage is shown in the center of each cell. An asterisk in the cell indicates a significant difference of the SES-conditioned estimate with respect to the original estimate (difference-p&lt;0.05). Abbreviations: Psychiatric Genomics Consortium (PGC); </w:t>
      </w:r>
      <w:r w:rsidRPr="00402CC8">
        <w:rPr>
          <w:rFonts w:ascii="Calibri" w:eastAsia="Calibri" w:hAnsi="Calibri" w:cs="Calibri"/>
          <w:sz w:val="20"/>
          <w:szCs w:val="20"/>
          <w:lang w:val="en"/>
        </w:rPr>
        <w:t>Million Veteran Program</w:t>
      </w:r>
      <w:r w:rsidRPr="00402CC8">
        <w:rPr>
          <w:rFonts w:ascii="Calibri" w:eastAsia="Calibri" w:hAnsi="Calibri" w:cs="Calibri"/>
          <w:sz w:val="20"/>
          <w:szCs w:val="20"/>
          <w:lang w:val="en-US"/>
        </w:rPr>
        <w:t xml:space="preserve"> (MVP); Mental Health Questionary (MHQ); Household income (HI); Townsend Deprivation Index (TDI).</w:t>
      </w:r>
    </w:p>
    <w:p w14:paraId="417E83C2" w14:textId="6E0A60AD" w:rsidR="00585143" w:rsidRDefault="00585143" w:rsidP="00D0156E">
      <w:pPr>
        <w:spacing w:line="257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1F2BAEEE" w14:textId="69E2B175" w:rsidR="00585143" w:rsidRDefault="00585143" w:rsidP="00D0156E">
      <w:pPr>
        <w:spacing w:line="257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38BEBCE8" w14:textId="0861DD3C" w:rsidR="00585143" w:rsidRDefault="00585143" w:rsidP="00D0156E">
      <w:pPr>
        <w:spacing w:line="257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D710F2E" w14:textId="77777777" w:rsidR="00585143" w:rsidRPr="00402CC8" w:rsidRDefault="00585143" w:rsidP="00D0156E">
      <w:pPr>
        <w:spacing w:line="257" w:lineRule="auto"/>
        <w:jc w:val="both"/>
        <w:rPr>
          <w:rFonts w:eastAsiaTheme="minorEastAsia"/>
          <w:i/>
          <w:iCs/>
          <w:sz w:val="20"/>
          <w:szCs w:val="20"/>
          <w:lang w:val="en-US"/>
        </w:rPr>
      </w:pPr>
    </w:p>
    <w:p w14:paraId="6F83F89C" w14:textId="70613144" w:rsidR="00D0156E" w:rsidRDefault="00D0156E" w:rsidP="00334F98">
      <w:pPr>
        <w:rPr>
          <w:rFonts w:ascii="Calibri" w:eastAsia="Calibri" w:hAnsi="Calibri" w:cs="Calibri"/>
          <w:lang w:val="en-US"/>
        </w:rPr>
      </w:pPr>
    </w:p>
    <w:p w14:paraId="5BABE793" w14:textId="564764E5" w:rsidR="00CF2629" w:rsidRDefault="00466E22" w:rsidP="00334F98"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noProof/>
          <w:lang w:val="en-US"/>
        </w:rPr>
        <w:lastRenderedPageBreak/>
        <w:drawing>
          <wp:inline distT="0" distB="0" distL="0" distR="0" wp14:anchorId="0BF6936A" wp14:editId="41931099">
            <wp:extent cx="5733415" cy="172021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98D8" w14:textId="317D0E66" w:rsidR="004D46E8" w:rsidRPr="00EB302F" w:rsidRDefault="004D46E8" w:rsidP="004D46E8">
      <w:pPr>
        <w:spacing w:line="257" w:lineRule="auto"/>
        <w:jc w:val="both"/>
        <w:rPr>
          <w:rFonts w:asciiTheme="majorHAnsi" w:eastAsiaTheme="minorEastAsia" w:hAnsiTheme="majorHAnsi" w:cstheme="majorHAnsi"/>
          <w:i/>
          <w:iCs/>
          <w:sz w:val="20"/>
          <w:szCs w:val="20"/>
          <w:lang w:val="en-US"/>
        </w:rPr>
      </w:pPr>
      <w:r w:rsidRPr="00EB302F">
        <w:rPr>
          <w:rFonts w:asciiTheme="majorHAnsi" w:eastAsia="Calibri" w:hAnsiTheme="majorHAnsi" w:cstheme="majorHAnsi"/>
          <w:b/>
          <w:bCs/>
          <w:sz w:val="20"/>
          <w:szCs w:val="20"/>
          <w:lang w:val="en-US"/>
        </w:rPr>
        <w:t>Supplementary Figure 2.</w:t>
      </w:r>
      <w:r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Polygenic risk score </w:t>
      </w:r>
      <w:r w:rsidR="008A52CD"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(PRS) </w:t>
      </w:r>
      <w:r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distributions in MHQ-responders </w:t>
      </w:r>
      <w:r w:rsidR="008A52CD"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>(</w:t>
      </w:r>
      <w:r w:rsidR="00466E22">
        <w:rPr>
          <w:rFonts w:asciiTheme="majorHAnsi" w:eastAsia="Calibri" w:hAnsiTheme="majorHAnsi" w:cstheme="majorHAnsi"/>
          <w:sz w:val="20"/>
          <w:szCs w:val="20"/>
          <w:lang w:val="en-US"/>
        </w:rPr>
        <w:t>blue</w:t>
      </w:r>
      <w:r w:rsidR="008A52CD"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) </w:t>
      </w:r>
      <w:r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>and MHQ-non-responders</w:t>
      </w:r>
      <w:r w:rsidR="008A52CD"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(</w:t>
      </w:r>
      <w:r w:rsidR="00466E22">
        <w:rPr>
          <w:rFonts w:asciiTheme="majorHAnsi" w:eastAsia="Calibri" w:hAnsiTheme="majorHAnsi" w:cstheme="majorHAnsi"/>
          <w:sz w:val="20"/>
          <w:szCs w:val="20"/>
          <w:lang w:val="en-US"/>
        </w:rPr>
        <w:t>pink</w:t>
      </w:r>
      <w:r w:rsidR="008A52CD"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>)</w:t>
      </w:r>
      <w:r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. </w:t>
      </w:r>
      <w:r w:rsidR="008A52CD"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Mean of PRS distributions is shown as a colored dashed line. </w:t>
      </w:r>
      <w:r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Distributions from psychiatric traits with a significant difference (p&lt;0.05) between both groups are shown. Abbreviations: Psychiatric Genomics Consortium (PGC); </w:t>
      </w:r>
      <w:r w:rsidRPr="00EB302F">
        <w:rPr>
          <w:rFonts w:asciiTheme="majorHAnsi" w:eastAsia="Calibri" w:hAnsiTheme="majorHAnsi" w:cstheme="majorHAnsi"/>
          <w:sz w:val="20"/>
          <w:szCs w:val="20"/>
          <w:lang w:val="en"/>
        </w:rPr>
        <w:t>Million Veteran Program</w:t>
      </w:r>
      <w:r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(MVP).</w:t>
      </w:r>
      <w:r w:rsidR="00FB32ED" w:rsidRPr="00EB302F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 Full results are shown in Supplementary Table 7. </w:t>
      </w:r>
    </w:p>
    <w:p w14:paraId="5266D5F8" w14:textId="4E2B6DC6" w:rsidR="00CF2629" w:rsidRDefault="00CF2629" w:rsidP="00334F98">
      <w:pPr>
        <w:rPr>
          <w:rFonts w:ascii="Calibri" w:eastAsia="Calibri" w:hAnsi="Calibri" w:cs="Calibri"/>
          <w:lang w:val="en-US"/>
        </w:rPr>
      </w:pPr>
    </w:p>
    <w:p w14:paraId="731F273C" w14:textId="77777777" w:rsidR="00CF2629" w:rsidRPr="00D0156E" w:rsidRDefault="00CF2629" w:rsidP="00334F98">
      <w:pPr>
        <w:rPr>
          <w:rFonts w:ascii="Calibri" w:eastAsia="Calibri" w:hAnsi="Calibri" w:cs="Calibri"/>
          <w:lang w:val="en-US"/>
        </w:rPr>
      </w:pPr>
    </w:p>
    <w:sectPr w:rsidR="00CF2629" w:rsidRPr="00D015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D4DDB"/>
    <w:multiLevelType w:val="multilevel"/>
    <w:tmpl w:val="27D6B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542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22"/>
    <w:rsid w:val="00334F98"/>
    <w:rsid w:val="00362222"/>
    <w:rsid w:val="00402CC8"/>
    <w:rsid w:val="00466E22"/>
    <w:rsid w:val="004D46E8"/>
    <w:rsid w:val="005229B1"/>
    <w:rsid w:val="00585143"/>
    <w:rsid w:val="005D6AC0"/>
    <w:rsid w:val="00611B62"/>
    <w:rsid w:val="00821225"/>
    <w:rsid w:val="008A52CD"/>
    <w:rsid w:val="009A05A6"/>
    <w:rsid w:val="00BC0DB3"/>
    <w:rsid w:val="00C34A3A"/>
    <w:rsid w:val="00CF2629"/>
    <w:rsid w:val="00D0156E"/>
    <w:rsid w:val="00DE021F"/>
    <w:rsid w:val="00E210BB"/>
    <w:rsid w:val="00EB302F"/>
    <w:rsid w:val="00F60F40"/>
    <w:rsid w:val="00F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31B8"/>
  <w15:docId w15:val="{2006FC6C-82E6-40CE-9EAB-16B14D5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210BB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A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4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nature15393" TargetMode="External"/><Relationship Id="rId13" Type="http://schemas.openxmlformats.org/officeDocument/2006/relationships/hyperlink" Target="https://doi.org/10.1016/S2468-2667(18)30200-7" TargetMode="External"/><Relationship Id="rId18" Type="http://schemas.openxmlformats.org/officeDocument/2006/relationships/hyperlink" Target="https://doi.org/10.1086/51979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038/nature15393" TargetMode="External"/><Relationship Id="rId12" Type="http://schemas.openxmlformats.org/officeDocument/2006/relationships/hyperlink" Target="https://doi.org/10.1038/s41467-019-13585-5" TargetMode="External"/><Relationship Id="rId17" Type="http://schemas.openxmlformats.org/officeDocument/2006/relationships/hyperlink" Target="https://doi.org/10.1086/5197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ajhg.2015.12.022" TargetMode="External"/><Relationship Id="rId20" Type="http://schemas.openxmlformats.org/officeDocument/2006/relationships/image" Target="media/image2.tiff"/><Relationship Id="rId1" Type="http://schemas.openxmlformats.org/officeDocument/2006/relationships/numbering" Target="numbering.xml"/><Relationship Id="rId6" Type="http://schemas.openxmlformats.org/officeDocument/2006/relationships/hyperlink" Target="https://doi.org/10.1038/ng.3211" TargetMode="External"/><Relationship Id="rId11" Type="http://schemas.openxmlformats.org/officeDocument/2006/relationships/hyperlink" Target="https://doi.org/10.1038/s41586-018-0579-z" TargetMode="External"/><Relationship Id="rId5" Type="http://schemas.openxmlformats.org/officeDocument/2006/relationships/hyperlink" Target="https://pan.ukbb.broadinstitute.org" TargetMode="External"/><Relationship Id="rId15" Type="http://schemas.openxmlformats.org/officeDocument/2006/relationships/hyperlink" Target="https://doi.org/10.1016/j.ajhg.2015.12.022" TargetMode="External"/><Relationship Id="rId10" Type="http://schemas.openxmlformats.org/officeDocument/2006/relationships/hyperlink" Target="https://doi.org/10.1038/s41588-018-0184-y" TargetMode="External"/><Relationship Id="rId19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88-018-0184-y" TargetMode="External"/><Relationship Id="rId14" Type="http://schemas.openxmlformats.org/officeDocument/2006/relationships/hyperlink" Target="https://doi.org/10.1186/s13742-015-0047-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Polimanti</dc:creator>
  <cp:lastModifiedBy>Cabrera-Mendoza, Brenda</cp:lastModifiedBy>
  <cp:revision>5</cp:revision>
  <dcterms:created xsi:type="dcterms:W3CDTF">2022-11-16T20:31:00Z</dcterms:created>
  <dcterms:modified xsi:type="dcterms:W3CDTF">2022-11-21T15:40:00Z</dcterms:modified>
</cp:coreProperties>
</file>