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ECF" w:rsidRPr="004C5C40" w:rsidRDefault="00061ECF" w:rsidP="005A41E6">
      <w:pPr>
        <w:jc w:val="both"/>
        <w:rPr>
          <w:rFonts w:ascii="Times New Roman" w:hAnsi="Times New Roman" w:cs="Times New Roman"/>
          <w:b/>
          <w:sz w:val="24"/>
          <w:szCs w:val="24"/>
          <w:lang w:val="en-US"/>
        </w:rPr>
      </w:pPr>
      <w:r w:rsidRPr="004C5C40">
        <w:rPr>
          <w:rFonts w:ascii="Times New Roman" w:hAnsi="Times New Roman" w:cs="Times New Roman"/>
          <w:b/>
          <w:sz w:val="24"/>
          <w:szCs w:val="24"/>
          <w:lang w:val="en-US"/>
        </w:rPr>
        <w:t>Supplementary Materials: Battle of Polio eradication in the Western Pacific Region in the transition to COVID-19 endemicity</w:t>
      </w:r>
    </w:p>
    <w:p w:rsidR="00061ECF" w:rsidRPr="002415AB" w:rsidRDefault="00061ECF" w:rsidP="005A41E6">
      <w:pPr>
        <w:jc w:val="both"/>
        <w:rPr>
          <w:rFonts w:ascii="Times New Roman" w:hAnsi="Times New Roman" w:cs="Times New Roman"/>
          <w:sz w:val="24"/>
          <w:szCs w:val="24"/>
          <w:lang w:val="en-US"/>
        </w:rPr>
      </w:pPr>
      <w:r w:rsidRPr="002415AB">
        <w:rPr>
          <w:rFonts w:ascii="Times New Roman" w:hAnsi="Times New Roman" w:cs="Times New Roman"/>
          <w:sz w:val="24"/>
          <w:szCs w:val="24"/>
          <w:lang w:val="en-US"/>
        </w:rPr>
        <w:t>Ruobing Mei, Shirley L. L. Kwok, Eric H. Y. Lau, Tiffany H. K. Lo, Joseph T. Wu, Leesa K. Lin, Kathy Leung</w:t>
      </w:r>
    </w:p>
    <w:p w:rsidR="00061ECF" w:rsidRPr="004C5C40" w:rsidRDefault="00061ECF" w:rsidP="005A41E6">
      <w:pPr>
        <w:jc w:val="both"/>
        <w:rPr>
          <w:rFonts w:ascii="Times New Roman" w:hAnsi="Times New Roman" w:cs="Times New Roman"/>
          <w:b/>
          <w:sz w:val="24"/>
          <w:szCs w:val="24"/>
          <w:lang w:val="en-US"/>
        </w:rPr>
      </w:pPr>
    </w:p>
    <w:p w:rsidR="00061ECF" w:rsidRPr="004C5C40" w:rsidRDefault="005A41E6" w:rsidP="005A41E6">
      <w:pPr>
        <w:jc w:val="both"/>
        <w:rPr>
          <w:rFonts w:ascii="Times New Roman" w:hAnsi="Times New Roman" w:cs="Times New Roman"/>
          <w:b/>
          <w:sz w:val="24"/>
          <w:szCs w:val="24"/>
          <w:lang w:val="en-US"/>
        </w:rPr>
      </w:pPr>
      <w:r w:rsidRPr="004C5C40">
        <w:rPr>
          <w:rFonts w:ascii="Times New Roman" w:hAnsi="Times New Roman" w:cs="Times New Roman"/>
          <w:b/>
          <w:sz w:val="24"/>
          <w:szCs w:val="24"/>
          <w:lang w:val="en-US"/>
        </w:rPr>
        <w:fldChar w:fldCharType="begin"/>
      </w:r>
      <w:r w:rsidRPr="004C5C40">
        <w:rPr>
          <w:rFonts w:ascii="Times New Roman" w:hAnsi="Times New Roman" w:cs="Times New Roman"/>
          <w:b/>
          <w:sz w:val="24"/>
          <w:szCs w:val="24"/>
          <w:lang w:val="en-US"/>
        </w:rPr>
        <w:instrText xml:space="preserve"> ADDIN ZOTERO_ITEM CSL_CITATION {"citationID":"RU7Y1Tsk","properties":{"formattedCitation":"(32)","plainCitation":"(32)","dontUpdate":true,"noteIndex":0},"citationItems":[{"id":273,"uris":["http://zotero.org/users/local/lOXBNq0n/items/58TDYVBX"],"itemData":{"id":273,"type":"webpage","container-title":"Poliomyelitis vaccination coverage: 2004-2021","title":"Poliomyelitis vaccination coverage: 2004-2021","URL":"https://immunizationdata.who.int/pages/coverage/pol.html?CODE=WPR&amp;YEAR=","author":[{"family":"World Health Organisation","given":""}],"accessed":{"date-parts":[["2022",10,11]]}}}],"schema":"https://github.com/citation-style-language/schema/raw/master/csl-citation.json"} </w:instrText>
      </w:r>
      <w:r w:rsidRPr="004C5C40">
        <w:rPr>
          <w:rFonts w:ascii="Times New Roman" w:hAnsi="Times New Roman" w:cs="Times New Roman"/>
          <w:b/>
          <w:sz w:val="24"/>
          <w:szCs w:val="24"/>
          <w:lang w:val="en-US"/>
        </w:rPr>
        <w:fldChar w:fldCharType="end"/>
      </w:r>
      <w:r w:rsidRPr="004C5C40">
        <w:rPr>
          <w:rFonts w:ascii="Times New Roman" w:hAnsi="Times New Roman" w:cs="Times New Roman"/>
          <w:b/>
          <w:sz w:val="24"/>
          <w:szCs w:val="24"/>
          <w:lang w:val="en-US"/>
        </w:rPr>
        <w:t>Figure S1. Self-reported poliovirus vaccine uptake by child age group*</w:t>
      </w:r>
    </w:p>
    <w:p w:rsidR="005A41E6" w:rsidRPr="004C5C40" w:rsidRDefault="005A41E6" w:rsidP="005A41E6">
      <w:pPr>
        <w:jc w:val="center"/>
        <w:rPr>
          <w:rFonts w:ascii="Times New Roman" w:hAnsi="Times New Roman" w:cs="Times New Roman"/>
          <w:sz w:val="24"/>
          <w:szCs w:val="24"/>
        </w:rPr>
      </w:pPr>
      <w:r w:rsidRPr="004C5C40">
        <w:rPr>
          <w:rFonts w:ascii="Times New Roman" w:hAnsi="Times New Roman" w:cs="Times New Roman"/>
          <w:noProof/>
          <w:sz w:val="24"/>
          <w:szCs w:val="24"/>
        </w:rPr>
        <w:drawing>
          <wp:inline distT="0" distB="0" distL="0" distR="0" wp14:anchorId="33B40942" wp14:editId="1CD407B0">
            <wp:extent cx="7654290" cy="5102861"/>
            <wp:effectExtent l="0" t="0" r="3810" b="2540"/>
            <wp:docPr id="34548416" name="Picture 3454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73004" cy="5115337"/>
                    </a:xfrm>
                    <a:prstGeom prst="rect">
                      <a:avLst/>
                    </a:prstGeom>
                  </pic:spPr>
                </pic:pic>
              </a:graphicData>
            </a:graphic>
          </wp:inline>
        </w:drawing>
      </w:r>
    </w:p>
    <w:p w:rsidR="005A41E6" w:rsidRPr="002415AB" w:rsidRDefault="005A41E6" w:rsidP="005A41E6">
      <w:pPr>
        <w:jc w:val="both"/>
        <w:rPr>
          <w:rFonts w:ascii="Times New Roman" w:eastAsia="Arial" w:hAnsi="Times New Roman" w:cs="Times New Roman"/>
          <w:sz w:val="20"/>
          <w:szCs w:val="24"/>
          <w:lang w:val="en-US"/>
        </w:rPr>
      </w:pPr>
      <w:r w:rsidRPr="002415AB">
        <w:rPr>
          <w:rFonts w:ascii="Times New Roman" w:eastAsia="Arial" w:hAnsi="Times New Roman" w:cs="Times New Roman"/>
          <w:sz w:val="20"/>
          <w:szCs w:val="24"/>
          <w:lang w:val="en-US"/>
        </w:rPr>
        <w:t xml:space="preserve">* Self-reported uptake rate includes participants who either reported that their child has received any dose of polio vaccine or all recommended routine vaccinations; unknown includes participants who either reported that their child has received some vaccines but were not sure what they were, or did not know if their child had been vaccinated or not. </w:t>
      </w:r>
    </w:p>
    <w:p w:rsidR="005A41E6" w:rsidRPr="004C5C40" w:rsidRDefault="005A41E6" w:rsidP="005A41E6">
      <w:pPr>
        <w:jc w:val="both"/>
        <w:rPr>
          <w:rFonts w:ascii="Times New Roman" w:hAnsi="Times New Roman" w:cs="Times New Roman"/>
          <w:b/>
          <w:sz w:val="24"/>
          <w:szCs w:val="24"/>
        </w:rPr>
      </w:pPr>
      <w:r w:rsidRPr="004C5C40">
        <w:rPr>
          <w:rFonts w:ascii="Times New Roman" w:eastAsia="Arial" w:hAnsi="Times New Roman" w:cs="Times New Roman"/>
          <w:b/>
          <w:sz w:val="24"/>
          <w:szCs w:val="24"/>
          <w:lang w:val="en-US"/>
        </w:rPr>
        <w:br w:type="page"/>
      </w:r>
      <w:r w:rsidRPr="004C5C40">
        <w:rPr>
          <w:rFonts w:ascii="Times New Roman" w:hAnsi="Times New Roman" w:cs="Times New Roman"/>
          <w:b/>
          <w:sz w:val="24"/>
          <w:szCs w:val="24"/>
          <w:lang w:val="en-US"/>
        </w:rPr>
        <w:lastRenderedPageBreak/>
        <w:t xml:space="preserve">Figure S2. Estimated distribution of polio vaccine </w:t>
      </w:r>
      <w:r w:rsidR="00575D50">
        <w:rPr>
          <w:rFonts w:ascii="Times New Roman" w:hAnsi="Times New Roman" w:cs="Times New Roman"/>
          <w:b/>
          <w:sz w:val="24"/>
          <w:szCs w:val="24"/>
          <w:lang w:val="en-US"/>
        </w:rPr>
        <w:t>efficacy/</w:t>
      </w:r>
      <w:r w:rsidRPr="004C5C40">
        <w:rPr>
          <w:rFonts w:ascii="Times New Roman" w:hAnsi="Times New Roman" w:cs="Times New Roman"/>
          <w:b/>
          <w:sz w:val="24"/>
          <w:szCs w:val="24"/>
          <w:lang w:val="en-US"/>
        </w:rPr>
        <w:t>effectiveness</w:t>
      </w:r>
      <w:r w:rsidR="00575D50">
        <w:rPr>
          <w:rFonts w:ascii="Times New Roman" w:hAnsi="Times New Roman" w:cs="Times New Roman"/>
          <w:b/>
          <w:sz w:val="24"/>
          <w:szCs w:val="24"/>
          <w:lang w:val="en-US"/>
        </w:rPr>
        <w:t xml:space="preserve"> (VE)</w:t>
      </w:r>
      <w:r w:rsidRPr="004C5C40">
        <w:rPr>
          <w:rFonts w:ascii="Times New Roman" w:hAnsi="Times New Roman" w:cs="Times New Roman"/>
          <w:b/>
          <w:sz w:val="24"/>
          <w:szCs w:val="24"/>
          <w:lang w:val="en-US"/>
        </w:rPr>
        <w:t>*</w:t>
      </w:r>
    </w:p>
    <w:p w:rsidR="005A41E6" w:rsidRPr="004C5C40" w:rsidRDefault="00575D50" w:rsidP="005A41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314944" cy="598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_ve_di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6525" cy="6001055"/>
                    </a:xfrm>
                    <a:prstGeom prst="rect">
                      <a:avLst/>
                    </a:prstGeom>
                  </pic:spPr>
                </pic:pic>
              </a:graphicData>
            </a:graphic>
          </wp:inline>
        </w:drawing>
      </w:r>
    </w:p>
    <w:p w:rsidR="005A41E6" w:rsidRPr="002415AB" w:rsidRDefault="005A41E6" w:rsidP="005A41E6">
      <w:pPr>
        <w:jc w:val="both"/>
        <w:rPr>
          <w:rFonts w:ascii="Times New Roman" w:hAnsi="Times New Roman" w:cs="Times New Roman"/>
          <w:sz w:val="20"/>
          <w:szCs w:val="24"/>
          <w:lang w:val="en-US"/>
        </w:rPr>
      </w:pPr>
      <w:r w:rsidRPr="002415AB">
        <w:rPr>
          <w:rFonts w:ascii="Times New Roman" w:hAnsi="Times New Roman" w:cs="Times New Roman"/>
          <w:sz w:val="20"/>
          <w:szCs w:val="24"/>
          <w:lang w:val="en-US"/>
        </w:rPr>
        <w:t>*Calculations are detailed in the supplementary text.</w:t>
      </w:r>
    </w:p>
    <w:p w:rsidR="00061ECF" w:rsidRPr="004C5C40" w:rsidRDefault="005A41E6" w:rsidP="005A41E6">
      <w:pPr>
        <w:jc w:val="both"/>
        <w:rPr>
          <w:rFonts w:ascii="Times New Roman" w:hAnsi="Times New Roman" w:cs="Times New Roman"/>
          <w:b/>
          <w:sz w:val="24"/>
          <w:szCs w:val="24"/>
          <w:lang w:val="en-US"/>
        </w:rPr>
      </w:pPr>
      <w:r w:rsidRPr="004C5C40">
        <w:rPr>
          <w:rFonts w:ascii="Times New Roman" w:hAnsi="Times New Roman" w:cs="Times New Roman"/>
          <w:b/>
          <w:sz w:val="24"/>
          <w:szCs w:val="24"/>
          <w:lang w:val="en-US"/>
        </w:rPr>
        <w:br w:type="page"/>
      </w:r>
      <w:r w:rsidRPr="004C5C40">
        <w:rPr>
          <w:rFonts w:ascii="Times New Roman" w:hAnsi="Times New Roman" w:cs="Times New Roman"/>
          <w:b/>
          <w:sz w:val="24"/>
          <w:szCs w:val="24"/>
          <w:lang w:val="en-US"/>
        </w:rPr>
        <w:lastRenderedPageBreak/>
        <w:t>Table S1. Vaccine efficacy</w:t>
      </w:r>
      <w:r w:rsidR="0006691B">
        <w:rPr>
          <w:rFonts w:ascii="Times New Roman" w:hAnsi="Times New Roman" w:cs="Times New Roman"/>
          <w:b/>
          <w:sz w:val="24"/>
          <w:szCs w:val="24"/>
          <w:lang w:val="en-US"/>
        </w:rPr>
        <w:t>/effectiveness (VE)</w:t>
      </w:r>
      <w:r w:rsidRPr="004C5C40">
        <w:rPr>
          <w:rFonts w:ascii="Times New Roman" w:hAnsi="Times New Roman" w:cs="Times New Roman"/>
          <w:b/>
          <w:sz w:val="24"/>
          <w:szCs w:val="24"/>
          <w:lang w:val="en-US"/>
        </w:rPr>
        <w:t xml:space="preserve"> of polio vaccines against paralytic poliomyelitis infection. IPV = inactivated polio vaccine, </w:t>
      </w:r>
      <w:proofErr w:type="spellStart"/>
      <w:r w:rsidRPr="004C5C40">
        <w:rPr>
          <w:rFonts w:ascii="Times New Roman" w:hAnsi="Times New Roman" w:cs="Times New Roman"/>
          <w:b/>
          <w:sz w:val="24"/>
          <w:szCs w:val="24"/>
          <w:lang w:val="en-US"/>
        </w:rPr>
        <w:t>bOPV</w:t>
      </w:r>
      <w:proofErr w:type="spellEnd"/>
      <w:r w:rsidRPr="004C5C40">
        <w:rPr>
          <w:rFonts w:ascii="Times New Roman" w:hAnsi="Times New Roman" w:cs="Times New Roman"/>
          <w:b/>
          <w:sz w:val="24"/>
          <w:szCs w:val="24"/>
          <w:lang w:val="en-US"/>
        </w:rPr>
        <w:t xml:space="preserve"> = bivalent oral polio vaccine, Hib = </w:t>
      </w:r>
      <w:proofErr w:type="spellStart"/>
      <w:r w:rsidRPr="004C5C40">
        <w:rPr>
          <w:rFonts w:ascii="Times New Roman" w:hAnsi="Times New Roman" w:cs="Times New Roman"/>
          <w:b/>
          <w:sz w:val="24"/>
          <w:szCs w:val="24"/>
          <w:lang w:val="en-US"/>
        </w:rPr>
        <w:t>haemophilus</w:t>
      </w:r>
      <w:proofErr w:type="spellEnd"/>
      <w:r w:rsidRPr="004C5C40">
        <w:rPr>
          <w:rFonts w:ascii="Times New Roman" w:hAnsi="Times New Roman" w:cs="Times New Roman"/>
          <w:b/>
          <w:sz w:val="24"/>
          <w:szCs w:val="24"/>
          <w:lang w:val="en-US"/>
        </w:rPr>
        <w:t xml:space="preserve"> influenza type b, </w:t>
      </w:r>
      <w:proofErr w:type="spellStart"/>
      <w:r w:rsidRPr="004C5C40">
        <w:rPr>
          <w:rFonts w:ascii="Times New Roman" w:hAnsi="Times New Roman" w:cs="Times New Roman"/>
          <w:b/>
          <w:sz w:val="24"/>
          <w:szCs w:val="24"/>
          <w:lang w:val="en-US"/>
        </w:rPr>
        <w:t>HepB</w:t>
      </w:r>
      <w:proofErr w:type="spellEnd"/>
      <w:r w:rsidRPr="004C5C40">
        <w:rPr>
          <w:rFonts w:ascii="Times New Roman" w:hAnsi="Times New Roman" w:cs="Times New Roman"/>
          <w:b/>
          <w:sz w:val="24"/>
          <w:szCs w:val="24"/>
          <w:lang w:val="en-US"/>
        </w:rPr>
        <w:t xml:space="preserve"> = hepatitis B, HB = hepatitis B.</w:t>
      </w:r>
    </w:p>
    <w:tbl>
      <w:tblPr>
        <w:tblStyle w:val="PlainTable2"/>
        <w:tblW w:w="5000" w:type="pct"/>
        <w:tblLook w:val="04A0" w:firstRow="1" w:lastRow="0" w:firstColumn="1" w:lastColumn="0" w:noHBand="0" w:noVBand="1"/>
      </w:tblPr>
      <w:tblGrid>
        <w:gridCol w:w="757"/>
        <w:gridCol w:w="2288"/>
        <w:gridCol w:w="1589"/>
        <w:gridCol w:w="1728"/>
        <w:gridCol w:w="1697"/>
        <w:gridCol w:w="1894"/>
        <w:gridCol w:w="1534"/>
        <w:gridCol w:w="2162"/>
        <w:gridCol w:w="1749"/>
      </w:tblGrid>
      <w:tr w:rsidR="005A41E6" w:rsidRPr="002415AB" w:rsidTr="002415AB">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6" w:type="pct"/>
            <w:tcBorders>
              <w:top w:val="nil"/>
              <w:bottom w:val="single" w:sz="4" w:space="0" w:color="000000" w:themeColor="text1"/>
            </w:tcBorders>
            <w:vAlign w:val="center"/>
            <w:hideMark/>
          </w:tcPr>
          <w:p w:rsidR="005A41E6" w:rsidRPr="002415AB" w:rsidRDefault="005A41E6" w:rsidP="002415AB">
            <w:pPr>
              <w:spacing w:line="240" w:lineRule="auto"/>
              <w:jc w:val="center"/>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ID</w:t>
            </w:r>
          </w:p>
        </w:tc>
        <w:tc>
          <w:tcPr>
            <w:tcW w:w="743" w:type="pct"/>
            <w:tcBorders>
              <w:top w:val="nil"/>
              <w:bottom w:val="single" w:sz="4" w:space="0" w:color="000000" w:themeColor="text1"/>
            </w:tcBorders>
            <w:vAlign w:val="center"/>
            <w:hideMark/>
          </w:tcPr>
          <w:p w:rsidR="005A41E6" w:rsidRPr="002415AB" w:rsidRDefault="005A41E6"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Vaccine Dosage &amp; Type</w:t>
            </w:r>
          </w:p>
        </w:tc>
        <w:tc>
          <w:tcPr>
            <w:tcW w:w="516" w:type="pct"/>
            <w:tcBorders>
              <w:top w:val="nil"/>
              <w:bottom w:val="single" w:sz="4" w:space="0" w:color="000000" w:themeColor="text1"/>
            </w:tcBorders>
            <w:vAlign w:val="center"/>
            <w:hideMark/>
          </w:tcPr>
          <w:p w:rsidR="005A41E6" w:rsidRPr="002415AB" w:rsidRDefault="005A41E6"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Serotype of Polioviruses</w:t>
            </w:r>
          </w:p>
        </w:tc>
        <w:tc>
          <w:tcPr>
            <w:tcW w:w="561" w:type="pct"/>
            <w:tcBorders>
              <w:top w:val="nil"/>
              <w:bottom w:val="single" w:sz="4" w:space="0" w:color="000000" w:themeColor="text1"/>
            </w:tcBorders>
            <w:vAlign w:val="center"/>
            <w:hideMark/>
          </w:tcPr>
          <w:p w:rsidR="005A41E6" w:rsidRPr="002415AB" w:rsidRDefault="0006691B"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themeColor="text1"/>
                <w:sz w:val="20"/>
                <w:szCs w:val="16"/>
              </w:rPr>
              <w:t>VE</w:t>
            </w:r>
          </w:p>
        </w:tc>
        <w:tc>
          <w:tcPr>
            <w:tcW w:w="551" w:type="pct"/>
            <w:tcBorders>
              <w:top w:val="nil"/>
              <w:bottom w:val="single" w:sz="4" w:space="0" w:color="000000" w:themeColor="text1"/>
            </w:tcBorders>
            <w:vAlign w:val="center"/>
            <w:hideMark/>
          </w:tcPr>
          <w:p w:rsidR="005A41E6" w:rsidRPr="002415AB" w:rsidRDefault="005A41E6"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95% CI</w:t>
            </w:r>
          </w:p>
        </w:tc>
        <w:tc>
          <w:tcPr>
            <w:tcW w:w="615" w:type="pct"/>
            <w:tcBorders>
              <w:top w:val="nil"/>
              <w:bottom w:val="single" w:sz="4" w:space="0" w:color="000000" w:themeColor="text1"/>
            </w:tcBorders>
            <w:noWrap/>
            <w:vAlign w:val="center"/>
            <w:hideMark/>
          </w:tcPr>
          <w:p w:rsidR="005A41E6" w:rsidRPr="002415AB" w:rsidRDefault="005A41E6"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Study Location</w:t>
            </w:r>
          </w:p>
        </w:tc>
        <w:tc>
          <w:tcPr>
            <w:tcW w:w="498" w:type="pct"/>
            <w:tcBorders>
              <w:top w:val="nil"/>
              <w:bottom w:val="single" w:sz="4" w:space="0" w:color="000000" w:themeColor="text1"/>
            </w:tcBorders>
            <w:noWrap/>
            <w:vAlign w:val="center"/>
            <w:hideMark/>
          </w:tcPr>
          <w:p w:rsidR="005A41E6" w:rsidRPr="002415AB" w:rsidRDefault="005A41E6"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Publish</w:t>
            </w:r>
            <w:r w:rsidR="004C5C40" w:rsidRPr="002415AB">
              <w:rPr>
                <w:rFonts w:ascii="Times New Roman" w:eastAsia="Times New Roman" w:hAnsi="Times New Roman" w:cs="Times New Roman"/>
                <w:color w:val="000000"/>
                <w:sz w:val="20"/>
                <w:szCs w:val="16"/>
              </w:rPr>
              <w:t>ed</w:t>
            </w:r>
            <w:r w:rsidRPr="002415AB">
              <w:rPr>
                <w:rFonts w:ascii="Times New Roman" w:eastAsia="Times New Roman" w:hAnsi="Times New Roman" w:cs="Times New Roman"/>
                <w:color w:val="000000"/>
                <w:sz w:val="20"/>
                <w:szCs w:val="16"/>
              </w:rPr>
              <w:t xml:space="preserve"> </w:t>
            </w:r>
            <w:r w:rsidR="004C5C40" w:rsidRPr="002415AB">
              <w:rPr>
                <w:rFonts w:ascii="Times New Roman" w:eastAsia="Times New Roman" w:hAnsi="Times New Roman" w:cs="Times New Roman"/>
                <w:color w:val="000000"/>
                <w:sz w:val="20"/>
                <w:szCs w:val="16"/>
              </w:rPr>
              <w:t>Year</w:t>
            </w:r>
          </w:p>
        </w:tc>
        <w:tc>
          <w:tcPr>
            <w:tcW w:w="702" w:type="pct"/>
            <w:tcBorders>
              <w:top w:val="nil"/>
              <w:bottom w:val="single" w:sz="4" w:space="0" w:color="000000" w:themeColor="text1"/>
            </w:tcBorders>
            <w:noWrap/>
            <w:vAlign w:val="center"/>
            <w:hideMark/>
          </w:tcPr>
          <w:p w:rsidR="005A41E6" w:rsidRPr="002415AB" w:rsidRDefault="005A41E6"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VE measure</w:t>
            </w:r>
          </w:p>
        </w:tc>
        <w:tc>
          <w:tcPr>
            <w:tcW w:w="568" w:type="pct"/>
            <w:tcBorders>
              <w:top w:val="nil"/>
              <w:bottom w:val="single" w:sz="4" w:space="0" w:color="000000" w:themeColor="text1"/>
            </w:tcBorders>
            <w:vAlign w:val="center"/>
          </w:tcPr>
          <w:p w:rsidR="005A41E6" w:rsidRPr="002415AB" w:rsidRDefault="005A41E6" w:rsidP="002415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t>Ref.</w:t>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89" w:type="pct"/>
            <w:gridSpan w:val="2"/>
            <w:tcBorders>
              <w:top w:val="single" w:sz="4" w:space="0" w:color="000000" w:themeColor="text1"/>
            </w:tcBorders>
            <w:noWrap/>
            <w:vAlign w:val="center"/>
            <w:hideMark/>
          </w:tcPr>
          <w:p w:rsidR="005A41E6" w:rsidRPr="002415AB" w:rsidRDefault="005A41E6" w:rsidP="002415AB">
            <w:pPr>
              <w:spacing w:line="240" w:lineRule="auto"/>
              <w:jc w:val="center"/>
              <w:rPr>
                <w:rFonts w:ascii="Times New Roman" w:eastAsia="Times New Roman" w:hAnsi="Times New Roman" w:cs="Times New Roman"/>
                <w:b w:val="0"/>
                <w:bCs w:val="0"/>
                <w:color w:val="000000"/>
                <w:sz w:val="16"/>
                <w:szCs w:val="16"/>
              </w:rPr>
            </w:pPr>
            <w:r w:rsidRPr="002415AB">
              <w:rPr>
                <w:rFonts w:ascii="Times New Roman" w:eastAsia="Times New Roman" w:hAnsi="Times New Roman" w:cs="Times New Roman"/>
                <w:color w:val="000000"/>
                <w:sz w:val="16"/>
                <w:szCs w:val="16"/>
              </w:rPr>
              <w:t>Inactivated polio vaccine</w:t>
            </w:r>
          </w:p>
        </w:tc>
        <w:tc>
          <w:tcPr>
            <w:tcW w:w="516" w:type="pct"/>
            <w:tcBorders>
              <w:top w:val="single" w:sz="4" w:space="0" w:color="000000" w:themeColor="text1"/>
            </w:tcBorders>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61" w:type="pct"/>
            <w:tcBorders>
              <w:top w:val="single" w:sz="4" w:space="0" w:color="000000" w:themeColor="text1"/>
            </w:tcBorders>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51" w:type="pct"/>
            <w:tcBorders>
              <w:top w:val="single" w:sz="4" w:space="0" w:color="000000" w:themeColor="text1"/>
            </w:tcBorders>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615" w:type="pct"/>
            <w:tcBorders>
              <w:top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498" w:type="pct"/>
            <w:tcBorders>
              <w:top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702" w:type="pct"/>
            <w:tcBorders>
              <w:top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68" w:type="pct"/>
            <w:tcBorders>
              <w:top w:val="single" w:sz="4" w:space="0" w:color="000000" w:themeColor="text1"/>
            </w:tcBorders>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r>
      <w:tr w:rsidR="005A41E6" w:rsidRPr="002415AB" w:rsidTr="002415AB">
        <w:trPr>
          <w:trHeight w:val="34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 IPV</w:t>
            </w: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6%</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9%</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China</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2021</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val="en-US"/>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{"citationID":"TNdsD46K","properties":{"formattedCitation":"(57)","plainCitation":"(57)","noteIndex":0},"citationItems":[{"id":226,"uris":["http://zotero.org/users/local/lOXBNq0n/items/AJD5MWQ3"],"itemData":{"id":226,"type":"article-journal","container-title":"The Lancet Regional Health-Western Pacific","note":"publisher: Elsevier","page":"100133","source":"Google Scholar","title":"Immunogenicity of two-dose and three-dose vaccination schedules with Sabin inactivated poliovirus vaccine in China: an open-label, randomized, controlled trial","title-short":"Immunogenicity of two-dose and three-dose vaccination schedules with Sabin inactivated poliovirus vaccine in China","volume":"10","author":[{"family":"Wang","given":"Yamin"},{"family":"Xu","given":"Qing"},{"family":"Jeyaseelan","given":"Vishali"},{"family":"Ying","given":"Zhifang"},{"family":"Mach","given":"Ondrej"},{"family":"Sutter","given":"Roland"},{"family":"Wen","given":"Ning"},{"family":"Rodewald","given":"Lance"},{"family":"Li","given":"Changgui"},{"family":"Wang","given":"Jie"}],"issued":{"date-parts":[["2021"]]}}}],"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(57)</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1%</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3-98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3-99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1%</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6-99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w:t>
            </w: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1-100</w:t>
            </w:r>
            <w:r w:rsidR="00C264CE" w:rsidRPr="002415AB">
              <w:rPr>
                <w:rFonts w:ascii="Times New Roman" w:eastAsia="PingFang TC" w:hAnsi="Times New Roman" w:cs="Times New Roman"/>
                <w:color w:val="000000"/>
                <w:sz w:val="16"/>
                <w:szCs w:val="16"/>
                <w:lang w:val="en-US"/>
              </w:rPr>
              <w:t>·</w:t>
            </w:r>
            <w:r w:rsidRPr="002415AB">
              <w:rPr>
                <w:rFonts w:ascii="Times New Roman" w:eastAsia="PingFang TC" w:hAnsi="Times New Roman" w:cs="Times New Roman"/>
                <w:color w:val="000000"/>
                <w:sz w:val="16"/>
                <w:szCs w:val="16"/>
                <w:lang w:val="en-US"/>
              </w:rPr>
              <w:t>0</w:t>
            </w:r>
            <w:r w:rsidRPr="002415AB">
              <w:rPr>
                <w:rFonts w:ascii="Times New Roman" w:eastAsia="Times New Roman" w:hAnsi="Times New Roman" w:cs="Times New Roman"/>
                <w:color w:val="000000"/>
                <w:sz w:val="16"/>
                <w:szCs w:val="16"/>
              </w:rPr>
              <w:t>%</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China</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2020</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d880zrDd","properties":{"formattedCitation":"(58)","plainCitation":"(58)","noteIndex":0},"citationItems":[{"id":222,"uris":["http://zotero.org/users/local/lOXBNq0n/items/XTPG3MGM"],"itemData":{"id":222,"type":"article-journal","container-title":"Vaccine","issue":"40","note":"publisher: Elsevier","page":"6274–6279","title":"Immunogenicity and safety of different sequential schedules of Sabin strain-based inactivated poliovirus vaccination: A randomized, controlled, open-label, phase IV clinical trial in China","title-short":"Immunogenicity and safety of different sequential schedules of Sabin strain-based inactivated poliovirus vaccination","volume":"38","author":[{"family":"Yan","given":"Shaohong"},{"family":"Chen","given":"Haiping"},{"family":"Zhang","given":"Zhenguo"},{"family":"Chang","given":"Shaoying"},{"family":"Xiao","given":"Yanhui"},{"family":"Luo","given":"Linyun"},{"family":"Zhang","given":"Zhaoyong"},{"family":"Sun","given":"Li"},{"family":"Chen","given":"Xiao"},{"family":"Yang","given":"Yunkai"}],"issued":{"date-parts":[["2020"]]}}}],"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(58)</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1-100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China</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2020</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{"citationID":"IiGeFhG9","properties":{"formattedCitation":"(59)","plainCitation":"(59)","noteIndex":0},"citationItems":[{"id":256,"uris":["http://zotero.org/users/local/lOXBNq0n/items/EZDGBC2B"],"itemData":{"id":256,"type":"article-journal","container-title":"China Journal of Biologicals","issue":"7","page":"809-812","title":"Basic immunogenicity and effectiveness of sequential immunization program of live attenuated and inactivated poliomyelitis vaccine","volume":"33","author":[{"family":"Xiao","given":"Shaotan"},{"family":"Yang","given":"Tian"},{"family":"Fei","given":"Yi"},{"family":"Deng","given":"Pengfei"},{"family":"Yang","given":"Laibao"}],"issued":{"date-parts":[["2020",7]]}}}],"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(59)</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6%</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4</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 (IPVAX)</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Korea</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2020</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2cHqXCD4","properties":{"formattedCitation":"(60)","plainCitation":"(60)","noteIndex":0},"citationItems":[{"id":230,"uris":["http://zotero.org/users/local/lOXBNq0n/items/YZLSJP43"],"itemData":{"id":230,"type":"article-journal","container-title":"Vaccines","issue":"2","note":"publisher: Multidisciplinary Digital Publishing Institute","page":"200","source":"Google Scholar","title":"Comparison of the Immunogenicity and Safety of Three Enhanced Inactivated Poliovirus Vaccines from Different Manufacturers in Healthy Korean Infants: A Prospective Multicenter Study","title-short":"Comparison of the Immunogenicity and Safety of Three Enhanced Inactivated Poliovirus Vaccines from Different Manufacturers in Healthy Korean Infants","volume":"8","author":[{"family":"Kwak","given":"Byung Ok"},{"family":"Ma","given":"Sang Hyuk"},{"family":"Park","given":"Su Eun"},{"family":"Shin","given":"Seon Hee"},{"family":"Choi","given":"Kyung Min"},{"family":"Lee","given":"Taek-Jin"},{"family":"Eun","given":"Byung Wook"},{"family":"Hong","given":"Young Jin"},{"family":"Kim","given":"Dong Hyun"}],"issued":{"date-parts":[["2020"]]}}}],"schema":"https://github.com/citation-style-language/schema/raw/master/csl-citation.json"}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(60)</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 (</w:t>
            </w:r>
            <w:proofErr w:type="spellStart"/>
            <w:r w:rsidRPr="002415AB">
              <w:rPr>
                <w:rFonts w:ascii="Times New Roman" w:eastAsia="Times New Roman" w:hAnsi="Times New Roman" w:cs="Times New Roman"/>
                <w:color w:val="000000"/>
                <w:sz w:val="16"/>
                <w:szCs w:val="16"/>
              </w:rPr>
              <w:t>Imovax</w:t>
            </w:r>
            <w:proofErr w:type="spellEnd"/>
            <w:r w:rsidRPr="002415AB">
              <w:rPr>
                <w:rFonts w:ascii="Times New Roman" w:eastAsia="Times New Roman" w:hAnsi="Times New Roman" w:cs="Times New Roman"/>
                <w:color w:val="000000"/>
                <w:sz w:val="16"/>
                <w:szCs w:val="16"/>
              </w:rPr>
              <w:t xml:space="preserve"> Polio)</w:t>
            </w: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01%</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 (</w:t>
            </w:r>
            <w:proofErr w:type="spellStart"/>
            <w:r w:rsidRPr="002415AB">
              <w:rPr>
                <w:rFonts w:ascii="Times New Roman" w:eastAsia="Times New Roman" w:hAnsi="Times New Roman" w:cs="Times New Roman"/>
                <w:color w:val="000000"/>
                <w:sz w:val="16"/>
                <w:szCs w:val="16"/>
              </w:rPr>
              <w:t>Poliorix</w:t>
            </w:r>
            <w:proofErr w:type="spellEnd"/>
            <w:r w:rsidRPr="002415AB">
              <w:rPr>
                <w:rFonts w:ascii="Times New Roman" w:eastAsia="Times New Roman" w:hAnsi="Times New Roman" w:cs="Times New Roman"/>
                <w:color w:val="000000"/>
                <w:sz w:val="16"/>
                <w:szCs w:val="16"/>
              </w:rPr>
              <w:t>)</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3%</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5</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w:t>
            </w: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China</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2021</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jcvLzwFS","properties":{"formattedCitation":"(61)","plainCitation":"(61)","noteIndex":0},"citationItems":[{"id":233,"uris":["http://zotero.org/users/local/lOXBNq0n/items/8QE7Y9CK"],"itemData":{"id":233,"type":"article-journal","container-title":"Vaccine","issue":"17","note":"publisher: Elsevier","page":"2467–2474","source":"Google Scholar","title":"Immunogenicity and safety of sabin-strain based inactivated poliovirus vaccine replacing salk-strain based inactivated poliovirus vaccine: An innovative application of different strain-IPVs replacement","title-short":"Immunogenicity and safety of sabin-strain based inactivated poliovirus vaccine replacing salk-strain based inactivated poliovirus vaccine","volume":"39","author":[{"family":"Chen","given":"Haiping"},{"family":"Gao","given":"Zhigang"},{"family":"Bai","given":"Shuang"},{"family":"Liu","given":"Xiaoqin"},{"family":"Han","given":"Shasha"},{"family":"Xiao","given":"Yanhui"},{"family":"Liu","given":"Fang"},{"family":"Yu","given":"Yinghong"},{"family":"Sun","given":"Hongmei"},{"family":"Yang","given":"Xiaoming"}],"issued":{"date-parts":[["2021"]]}}}],"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(61)</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top w:val="single" w:sz="4" w:space="0" w:color="7F7F7F" w:themeColor="text1" w:themeTint="80"/>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top w:val="single" w:sz="4" w:space="0" w:color="7F7F7F" w:themeColor="text1" w:themeTint="80"/>
              <w:bottom w:val="single" w:sz="4" w:space="0" w:color="000000" w:themeColor="text1"/>
            </w:tcBorders>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tcBorders>
              <w:top w:val="single" w:sz="4" w:space="0" w:color="000000" w:themeColor="text1"/>
              <w:bottom w:val="nil"/>
            </w:tcBorders>
            <w:noWrap/>
            <w:vAlign w:val="center"/>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tcBorders>
              <w:top w:val="single" w:sz="4" w:space="0" w:color="000000" w:themeColor="text1"/>
              <w:bottom w:val="nil"/>
            </w:tcBorders>
            <w:noWrap/>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rsidR="00061ECF" w:rsidRPr="002415AB" w:rsidRDefault="00061ECF"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rsidR="00061ECF" w:rsidRPr="002415AB" w:rsidRDefault="00061ECF"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p w:rsidR="00061ECF" w:rsidRPr="002415AB" w:rsidRDefault="00061ECF"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top w:val="single" w:sz="4" w:space="0" w:color="000000" w:themeColor="text1"/>
              <w:bottom w:val="nil"/>
            </w:tcBorders>
            <w:noWrap/>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1" w:type="pct"/>
            <w:tcBorders>
              <w:top w:val="single" w:sz="4" w:space="0" w:color="000000" w:themeColor="text1"/>
              <w:bottom w:val="nil"/>
            </w:tcBorders>
            <w:noWrap/>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51" w:type="pct"/>
            <w:tcBorders>
              <w:top w:val="single" w:sz="4" w:space="0" w:color="000000" w:themeColor="text1"/>
              <w:bottom w:val="nil"/>
            </w:tcBorders>
            <w:noWrap/>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615" w:type="pct"/>
            <w:tcBorders>
              <w:top w:val="single" w:sz="4" w:space="0" w:color="000000" w:themeColor="text1"/>
              <w:bottom w:val="nil"/>
            </w:tcBorders>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top w:val="single" w:sz="4" w:space="0" w:color="000000" w:themeColor="text1"/>
              <w:bottom w:val="nil"/>
            </w:tcBorders>
            <w:noWrap/>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top w:val="single" w:sz="4" w:space="0" w:color="000000" w:themeColor="text1"/>
              <w:bottom w:val="nil"/>
            </w:tcBorders>
            <w:noWrap/>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top w:val="single" w:sz="4" w:space="0" w:color="000000" w:themeColor="text1"/>
              <w:bottom w:val="nil"/>
            </w:tcBorders>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tcBorders>
              <w:top w:val="nil"/>
              <w:bottom w:val="nil"/>
            </w:tcBorders>
            <w:noWrap/>
            <w:vAlign w:val="center"/>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tcBorders>
              <w:top w:val="nil"/>
              <w:bottom w:val="nil"/>
            </w:tcBorders>
            <w:noWrap/>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top w:val="nil"/>
              <w:bottom w:val="nil"/>
            </w:tcBorders>
            <w:noWrap/>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1" w:type="pct"/>
            <w:tcBorders>
              <w:top w:val="nil"/>
              <w:bottom w:val="nil"/>
            </w:tcBorders>
            <w:noWrap/>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51" w:type="pct"/>
            <w:tcBorders>
              <w:top w:val="nil"/>
              <w:bottom w:val="nil"/>
            </w:tcBorders>
            <w:noWrap/>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615" w:type="pct"/>
            <w:tcBorders>
              <w:top w:val="nil"/>
              <w:bottom w:val="nil"/>
            </w:tcBorders>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top w:val="nil"/>
              <w:bottom w:val="nil"/>
            </w:tcBorders>
            <w:noWrap/>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top w:val="nil"/>
              <w:bottom w:val="nil"/>
            </w:tcBorders>
            <w:noWrap/>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top w:val="nil"/>
              <w:bottom w:val="nil"/>
            </w:tcBorders>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6" w:type="pct"/>
            <w:tcBorders>
              <w:top w:val="nil"/>
            </w:tcBorders>
            <w:vAlign w:val="center"/>
            <w:hideMark/>
          </w:tcPr>
          <w:p w:rsidR="005A41E6" w:rsidRPr="002415AB" w:rsidRDefault="005A41E6" w:rsidP="002415AB">
            <w:pPr>
              <w:spacing w:line="240" w:lineRule="auto"/>
              <w:jc w:val="center"/>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lastRenderedPageBreak/>
              <w:t>ID</w:t>
            </w:r>
          </w:p>
        </w:tc>
        <w:tc>
          <w:tcPr>
            <w:tcW w:w="743" w:type="pct"/>
            <w:tcBorders>
              <w:top w:val="nil"/>
            </w:tcBorders>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Vaccine Dosage &amp; Type</w:t>
            </w:r>
          </w:p>
        </w:tc>
        <w:tc>
          <w:tcPr>
            <w:tcW w:w="516" w:type="pct"/>
            <w:tcBorders>
              <w:top w:val="nil"/>
            </w:tcBorders>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Serotype of Polioviruses</w:t>
            </w:r>
          </w:p>
        </w:tc>
        <w:tc>
          <w:tcPr>
            <w:tcW w:w="561" w:type="pct"/>
            <w:tcBorders>
              <w:top w:val="nil"/>
            </w:tcBorders>
            <w:vAlign w:val="center"/>
            <w:hideMark/>
          </w:tcPr>
          <w:p w:rsidR="005A41E6" w:rsidRPr="002415AB" w:rsidRDefault="0006691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VE</w:t>
            </w:r>
          </w:p>
        </w:tc>
        <w:tc>
          <w:tcPr>
            <w:tcW w:w="551" w:type="pct"/>
            <w:tcBorders>
              <w:top w:val="nil"/>
            </w:tcBorders>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95% CI</w:t>
            </w:r>
          </w:p>
        </w:tc>
        <w:tc>
          <w:tcPr>
            <w:tcW w:w="615" w:type="pct"/>
            <w:tcBorders>
              <w:top w:val="nil"/>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Study Location</w:t>
            </w:r>
          </w:p>
        </w:tc>
        <w:tc>
          <w:tcPr>
            <w:tcW w:w="498" w:type="pct"/>
            <w:tcBorders>
              <w:top w:val="nil"/>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Publish</w:t>
            </w:r>
            <w:r w:rsidR="004C5C40" w:rsidRPr="002415AB">
              <w:rPr>
                <w:rFonts w:ascii="Times New Roman" w:eastAsia="Times New Roman" w:hAnsi="Times New Roman" w:cs="Times New Roman"/>
                <w:b/>
                <w:bCs/>
                <w:color w:val="000000"/>
                <w:sz w:val="20"/>
                <w:szCs w:val="16"/>
              </w:rPr>
              <w:t>ed</w:t>
            </w:r>
            <w:r w:rsidRPr="002415AB">
              <w:rPr>
                <w:rFonts w:ascii="Times New Roman" w:eastAsia="Times New Roman" w:hAnsi="Times New Roman" w:cs="Times New Roman"/>
                <w:b/>
                <w:bCs/>
                <w:color w:val="000000"/>
                <w:sz w:val="20"/>
                <w:szCs w:val="16"/>
              </w:rPr>
              <w:t xml:space="preserve"> </w:t>
            </w:r>
            <w:r w:rsidR="004C5C40" w:rsidRPr="002415AB">
              <w:rPr>
                <w:rFonts w:ascii="Times New Roman" w:eastAsia="Times New Roman" w:hAnsi="Times New Roman" w:cs="Times New Roman"/>
                <w:b/>
                <w:bCs/>
                <w:color w:val="000000"/>
                <w:sz w:val="20"/>
                <w:szCs w:val="16"/>
              </w:rPr>
              <w:t>Year</w:t>
            </w:r>
          </w:p>
        </w:tc>
        <w:tc>
          <w:tcPr>
            <w:tcW w:w="702" w:type="pct"/>
            <w:tcBorders>
              <w:top w:val="nil"/>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VE indicator</w:t>
            </w:r>
          </w:p>
        </w:tc>
        <w:tc>
          <w:tcPr>
            <w:tcW w:w="568" w:type="pct"/>
            <w:tcBorders>
              <w:top w:val="nil"/>
            </w:tcBorders>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Ref.</w:t>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tcBorders>
              <w:top w:val="single" w:sz="4" w:space="0" w:color="7F7F7F" w:themeColor="text1" w:themeTint="80"/>
            </w:tcBorders>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6</w:t>
            </w:r>
          </w:p>
        </w:tc>
        <w:tc>
          <w:tcPr>
            <w:tcW w:w="743" w:type="pct"/>
            <w:tcBorders>
              <w:top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w:t>
            </w:r>
          </w:p>
        </w:tc>
        <w:tc>
          <w:tcPr>
            <w:tcW w:w="516" w:type="pct"/>
            <w:tcBorders>
              <w:top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tcBorders>
              <w:top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tcBorders>
              <w:top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9-100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tcBorders>
              <w:top w:val="single" w:sz="4" w:space="0" w:color="7F7F7F" w:themeColor="text1" w:themeTint="80"/>
            </w:tcBorders>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Panama &amp; the Dominican Republic</w:t>
            </w:r>
          </w:p>
        </w:tc>
        <w:tc>
          <w:tcPr>
            <w:tcW w:w="498" w:type="pct"/>
            <w:tcBorders>
              <w:top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2021</w:t>
            </w:r>
          </w:p>
        </w:tc>
        <w:tc>
          <w:tcPr>
            <w:tcW w:w="702" w:type="pct"/>
            <w:tcBorders>
              <w:top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tcBorders>
              <w:top w:val="single" w:sz="4" w:space="0" w:color="7F7F7F" w:themeColor="text1" w:themeTint="80"/>
            </w:tcBorders>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{"citationID":"EOZkCmw3","properties":{"formattedCitation":"(62)","plainCitation":"(62)","noteIndex":0},"citationItems":[{"id":225,"uris":["http://zotero.org/users/local/lOXBNq0n/items/U476DAFI"],"itemData":{"id":225,"type":"article-journal","container-title":"The Lancet Infectious Diseases","issue":"4","note":"publisher: Elsevier","page":"559–568","title":"Safety and immunogenicity of inactivated poliovirus vaccine schedules for the post-eradication era: a randomised open-label, multicentre, phase 3, non-inferiority trial","title-short":"Safety and immunogenicity of inactivated poliovirus vaccine schedules for the post-eradication era","volume":"21","author":[{"family":"Bandyopadhyay","given":"Ananda S."},{"family":"Gast","given":"Chris"},{"family":"Rivera","given":"Luis"},{"family":"Sáez-Llorens","given":"Xavier"},{"family":"Oberste","given":"M. Steven"},{"family":"Weldon","given":"William C."},{"family":"Modlin","given":"John"},{"family":"Clemens","given":"Ralf"},{"family":"Clemens","given":"Sue Ann Costa"},{"family":"Jimeno","given":"Jose"}],"issued":{"date-parts":[["2021"]]}}}],"schema":"https://github.com/citation-style-language/schema/raw/master/csl-citation.json"}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(62)</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9-100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9-100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All</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clinical efficacy/ effectiveness</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{"citationID":"GQvGKU1Z","properties":{"formattedCitation":"(25)","plainCitation":"(25)","noteIndex":0},"citationItems":[{"id":283,"uris":["http://zotero.org/users/local/lOXBNq0n/items/RAI34GYD"],"itemData":{"id":283,"type":"chapter","container-title":"StatPearls [Internet]","publisher":"StatPearls Publishing","source":"Google Scholar","title":"Polio Vaccine","author":[{"family":"O'Grady","given":"Meghan"},{"family":"Bruner","given":"Paul J."}],"issued":{"date-parts":[["2021"]]}}}],"schema":"https://github.com/citation-style-language/schema/raw/master/csl-citation.json"}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(25)</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IPV</w:t>
            </w: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5-95</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Philippines</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2022</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{"citationID":"sCLr4e9v","properties":{"formattedCitation":"(63)","plainCitation":"(63)","noteIndex":0},"citationItems":[{"id":231,"uris":["http://zotero.org/users/local/lOXBNq0n/items/CPU83DNW"],"itemData":{"id":231,"type":"article-journal","container-title":"Human Vaccines &amp; Immunotherapeutics","note":"publisher: Taylor &amp; Francis","page":"1–11","source":"Google Scholar","title":"Safety and immunogenicity of 3 formulations of a Sabin inactivated poliovirus vaccine produced on the PER. C6® cell line: A phase 2, double-blind, randomized, controlled study in infants vaccinated at 6, 10 and 14 weeks of age","title-short":"Safety and immunogenicity of 3 formulations of a Sabin inactivated poliovirus vaccine produced on the PER. C6® cell line","author":[{"family":"Ong-Lim","given":"Anna Lisa"},{"family":"Shukarev","given":"Georgi"},{"family":"Trinidad-Aseron","given":"Mitzi"},{"family":"Caparas-Yu","given":"Delia"},{"family":"Greijer","given":"Astrid"},{"family":"Duchene","given":"Michel"},{"family":"Scheper","given":"Gert"},{"family":"Paassen","given":"Vitalija","non-dropping-particle":"van"},{"family":"Le Gars","given":"Mathieu"},{"family":"Cahill","given":"Conor P."}],"issued":{"date-parts":[["2022"]]}}}],"schema":"https://github.com/citation-style-language/schema/raw/master/csl-citation.json"}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(63)</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92</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4 IPV</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72</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0-86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Pakistan</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2018</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{"citationID":"FYIru1mf","properties":{"formattedCitation":"(19)","plainCitation":"(19)","noteIndex":0},"citationItems":[{"id":234,"uris":["http://zotero.org/users/local/lOXBNq0n/items/ZAY8NKI6"],"itemData":{"id":234,"type":"article-journal","container-title":"The Journal of Infectious Diseases","issue":"3","note":"publisher: Oxford University Press US","page":"443–450","source":"Google Scholar","title":"Immunogenicity of different routine poliovirus vaccination schedules: a randomized, controlled trial in Karachi, Pakistan","title-short":"Immunogenicity of different routine poliovirus vaccination schedules","volume":"217","author":[{"family":"Saleem","given":"Ali F."},{"family":"Mach","given":"Ondrej"},{"family":"Yousafzai","given":"Mohammad T."},{"family":"Khan","given":"Asia"},{"family":"Weldon","given":"William C."},{"family":"Steven Oberste","given":"M."},{"family":"Zaidi","given":"Syed S."},{"family":"Alam","given":"Muhammad M."},{"family":"Quadri","given":"Farheen"},{"family":"Sutter","given":"Roland W."}],"issued":{"date-parts":[["2018"]]}}}],"schema":"https://github.com/citation-style-language/schema/raw/master/csl-citation.json"}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(19)</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4 DPT-IPV</w:t>
            </w: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Japan</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2020</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{"citationID":"tbieKinR","properties":{"formattedCitation":"(22)","plainCitation":"(22)","noteIndex":0},"citationItems":[{"id":239,"uris":["http://zotero.org/users/local/lOXBNq0n/items/D4E4LVBW"],"itemData":{"id":239,"type":"article-journal","container-title":"Journal of Infection and Chemotherapy","issue":"7","note":"publisher: Elsevier","page":"651–659","source":"Google Scholar","title":"Immunogenicity and safety of a DTaP-IPV/Hib pentavalent vaccine given as primary and booster vaccinations in healthy infants and toddlers in Japan","volume":"26","author":[{"family":"Nakayama","given":"Tetsuo"},{"family":"Vidor","given":"Emmanuel"},{"family":"Tsuzuki","given":"Daisuke"},{"family":"Nishina","given":"Satoshi"},{"family":"Sasaki","given":"Toru"},{"family":"Ishii","given":"Yasunori"},{"family":"Mizukami","given":"Hideya"},{"family":"Tsuge","given":"Hiroyuki"}],"issued":{"date-parts":[["2020"]]}}}],"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(22)</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11</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DPT-Hib-IPV</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Cuba</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2007</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{"citationID":"gA5jO7Iw","properties":{"formattedCitation":"(64)","plainCitation":"(64)","noteIndex":0},"citationItems":[{"id":236,"uris":["http://zotero.org/users/local/lOXBNq0n/items/LCS9URA2"],"itemData":{"id":236,"type":"article-journal","container-title":"New England Journal of Medicine","issue":"15","note":"publisher: Mass Medical Soc","page":"1536–1544","source":"Google Scholar","title":"Randomized, placebo-controlled trial of inactivated poliovirus vaccine in Cuba","volume":"356","author":[{"family":"Cuba IPV Study Collaborative Group","given":""}],"issued":{"date-parts":[["2007"]]}}}],"schema":"https://github.com/citation-style-language/schema/raw/master/csl-citation.json"}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(64)</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0-92</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6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12</w:t>
            </w:r>
          </w:p>
        </w:tc>
        <w:tc>
          <w:tcPr>
            <w:tcW w:w="743" w:type="pct"/>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 DTaP-IPV-</w:t>
            </w:r>
            <w:proofErr w:type="spellStart"/>
            <w:r w:rsidRPr="002415AB">
              <w:rPr>
                <w:rFonts w:ascii="Times New Roman" w:eastAsia="Times New Roman" w:hAnsi="Times New Roman" w:cs="Times New Roman"/>
                <w:color w:val="000000"/>
                <w:sz w:val="16"/>
                <w:szCs w:val="16"/>
              </w:rPr>
              <w:t>HepB</w:t>
            </w:r>
            <w:proofErr w:type="spellEnd"/>
            <w:r w:rsidRPr="002415AB">
              <w:rPr>
                <w:rFonts w:ascii="Times New Roman" w:eastAsia="Times New Roman" w:hAnsi="Times New Roman" w:cs="Times New Roman"/>
                <w:color w:val="000000"/>
                <w:sz w:val="16"/>
                <w:szCs w:val="16"/>
              </w:rPr>
              <w:t>-Hib (</w:t>
            </w:r>
            <w:proofErr w:type="spellStart"/>
            <w:r w:rsidRPr="002415AB">
              <w:rPr>
                <w:rFonts w:ascii="Times New Roman" w:eastAsia="Times New Roman" w:hAnsi="Times New Roman" w:cs="Times New Roman"/>
                <w:color w:val="000000"/>
                <w:sz w:val="16"/>
                <w:szCs w:val="16"/>
              </w:rPr>
              <w:t>Pentaxim</w:t>
            </w:r>
            <w:proofErr w:type="spellEnd"/>
            <w:r w:rsidRPr="002415AB">
              <w:rPr>
                <w:rFonts w:ascii="Times New Roman" w:eastAsia="Times New Roman" w:hAnsi="Times New Roman" w:cs="Times New Roman"/>
                <w:color w:val="000000"/>
                <w:sz w:val="16"/>
                <w:szCs w:val="16"/>
              </w:rPr>
              <w:t>)</w:t>
            </w: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South Korea</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2017</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vP53rmz3","properties":{"formattedCitation":"(21)","plainCitation":"(21)","noteIndex":0},"citationItems":[{"id":238,"uris":["http://zotero.org/users/local/lOXBNq0n/items/DQLTFTDF"],"itemData":{"id":238,"type":"article-journal","container-title":"Vaccine","issue":"32","note":"publisher: Elsevier","page":"4022–8","source":"Google Scholar","title":"Immunogenicity and safety of a fully liquid DTaP-IPV-HB-PRP</w:instrText>
            </w:r>
            <w:r w:rsidRPr="002415AB">
              <w:rPr>
                <w:rFonts w:ascii="Cambria Math" w:eastAsia="Times New Roman" w:hAnsi="Cambria Math" w:cs="Cambria Math"/>
                <w:color w:val="000000"/>
                <w:sz w:val="16"/>
                <w:szCs w:val="16"/>
              </w:rPr>
              <w:instrText>∼</w:instrText>
            </w:r>
            <w:r w:rsidRPr="002415AB">
              <w:rPr>
                <w:rFonts w:ascii="Times New Roman" w:eastAsia="Times New Roman" w:hAnsi="Times New Roman" w:cs="Times New Roman"/>
                <w:color w:val="000000"/>
                <w:sz w:val="16"/>
                <w:szCs w:val="16"/>
              </w:rPr>
              <w:instrText xml:space="preserve"> T hexavalent vaccine compared with the standard of care in infants in the Republic of Korea","volume":"35","author":[{"family":"Kim","given":"Yun-Kyung"},{"family":"Vidor","given":"Emmanuel"},{"family":"Kim","given":"Hwang Min"},{"family":"Shin","given":"Son Moon"},{"family":"Lee","given":"Kyung-Yil"},{"family":"Cha","given":"Sung-Ho"},{"family":"Ma","given":"Sang Hyuk"},{"family":"Kim","given":"Dong Ho"},{"family":"Lee","given":"Jin"},{"family":"Park","given":"Su Eun"}],"issued":{"date-parts":[["2017"]]}},"label":"page"}],"schema":"https://github.com/citation-style-language/schema/raw/master/csl-citation.json"}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(21)</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4 DTaP-IPV//PRP</w:t>
            </w:r>
            <w:r w:rsidRPr="002415AB">
              <w:rPr>
                <w:rFonts w:ascii="Cambria Math" w:eastAsia="Times New Roman" w:hAnsi="Cambria Math" w:cs="Cambria Math"/>
                <w:color w:val="000000"/>
                <w:sz w:val="16"/>
                <w:szCs w:val="16"/>
              </w:rPr>
              <w:t>∼</w:t>
            </w:r>
            <w:r w:rsidRPr="002415AB">
              <w:rPr>
                <w:rFonts w:ascii="Times New Roman" w:eastAsia="Times New Roman" w:hAnsi="Times New Roman" w:cs="Times New Roman"/>
                <w:color w:val="000000"/>
                <w:sz w:val="16"/>
                <w:szCs w:val="16"/>
              </w:rPr>
              <w:t>T+HB (</w:t>
            </w:r>
            <w:proofErr w:type="spellStart"/>
            <w:r w:rsidRPr="002415AB">
              <w:rPr>
                <w:rFonts w:ascii="Times New Roman" w:eastAsia="Times New Roman" w:hAnsi="Times New Roman" w:cs="Times New Roman"/>
                <w:color w:val="000000"/>
                <w:sz w:val="16"/>
                <w:szCs w:val="16"/>
              </w:rPr>
              <w:t>Hexaxim</w:t>
            </w:r>
            <w:proofErr w:type="spellEnd"/>
            <w:r w:rsidRPr="002415AB">
              <w:rPr>
                <w:rFonts w:ascii="Times New Roman" w:eastAsia="Times New Roman" w:hAnsi="Times New Roman" w:cs="Times New Roman"/>
                <w:color w:val="000000"/>
                <w:sz w:val="16"/>
                <w:szCs w:val="16"/>
              </w:rPr>
              <w:t>)</w:t>
            </w: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tcBorders>
              <w:bottom w:val="single" w:sz="4" w:space="0" w:color="7F7F7F" w:themeColor="text1" w:themeTint="80"/>
            </w:tcBorders>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tcBorders>
              <w:bottom w:val="single" w:sz="4" w:space="0" w:color="7F7F7F" w:themeColor="text1" w:themeTint="80"/>
            </w:tcBorders>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bottom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tcBorders>
              <w:bottom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tcBorders>
              <w:bottom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tcBorders>
              <w:bottom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bottom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bottom w:val="single" w:sz="4" w:space="0" w:color="7F7F7F" w:themeColor="text1" w:themeTint="80"/>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bottom w:val="single" w:sz="4" w:space="0" w:color="7F7F7F" w:themeColor="text1" w:themeTint="80"/>
            </w:tcBorders>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tcBorders>
              <w:bottom w:val="single" w:sz="4" w:space="0" w:color="000000" w:themeColor="text1"/>
            </w:tcBorders>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tcBorders>
              <w:bottom w:val="single" w:sz="4" w:space="0" w:color="000000" w:themeColor="text1"/>
            </w:tcBorders>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2-100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bottom w:val="single" w:sz="4" w:space="0" w:color="000000" w:themeColor="text1"/>
            </w:tcBorders>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061ECF"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tcBorders>
              <w:top w:val="single" w:sz="4" w:space="0" w:color="000000" w:themeColor="text1"/>
              <w:bottom w:val="nil"/>
            </w:tcBorders>
            <w:noWrap/>
            <w:vAlign w:val="center"/>
          </w:tcPr>
          <w:p w:rsidR="00061ECF" w:rsidRPr="002415AB" w:rsidRDefault="00061ECF" w:rsidP="002415AB">
            <w:pPr>
              <w:spacing w:line="240" w:lineRule="auto"/>
              <w:jc w:val="center"/>
              <w:rPr>
                <w:rFonts w:ascii="Times New Roman" w:eastAsia="Times New Roman" w:hAnsi="Times New Roman" w:cs="Times New Roman"/>
                <w:color w:val="000000"/>
                <w:sz w:val="16"/>
                <w:szCs w:val="16"/>
              </w:rPr>
            </w:pPr>
          </w:p>
          <w:p w:rsidR="00061ECF" w:rsidRPr="002415AB" w:rsidRDefault="00061ECF" w:rsidP="002415AB">
            <w:pPr>
              <w:spacing w:line="240" w:lineRule="auto"/>
              <w:jc w:val="center"/>
              <w:rPr>
                <w:rFonts w:ascii="Times New Roman" w:eastAsia="Times New Roman" w:hAnsi="Times New Roman" w:cs="Times New Roman"/>
                <w:color w:val="000000"/>
                <w:sz w:val="16"/>
                <w:szCs w:val="16"/>
              </w:rPr>
            </w:pPr>
          </w:p>
          <w:p w:rsidR="00061ECF" w:rsidRPr="002415AB" w:rsidRDefault="00061ECF" w:rsidP="002415AB">
            <w:pPr>
              <w:spacing w:line="240" w:lineRule="auto"/>
              <w:jc w:val="center"/>
              <w:rPr>
                <w:rFonts w:ascii="Times New Roman" w:eastAsia="Times New Roman" w:hAnsi="Times New Roman" w:cs="Times New Roman"/>
                <w:color w:val="000000"/>
                <w:sz w:val="16"/>
                <w:szCs w:val="16"/>
              </w:rPr>
            </w:pPr>
          </w:p>
        </w:tc>
        <w:tc>
          <w:tcPr>
            <w:tcW w:w="743" w:type="pct"/>
            <w:tcBorders>
              <w:top w:val="single" w:sz="4" w:space="0" w:color="000000" w:themeColor="text1"/>
              <w:bottom w:val="nil"/>
            </w:tcBorders>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top w:val="single" w:sz="4" w:space="0" w:color="000000" w:themeColor="text1"/>
              <w:bottom w:val="nil"/>
            </w:tcBorders>
            <w:noWrap/>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1" w:type="pct"/>
            <w:tcBorders>
              <w:top w:val="single" w:sz="4" w:space="0" w:color="000000" w:themeColor="text1"/>
              <w:bottom w:val="nil"/>
            </w:tcBorders>
            <w:noWrap/>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51" w:type="pct"/>
            <w:tcBorders>
              <w:top w:val="single" w:sz="4" w:space="0" w:color="000000" w:themeColor="text1"/>
              <w:bottom w:val="nil"/>
            </w:tcBorders>
            <w:noWrap/>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615" w:type="pct"/>
            <w:tcBorders>
              <w:top w:val="single" w:sz="4" w:space="0" w:color="000000" w:themeColor="text1"/>
              <w:bottom w:val="nil"/>
            </w:tcBorders>
            <w:noWrap/>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top w:val="single" w:sz="4" w:space="0" w:color="000000" w:themeColor="text1"/>
              <w:bottom w:val="nil"/>
            </w:tcBorders>
            <w:noWrap/>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top w:val="single" w:sz="4" w:space="0" w:color="000000" w:themeColor="text1"/>
              <w:bottom w:val="nil"/>
            </w:tcBorders>
            <w:noWrap/>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top w:val="single" w:sz="4" w:space="0" w:color="000000" w:themeColor="text1"/>
              <w:bottom w:val="nil"/>
            </w:tcBorders>
            <w:vAlign w:val="center"/>
          </w:tcPr>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246" w:type="pct"/>
            <w:tcBorders>
              <w:top w:val="nil"/>
              <w:bottom w:val="nil"/>
            </w:tcBorders>
            <w:noWrap/>
            <w:vAlign w:val="center"/>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tcBorders>
              <w:top w:val="nil"/>
              <w:bottom w:val="nil"/>
            </w:tcBorders>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top w:val="nil"/>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1" w:type="pct"/>
            <w:tcBorders>
              <w:top w:val="nil"/>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51" w:type="pct"/>
            <w:tcBorders>
              <w:top w:val="nil"/>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615" w:type="pct"/>
            <w:tcBorders>
              <w:top w:val="nil"/>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top w:val="nil"/>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top w:val="nil"/>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top w:val="nil"/>
              <w:bottom w:val="nil"/>
            </w:tcBorders>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600"/>
        </w:trPr>
        <w:tc>
          <w:tcPr>
            <w:cnfStyle w:val="001000000000" w:firstRow="0" w:lastRow="0" w:firstColumn="1" w:lastColumn="0" w:oddVBand="0" w:evenVBand="0" w:oddHBand="0" w:evenHBand="0" w:firstRowFirstColumn="0" w:firstRowLastColumn="0" w:lastRowFirstColumn="0" w:lastRowLastColumn="0"/>
            <w:tcW w:w="246" w:type="pct"/>
            <w:tcBorders>
              <w:top w:val="nil"/>
            </w:tcBorders>
            <w:vAlign w:val="center"/>
            <w:hideMark/>
          </w:tcPr>
          <w:p w:rsidR="005A41E6" w:rsidRPr="002415AB" w:rsidRDefault="005A41E6" w:rsidP="002415AB">
            <w:pPr>
              <w:spacing w:line="240" w:lineRule="auto"/>
              <w:jc w:val="center"/>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lastRenderedPageBreak/>
              <w:t>ID</w:t>
            </w:r>
          </w:p>
        </w:tc>
        <w:tc>
          <w:tcPr>
            <w:tcW w:w="743" w:type="pct"/>
            <w:tcBorders>
              <w:top w:val="nil"/>
            </w:tcBorders>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Vaccine Dosage &amp; Type</w:t>
            </w:r>
          </w:p>
        </w:tc>
        <w:tc>
          <w:tcPr>
            <w:tcW w:w="516" w:type="pct"/>
            <w:tcBorders>
              <w:top w:val="nil"/>
            </w:tcBorders>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Serotype of Polioviruses</w:t>
            </w:r>
          </w:p>
        </w:tc>
        <w:tc>
          <w:tcPr>
            <w:tcW w:w="561" w:type="pct"/>
            <w:tcBorders>
              <w:top w:val="nil"/>
            </w:tcBorders>
            <w:vAlign w:val="center"/>
            <w:hideMark/>
          </w:tcPr>
          <w:p w:rsidR="005A41E6" w:rsidRPr="002415AB" w:rsidRDefault="0006691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VE</w:t>
            </w:r>
          </w:p>
        </w:tc>
        <w:tc>
          <w:tcPr>
            <w:tcW w:w="551" w:type="pct"/>
            <w:tcBorders>
              <w:top w:val="nil"/>
            </w:tcBorders>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95% CI</w:t>
            </w:r>
          </w:p>
        </w:tc>
        <w:tc>
          <w:tcPr>
            <w:tcW w:w="615" w:type="pct"/>
            <w:tcBorders>
              <w:top w:val="nil"/>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Study Location</w:t>
            </w:r>
          </w:p>
        </w:tc>
        <w:tc>
          <w:tcPr>
            <w:tcW w:w="498" w:type="pct"/>
            <w:tcBorders>
              <w:top w:val="nil"/>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Publish</w:t>
            </w:r>
            <w:r w:rsidR="004C5C40" w:rsidRPr="002415AB">
              <w:rPr>
                <w:rFonts w:ascii="Times New Roman" w:eastAsia="Times New Roman" w:hAnsi="Times New Roman" w:cs="Times New Roman"/>
                <w:b/>
                <w:bCs/>
                <w:color w:val="000000"/>
                <w:sz w:val="20"/>
                <w:szCs w:val="16"/>
              </w:rPr>
              <w:t>ed</w:t>
            </w:r>
            <w:r w:rsidRPr="002415AB">
              <w:rPr>
                <w:rFonts w:ascii="Times New Roman" w:eastAsia="Times New Roman" w:hAnsi="Times New Roman" w:cs="Times New Roman"/>
                <w:b/>
                <w:bCs/>
                <w:color w:val="000000"/>
                <w:sz w:val="20"/>
                <w:szCs w:val="16"/>
              </w:rPr>
              <w:t xml:space="preserve"> </w:t>
            </w:r>
            <w:r w:rsidR="004C5C40" w:rsidRPr="002415AB">
              <w:rPr>
                <w:rFonts w:ascii="Times New Roman" w:eastAsia="Times New Roman" w:hAnsi="Times New Roman" w:cs="Times New Roman"/>
                <w:b/>
                <w:bCs/>
                <w:color w:val="000000"/>
                <w:sz w:val="20"/>
                <w:szCs w:val="16"/>
              </w:rPr>
              <w:t>Year</w:t>
            </w:r>
          </w:p>
        </w:tc>
        <w:tc>
          <w:tcPr>
            <w:tcW w:w="702" w:type="pct"/>
            <w:tcBorders>
              <w:top w:val="nil"/>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VE indicator</w:t>
            </w:r>
          </w:p>
        </w:tc>
        <w:tc>
          <w:tcPr>
            <w:tcW w:w="568" w:type="pct"/>
            <w:tcBorders>
              <w:top w:val="nil"/>
            </w:tcBorders>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Ref.</w:t>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89" w:type="pct"/>
            <w:gridSpan w:val="2"/>
            <w:noWrap/>
            <w:vAlign w:val="center"/>
            <w:hideMark/>
          </w:tcPr>
          <w:p w:rsidR="005A41E6" w:rsidRPr="002415AB" w:rsidRDefault="005A41E6" w:rsidP="002415AB">
            <w:pPr>
              <w:spacing w:line="240" w:lineRule="auto"/>
              <w:jc w:val="center"/>
              <w:rPr>
                <w:rFonts w:ascii="Times New Roman" w:eastAsia="Times New Roman" w:hAnsi="Times New Roman" w:cs="Times New Roman"/>
                <w:b w:val="0"/>
                <w:bCs w:val="0"/>
                <w:color w:val="000000"/>
                <w:sz w:val="16"/>
                <w:szCs w:val="16"/>
              </w:rPr>
            </w:pPr>
            <w:r w:rsidRPr="002415AB">
              <w:rPr>
                <w:rFonts w:ascii="Times New Roman" w:eastAsia="Times New Roman" w:hAnsi="Times New Roman" w:cs="Times New Roman"/>
                <w:color w:val="000000"/>
                <w:sz w:val="16"/>
                <w:szCs w:val="16"/>
              </w:rPr>
              <w:t>Oral polio vaccine</w:t>
            </w:r>
          </w:p>
        </w:tc>
        <w:tc>
          <w:tcPr>
            <w:tcW w:w="516" w:type="pct"/>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61" w:type="pct"/>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51" w:type="pct"/>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13</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All</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4-34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6%</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Pakistan and Afghanistan</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2012</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clinical effectiveness</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{"citationID":"ld4nsDUR","properties":{"formattedCitation":"(65)","plainCitation":"(65)","noteIndex":0},"citationItems":[{"id":284,"uris":["http://zotero.org/users/local/lOXBNq0n/items/4TXGUU5M"],"itemData":{"id":284,"type":"article-journal","abstract":"BackgroundPakistan and Afghanistan are two of the three remaining countries yet to interrupt wild-type poliovirus transmission. The increasing incidence of poliomyelitis in these countries during 2010?11 led the Executive Board of WHO in January, 2012, to declare polio eradication a ?programmatic emergency for global public health?. We aimed to establish why incidence is rising in these countries despite programme innovations including the introduction of new vaccines.","container-title":"The Lancet","DOI":"10.1016/S0140-6736(12)60648-5","ISSN":"0140-6736","issue":"9840","note":"publisher: Elsevier","page":"491-498","title":"The effect of mass immunisation campaigns and new oral poliovirus vaccines on the incidence of poliomyelitis in Pakistan and Afghanistan, 2001–11: a retrospective analysis","volume":"380","author":[{"family":"O'Reilly","given":"Kathleen M"},{"family":"Durry","given":"Elias"},{"family":"Islam","given":"Obaid","non-dropping-particle":"ul"},{"family":"Quddus","given":"Arshad"},{"family":"Abid","given":"Ni'ma"},{"family":"Mir","given":"Tahir P"},{"family":"Tangermann","given":"Rudi H"},{"family":"Aylward","given":"R Bruce"},{"family":"Grassly","given":"Nicholas C"}],"issued":{"date-parts":[["2012",8,4]]}}}],"schema":"https://github.com/citation-style-language/schema/raw/master/csl-citation.json"}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(65)</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14</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1-38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Nigeria</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2014</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clinical efficacy</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{"citationID":"ZLFI3i3j","properties":{"formattedCitation":"(66)","plainCitation":"(66)","noteIndex":0},"citationItems":[{"id":242,"uris":["http://zotero.org/users/local/lOXBNq0n/items/ERSXQFHD"],"itemData":{"id":242,"type":"article-journal","container-title":"The lancet global health","issue":"2","note":"publisher: Elsevier","page":"e90–e97","source":"Google Scholar","title":"Key issues in the persistence of poliomyelitis in Nigeria: a case-control study","title-short":"Key issues in the persistence of poliomyelitis in Nigeria","volume":"2","author":[{"family":"Mangal","given":"Tara D."},{"family":"Aylward","given":"R. Bruce"},{"family":"Mwanza","given":"Michael"},{"family":"Gasasira","given":"Alex"},{"family":"Abanida","given":"Emmanuel"},{"family":"Pate","given":"Muhammed A."},{"family":"Grassly","given":"Nicholas C."}],"issued":{"date-parts":[["2014"]]}}}],"schema":"https://github.com/citation-style-language/schema/raw/master/csl-citation.json"}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(66)</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5</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3-44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9%</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15</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1-3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All</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92</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72</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Somalia</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2014</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clinical effectiveness</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{"citationID":"7G3X3kMa","properties":{"formattedCitation":"(67)","plainCitation":"(67)","noteIndex":0},"citationItems":[{"id":286,"uris":["http://zotero.org/users/local/lOXBNq0n/items/L3AI9UG7"],"itemData":{"id":286,"type":"article-journal","abstract":"BACKGROUND: After the last case of type 1 wild poliovirus (WPV1) was reported in 2007, Somalia experienced another outbreak of WPV1 (189 cases) in 2013. METHODS:  We conducted a retrospective, matched case-control study to evaluate the vaccine  effectiveness (VE) of oral polio vaccine (OPV). We retrieved information from the  Somalia Surveillance Database. A case was defined as any case of acute flaccid  paralysis (AFP) with virological confirmation of WPV1. We selected two groups of  controls for each case: non-polio AFP cases (\"NPAFP controls\") matched to WPV1  cases by age, date of onset of paralysis and region; and asymptomatic  \"neighborhood controls,\" matched by age. Using conditional logistic regression,  we estimated the VE of OPV as (1-odds ratio)×100. RESULT: We matched 99 WPV cases  with 99 NPAFP controls and 134 WPV1 cases with 268 neighborhood controls. Using  NPAFP controls, the overall VE was 70% (95% confidence interval [CI], 37-86), 59%  (2-83) among 1-3 dose recipients, 77% (95% CI, 46-91) among ≥4 dose recipients.  In neighborhood controls, the overall VE was 95% (95% CI, 84-98), 92% (72-98)  among 1-3 dose recipients, and 97% (89-99) among ≥4 dose recipients. When the  analysis was limited to cases and controls ≤24 months old, the overall VE in  NPAFP and neighborhood controls was 95% (95% CI, 65-99) and 97% (95% CI, 76-100),  respectively. CONCLUSIONS: Among individuals who were fully vaccinated with OPV,  vaccination was effective at preventing WPV1 in Somalia.","container-title":"The Journal of infectious diseases","DOI":"10.1093/infdis/jiu261","ISSN":"1537-6613 0022-1899","journalAbbreviation":"J Infect Dis","language":"eng","license":"Published by Oxford University Press on behalf of the Infectious Diseases Society of America 2014. This work is written by (a) US Government employee(s) and is in  the public domain in the US.","note":"publisher-place: United States\nPMID: 25316835","page":"S187-193","title":"Effectiveness of oral polio vaccination against paralytic poliomyelitis: a matched case-control study in Somalia.","volume":"210 Suppl 1","author":[{"family":"Mahamud","given":"Abdirahman"},{"family":"Kamadjeu","given":"Raoul"},{"family":"Webeck","given":"Jenna"},{"family":"Mbaeyi","given":"Chukwuma"},{"family":"Baranyikwa","given":"Marie Therese"},{"family":"Birungi","given":"Julianne"},{"family":"Nurbile","given":"Yassin"},{"family":"Ehrhardt","given":"Derek"},{"family":"Shukla","given":"Hemant"},{"family":"Chatterjee","given":"Anirban"},{"family":"Mulugeta","given":"Abraham"}],"issued":{"date-parts":[["2014",11,1]]}}}],"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(67)</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4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All</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16</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2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India</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2010</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{"citationID":"GeQqWViV","properties":{"formattedCitation":"(68)","plainCitation":"(68)","noteIndex":0},"citationItems":[{"id":243,"uris":["http://zotero.org/users/local/lOXBNq0n/items/J5T7BEFW"],"itemData":{"id":243,"type":"article-journal","container-title":"The Lancet","issue":"9753","note":"publisher: Elsevier","page":"1682–1688","source":"Google Scholar","title":"Immunogenicity of bivalent types 1 and 3 oral poliovirus vaccine: a randomised, double-blind, controlled trial","title-short":"Immunogenicity of bivalent types 1 and 3 oral poliovirus vaccine","volume":"376","author":[{"family":"Sutter","given":"Roland W."},{"family":"John","given":"T. Jacob"},{"family":"Jain","given":"Hemant"},{"family":"Agarkhedkar","given":"Sharad"},{"family":"Ramanan","given":"Padmasani Venkat"},{"family":"Verma","given":"Harish"},{"family":"Deshpande","given":"Jagadish"},{"family":"Singh","given":"Ajit Pal"},{"family":"Sreevatsava","given":"Meghana"},{"family":"Malankar","given":"Pradeep"}],"issued":{"date-parts":[["2010"]]}}}],"schema":"https://github.com/citation-style-language/schema/raw/master/csl-citation.json"}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(68)</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11</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0-17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66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0-80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17</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4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7%</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India</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2015</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{"citationID":"oH3HhOFd","properties":{"formattedCitation":"(18)","plainCitation":"(18)","noteIndex":0},"citationItems":[{"id":245,"uris":["http://zotero.org/users/local/lOXBNq0n/items/AL2PGVIL"],"itemData":{"id":245,"type":"article-journal","container-title":"The Lancet","issue":"10011","note":"publisher: Elsevier","page":"2413–2421","source":"Google Scholar","title":"Immunogenicity of a new routine vaccination schedule for global poliomyelitis prevention: an open-label, randomised controlled trial","title-short":"Immunogenicity of a new routine vaccination schedule for global poliomyelitis prevention","volume":"386","author":[{"family":"Sutter","given":"Roland W."},{"family":"Bahl","given":"Sunil"},{"family":"Deshpande","given":"Jagadish M."},{"family":"Verma","given":"Harish"},{"family":"Ahmad","given":"Mohammad"},{"family":"Venugopal","given":"P."},{"family":"Rao","given":"J. Venkateswara"},{"family":"Agarkhedkar","given":"Sharad"},{"family":"Lalwani","given":"Sanjay K."},{"family":"Kunwar","given":"Abhishek"}],"issued":{"date-parts":[["2015"]]}}}],"schema":"https://github.com/citation-style-language/schema/raw/master/csl-citation.json"}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(18)</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7%</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12</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9-25</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7%</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3%</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18</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4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Pakistan</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2018</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{"citationID":"KLiKzPpC","properties":{"formattedCitation":"(19)","plainCitation":"(19)","noteIndex":0},"citationItems":[{"id":234,"uris":["http://zotero.org/users/local/lOXBNq0n/items/ZAY8NKI6"],"itemData":{"id":234,"type":"article-journal","container-title":"The Journal of Infectious Diseases","issue":"3","note":"publisher: Oxford University Press US","page":"443–450","source":"Google Scholar","title":"Immunogenicity of different routine poliovirus vaccination schedules: a randomized, controlled trial in Karachi, Pakistan","title-short":"Immunogenicity of different routine poliovirus vaccination schedules","volume":"217","author":[{"family":"Saleem","given":"Ali F."},{"family":"Mach","given":"Ondrej"},{"family":"Yousafzai","given":"Mohammad T."},{"family":"Khan","given":"Asia"},{"family":"Weldon","given":"William C."},{"family":"Steven Oberste","given":"M."},{"family":"Zaidi","given":"Syed S."},{"family":"Alam","given":"Muhammad M."},{"family":"Quadri","given":"Farheen"},{"family":"Sutter","given":"Roland W."}],"issued":{"date-parts":[["2018"]]}}}],"schema":"https://github.com/citation-style-language/schema/raw/master/csl-citation.json"}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(19)</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0-27</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19</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32</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0-39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Afghanistan</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2021</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clinical efficacy</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GskHzuaU","properties":{"formattedCitation":"(20)","plainCitation":"(20)","noteIndex":0},"citationItems":[{"id":248,"uris":["http://zotero.org/users/local/lOXBNq0n/items/V73XYW36"],"itemData":{"id":248,"type":"article-journal","container-title":"Vaccine","issue":"42","note":"publisher: Elsevier","page":"6250–6255","source":"Google Scholar","title":"Estimation of oral poliovirus vaccine effectiveness in Afghanistan, 2010–2020","volume":"39","author":[{"family":"Chard","given":"Anna N."},{"family":"Martinez","given":"Maureen"},{"family":"Matanock","given":"Almea"},{"family":"Kassem","given":"Ahmed M."}],"issued":{"date-parts":[["2021"]]}}}],"schema":"https://github.com/citation-style-language/schema/raw/master/csl-citation.json"}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(20)</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≥7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460"/>
        </w:trPr>
        <w:tc>
          <w:tcPr>
            <w:cnfStyle w:val="001000000000" w:firstRow="0" w:lastRow="0" w:firstColumn="1" w:lastColumn="0" w:oddVBand="0" w:evenVBand="0" w:oddHBand="0" w:evenHBand="0" w:firstRowFirstColumn="0" w:firstRowLastColumn="0" w:lastRowFirstColumn="0" w:lastRowLastColumn="0"/>
            <w:tcW w:w="989" w:type="pct"/>
            <w:gridSpan w:val="2"/>
            <w:noWrap/>
            <w:vAlign w:val="center"/>
            <w:hideMark/>
          </w:tcPr>
          <w:p w:rsidR="005A41E6" w:rsidRPr="002415AB" w:rsidRDefault="005A41E6" w:rsidP="002415AB">
            <w:pPr>
              <w:spacing w:line="240" w:lineRule="auto"/>
              <w:jc w:val="center"/>
              <w:rPr>
                <w:rFonts w:ascii="Times New Roman" w:eastAsia="Times New Roman" w:hAnsi="Times New Roman" w:cs="Times New Roman"/>
                <w:b w:val="0"/>
                <w:bCs w:val="0"/>
                <w:color w:val="000000"/>
                <w:sz w:val="16"/>
                <w:szCs w:val="16"/>
              </w:rPr>
            </w:pPr>
            <w:r w:rsidRPr="002415AB">
              <w:rPr>
                <w:rFonts w:ascii="Times New Roman" w:eastAsia="Times New Roman" w:hAnsi="Times New Roman" w:cs="Times New Roman"/>
                <w:color w:val="000000"/>
                <w:sz w:val="16"/>
                <w:szCs w:val="16"/>
              </w:rPr>
              <w:t>Combination schedule</w:t>
            </w:r>
          </w:p>
        </w:tc>
        <w:tc>
          <w:tcPr>
            <w:tcW w:w="516" w:type="pct"/>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61" w:type="pct"/>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51" w:type="pct"/>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w:t>
            </w: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IPV + 1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69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Pakistan</w:t>
            </w: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2015</w:t>
            </w: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PZT4P1Ba","properties":{"formattedCitation":"(69)","plainCitation":"(69)","noteIndex":0},"citationItems":[{"id":255,"uris":["http://zotero.org/users/local/lOXBNq0n/items/ARKLBA9G"],"itemData":{"id":255,"type":"article-journal","container-title":"Vaccine","issue":"24","note":"publisher: Elsevier","page":"2757–2763","source":"Google Scholar","title":"Immunogenicity of poliovirus vaccines in chronically malnourished infants: a randomized controlled trial in Pakistan","title-short":"Immunogenicity of poliovirus vaccines in chronically malnourished infants","volume":"33","author":[{"family":"Saleem","given":"Ali Faisal"},{"family":"Mach","given":"Ondrej"},{"family":"Quadri","given":"Farheen"},{"family":"Khan","given":"Asia"},{"family":"Bhatti","given":"Zaid"},{"family":"Rehman","given":"Najeeb","non-dropping-particle":"ur"},{"family":"Zaidi","given":"Sohail"},{"family":"Weldon","given":"William C."},{"family":"Oberste","given":"Steven M."},{"family":"Salama","given":"Maha"}],"issued":{"date-parts":[["2015"]]}}}],"schema":"https://github.com/citation-style-language/schema/raw/master/csl-citation.json"}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(69)</w:t>
            </w:r>
            <w:r w:rsidRPr="002415AB">
              <w:rPr>
                <w:rFonts w:ascii="Times New Roman" w:eastAsia="Times New Roman" w:hAnsi="Times New Roman" w:cs="Times New Roman"/>
                <w:color w:val="000000"/>
                <w:sz w:val="16"/>
                <w:szCs w:val="16"/>
              </w:rPr>
              <w:fldChar w:fldCharType="end"/>
            </w: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93</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21</w:t>
            </w: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IPV + 1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India</w:t>
            </w: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2015</w:t>
            </w: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{"citationID":"MYVEEcsf","properties":{"formattedCitation":"(18)","plainCitation":"(18)","noteIndex":0},"citationItems":[{"id":245,"uris":["http://zotero.org/users/local/lOXBNq0n/items/AL2PGVIL"],"itemData":{"id":245,"type":"article-journal","container-title":"The Lancet","issue":"10011","note":"publisher: Elsevier","page":"2413–2421","source":"Google Scholar","title":"Immunogenicity of a new routine vaccination schedule for global poliomyelitis prevention: an open-label, randomised controlled trial","title-short":"Immunogenicity of a new routine vaccination schedule for global poliomyelitis prevention","volume":"386","author":[{"family":"Sutter","given":"Roland W."},{"family":"Bahl","given":"Sunil"},{"family":"Deshpande","given":"Jagadish M."},{"family":"Verma","given":"Harish"},{"family":"Ahmad","given":"Mohammad"},{"family":"Venugopal","given":"P."},{"family":"Rao","given":"J. Venkateswara"},{"family":"Agarkhedkar","given":"Sharad"},{"family":"Lalwani","given":"Sanjay K."},{"family":"Kunwar","given":"Abhishek"}],"issued":{"date-parts":[["2015"]]}}}],"schema":"https://github.com/citation-style-language/schema/raw/master/csl-citation.json"}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(18)</w:t>
            </w:r>
            <w:r w:rsidRPr="002415AB">
              <w:rPr>
                <w:rFonts w:ascii="Times New Roman" w:eastAsia="Times New Roman" w:hAnsi="Times New Roman" w:cs="Times New Roman"/>
                <w:color w:val="000000"/>
                <w:sz w:val="16"/>
                <w:szCs w:val="16"/>
              </w:rPr>
              <w:fldChar w:fldCharType="end"/>
            </w: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68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6%</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60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7-75</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8%</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w:t>
            </w:r>
          </w:p>
        </w:tc>
        <w:tc>
          <w:tcPr>
            <w:tcW w:w="551"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2 IPV + 1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4%</w:t>
            </w:r>
          </w:p>
        </w:tc>
        <w:tc>
          <w:tcPr>
            <w:tcW w:w="551"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5-100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0%</w:t>
            </w:r>
          </w:p>
        </w:tc>
        <w:tc>
          <w:tcPr>
            <w:tcW w:w="615"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5A41E6" w:rsidRPr="002415AB" w:rsidRDefault="005A41E6"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5A41E6"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tcBorders>
              <w:bottom w:val="single" w:sz="4" w:space="0" w:color="000000" w:themeColor="text1"/>
            </w:tcBorders>
            <w:noWrap/>
            <w:vAlign w:val="center"/>
            <w:hideMark/>
          </w:tcPr>
          <w:p w:rsidR="005A41E6" w:rsidRPr="002415AB" w:rsidRDefault="005A41E6" w:rsidP="002415AB">
            <w:pPr>
              <w:spacing w:line="240" w:lineRule="auto"/>
              <w:jc w:val="center"/>
              <w:rPr>
                <w:rFonts w:ascii="Times New Roman" w:eastAsia="Times New Roman" w:hAnsi="Times New Roman" w:cs="Times New Roman"/>
                <w:color w:val="000000"/>
                <w:sz w:val="16"/>
                <w:szCs w:val="16"/>
              </w:rPr>
            </w:pPr>
          </w:p>
        </w:tc>
        <w:tc>
          <w:tcPr>
            <w:tcW w:w="743"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78</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1%</w:t>
            </w:r>
          </w:p>
        </w:tc>
        <w:tc>
          <w:tcPr>
            <w:tcW w:w="551"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70</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7-84</w:t>
            </w:r>
            <w:r w:rsidR="00C264CE" w:rsidRPr="002415AB">
              <w:rPr>
                <w:rFonts w:ascii="Times New Roman" w:eastAsia="Times New Roman" w:hAnsi="Times New Roman" w:cs="Times New Roman"/>
                <w:color w:val="000000"/>
                <w:sz w:val="16"/>
                <w:szCs w:val="16"/>
              </w:rPr>
              <w:t>·</w:t>
            </w:r>
            <w:r w:rsidRPr="002415AB">
              <w:rPr>
                <w:rFonts w:ascii="Times New Roman" w:eastAsia="Times New Roman" w:hAnsi="Times New Roman" w:cs="Times New Roman"/>
                <w:color w:val="000000"/>
                <w:sz w:val="16"/>
                <w:szCs w:val="16"/>
              </w:rPr>
              <w:t>3%</w:t>
            </w:r>
          </w:p>
        </w:tc>
        <w:tc>
          <w:tcPr>
            <w:tcW w:w="615"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bottom w:val="single" w:sz="4" w:space="0" w:color="000000" w:themeColor="text1"/>
            </w:tcBorders>
            <w:noWrap/>
            <w:vAlign w:val="center"/>
            <w:hideMark/>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bottom w:val="single" w:sz="4" w:space="0" w:color="000000" w:themeColor="text1"/>
            </w:tcBorders>
            <w:vAlign w:val="center"/>
          </w:tcPr>
          <w:p w:rsidR="005A41E6" w:rsidRPr="002415AB" w:rsidRDefault="005A41E6"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p w:rsidR="00061ECF" w:rsidRPr="002415AB" w:rsidRDefault="00061ECF"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tcBorders>
              <w:top w:val="single" w:sz="4" w:space="0" w:color="000000" w:themeColor="text1"/>
              <w:bottom w:val="nil"/>
            </w:tcBorders>
            <w:noWrap/>
            <w:vAlign w:val="center"/>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tcBorders>
              <w:top w:val="single" w:sz="4" w:space="0" w:color="000000" w:themeColor="text1"/>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top w:val="single" w:sz="4" w:space="0" w:color="000000" w:themeColor="text1"/>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tcBorders>
              <w:top w:val="single" w:sz="4" w:space="0" w:color="000000" w:themeColor="text1"/>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98·7%</w:t>
            </w:r>
          </w:p>
        </w:tc>
        <w:tc>
          <w:tcPr>
            <w:tcW w:w="551" w:type="pct"/>
            <w:tcBorders>
              <w:top w:val="single" w:sz="4" w:space="0" w:color="000000" w:themeColor="text1"/>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95·4-99·8%</w:t>
            </w:r>
          </w:p>
        </w:tc>
        <w:tc>
          <w:tcPr>
            <w:tcW w:w="615" w:type="pct"/>
            <w:tcBorders>
              <w:top w:val="single" w:sz="4" w:space="0" w:color="000000" w:themeColor="text1"/>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top w:val="single" w:sz="4" w:space="0" w:color="000000" w:themeColor="text1"/>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top w:val="single" w:sz="4" w:space="0" w:color="000000" w:themeColor="text1"/>
              <w:bottom w:val="nil"/>
            </w:tcBorders>
            <w:noWrap/>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top w:val="single" w:sz="4" w:space="0" w:color="000000" w:themeColor="text1"/>
              <w:bottom w:val="nil"/>
            </w:tcBorders>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600"/>
        </w:trPr>
        <w:tc>
          <w:tcPr>
            <w:cnfStyle w:val="001000000000" w:firstRow="0" w:lastRow="0" w:firstColumn="1" w:lastColumn="0" w:oddVBand="0" w:evenVBand="0" w:oddHBand="0" w:evenHBand="0" w:firstRowFirstColumn="0" w:firstRowLastColumn="0" w:lastRowFirstColumn="0" w:lastRowLastColumn="0"/>
            <w:tcW w:w="246" w:type="pct"/>
            <w:tcBorders>
              <w:top w:val="nil"/>
            </w:tcBorders>
            <w:vAlign w:val="center"/>
            <w:hideMark/>
          </w:tcPr>
          <w:p w:rsidR="002415AB" w:rsidRPr="002415AB" w:rsidRDefault="002415AB" w:rsidP="002415AB">
            <w:pPr>
              <w:spacing w:line="240" w:lineRule="auto"/>
              <w:jc w:val="center"/>
              <w:rPr>
                <w:rFonts w:ascii="Times New Roman" w:eastAsia="Times New Roman" w:hAnsi="Times New Roman" w:cs="Times New Roman"/>
                <w:b w:val="0"/>
                <w:bCs w:val="0"/>
                <w:color w:val="000000"/>
                <w:sz w:val="20"/>
                <w:szCs w:val="16"/>
              </w:rPr>
            </w:pPr>
            <w:r w:rsidRPr="002415AB">
              <w:rPr>
                <w:rFonts w:ascii="Times New Roman" w:eastAsia="Times New Roman" w:hAnsi="Times New Roman" w:cs="Times New Roman"/>
                <w:color w:val="000000"/>
                <w:sz w:val="20"/>
                <w:szCs w:val="16"/>
              </w:rPr>
              <w:lastRenderedPageBreak/>
              <w:t>ID</w:t>
            </w:r>
          </w:p>
        </w:tc>
        <w:tc>
          <w:tcPr>
            <w:tcW w:w="743" w:type="pct"/>
            <w:tcBorders>
              <w:top w:val="nil"/>
            </w:tcBorders>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Vaccine Dosage &amp; Type</w:t>
            </w:r>
          </w:p>
        </w:tc>
        <w:tc>
          <w:tcPr>
            <w:tcW w:w="516" w:type="pct"/>
            <w:tcBorders>
              <w:top w:val="nil"/>
            </w:tcBorders>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Serotype of Polioviruses</w:t>
            </w:r>
          </w:p>
        </w:tc>
        <w:tc>
          <w:tcPr>
            <w:tcW w:w="561" w:type="pct"/>
            <w:tcBorders>
              <w:top w:val="nil"/>
            </w:tcBorders>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VE</w:t>
            </w:r>
          </w:p>
        </w:tc>
        <w:tc>
          <w:tcPr>
            <w:tcW w:w="551" w:type="pct"/>
            <w:tcBorders>
              <w:top w:val="nil"/>
            </w:tcBorders>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95% CI</w:t>
            </w:r>
          </w:p>
        </w:tc>
        <w:tc>
          <w:tcPr>
            <w:tcW w:w="615" w:type="pct"/>
            <w:tcBorders>
              <w:top w:val="nil"/>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Study Location</w:t>
            </w:r>
          </w:p>
        </w:tc>
        <w:tc>
          <w:tcPr>
            <w:tcW w:w="498" w:type="pct"/>
            <w:tcBorders>
              <w:top w:val="nil"/>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Published Year</w:t>
            </w:r>
          </w:p>
        </w:tc>
        <w:tc>
          <w:tcPr>
            <w:tcW w:w="702" w:type="pct"/>
            <w:tcBorders>
              <w:top w:val="nil"/>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VE indicator</w:t>
            </w:r>
          </w:p>
        </w:tc>
        <w:tc>
          <w:tcPr>
            <w:tcW w:w="568" w:type="pct"/>
            <w:tcBorders>
              <w:top w:val="nil"/>
            </w:tcBorders>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16"/>
              </w:rPr>
            </w:pPr>
            <w:r w:rsidRPr="002415AB">
              <w:rPr>
                <w:rFonts w:ascii="Times New Roman" w:eastAsia="Times New Roman" w:hAnsi="Times New Roman" w:cs="Times New Roman"/>
                <w:b/>
                <w:bCs/>
                <w:color w:val="000000"/>
                <w:sz w:val="20"/>
                <w:szCs w:val="16"/>
              </w:rPr>
              <w:t>Ref.</w:t>
            </w: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22</w:t>
            </w: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IPV + 2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96·6-100·0%</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China</w:t>
            </w: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2019</w:t>
            </w: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{"citationID":"bPiqIzs8","properties":{"formattedCitation":"(70)","plainCitation":"(70)","noteIndex":0},"citationItems":[{"id":251,"uris":["http://zotero.org/users/local/lOXBNq0n/items/6DEQH2JJ"],"itemData":{"id":251,"type":"paper-conference","container-title":"Open Forum Infectious Diseases","note":"issue: 10","page":"ofz380","publisher":"Oxford University Press US","source":"Google Scholar","title":"Safety and immunogenicity of Sabin strain inactivated poliovirus vaccine compared with salk Strain Inactivated poliovirus vaccine, in different sequential schedules with bivalent oral poliovirus vaccine: randomized controlled noninferiority clinical trials in China","title-short":"Safety and immunogenicity of Sabin strain inactivated poliovirus vaccine compared with salk Strain Inactivated poliovirus vaccine, in different sequential schedules with bivalent oral poliovirus vaccine","volume":"6","author":[{"family":"Hu","given":"Yuemei"},{"family":"Xu","given":"Kangwei"},{"family":"Han","given":"Weixiao"},{"family":"Chu","given":"Kai"},{"family":"Jiang","given":"Deyu"},{"family":"Wang","given":"Jianfeng"},{"family":"Tian","given":"Xiaohui"},{"family":"Ying","given":"Zhifang"},{"family":"Zhang","given":"Ying"},{"family":"Li","given":"Changgui"}],"issued":{"date-parts":[["2019"]]}}}],"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(70)</w:t>
            </w:r>
            <w:r w:rsidRPr="002415AB">
              <w:rPr>
                <w:rFonts w:ascii="Times New Roman" w:eastAsia="Times New Roman" w:hAnsi="Times New Roman" w:cs="Times New Roman"/>
                <w:color w:val="000000"/>
                <w:sz w:val="16"/>
                <w:szCs w:val="16"/>
              </w:rPr>
              <w:fldChar w:fldCharType="end"/>
            </w: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83·2%</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74·7-89·7%</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96·6-100·0%</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2 IPV + 1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99·2%</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95·4-100·0%</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94·9%</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93·6-99·8%</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96·7-100·0%</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23</w:t>
            </w: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IPV + 2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China</w:t>
            </w: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2020</w:t>
            </w: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{"citationID":"SEfSqanb","properties":{"formattedCitation":"(71)","plainCitation":"(71)","noteIndex":0},"citationItems":[{"id":250,"uris":["http://zotero.org/users/local/lOXBNq0n/items/IYS93KAK"],"itemData":{"id":250,"type":"article-journal","container-title":"The Lancet Infectious Diseases","issue":"9","note":"publisher: Elsevier","page":"1071–1079","source":"Google Scholar","title":"Immunogenicity of three sequential schedules with Sabin inactivated poliovirus vaccine and bivalent oral poliovirus vaccine in Zhejiang, China: an open-label, randomised, controlled trial","title-short":"Immunogenicity of three sequential schedules with Sabin inactivated poliovirus vaccine and bivalent oral poliovirus vaccine in Zhejiang, China","volume":"20","author":[{"family":"He","given":"Hanqing"},{"family":"Wang","given":"Yamin"},{"family":"Deng","given":"Xuan"},{"family":"Yue","given":"Chenyan"},{"family":"Tang","given":"Xuewen"},{"family":"Li","given":"Yan"},{"family":"Liu","given":"Yan"},{"family":"Yin","given":"Zhiying"},{"family":"Zhang","given":"Guoping"},{"family":"Chen","given":"Zhongbing"}],"issued":{"date-parts":[["2020"]]}}}],"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(71)</w:t>
            </w:r>
            <w:r w:rsidRPr="002415AB">
              <w:rPr>
                <w:rFonts w:ascii="Times New Roman" w:eastAsia="Times New Roman" w:hAnsi="Times New Roman" w:cs="Times New Roman"/>
                <w:color w:val="000000"/>
                <w:sz w:val="16"/>
                <w:szCs w:val="16"/>
              </w:rPr>
              <w:fldChar w:fldCharType="end"/>
            </w: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62·0%</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2 IPV + 1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NA</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24</w:t>
            </w: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 IPV + 2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98·1-100·0%</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China</w:t>
            </w: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2020</w:t>
            </w: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IWiQQdOM","properties":{"formattedCitation":"(58)","plainCitation":"(58)","noteIndex":0},"citationItems":[{"id":222,"uris":["http://zotero.org/users/local/lOXBNq0n/items/XTPG3MGM"],"itemData":{"id":222,"type":"article-journal","container-title":"Vaccine","issue":"40","note":"publisher: Elsevier","page":"6274–6279","title":"Immunogenicity and safety of different sequential schedules of Sabin strain-based inactivated poliovirus vaccination: A randomized, controlled, open-label, phase IV clinical trial in China","title-short":"Immunogenicity and safety of different sequential schedules of Sabin strain-based inactivated poliovirus vaccination","volume":"38","author":[{"family":"Yan","given":"Shaohong"},{"family":"Chen","given":"Haiping"},{"family":"Zhang","given":"Zhenguo"},{"family":"Chang","given":"Shaoying"},{"family":"Xiao","given":"Yanhui"},{"family":"Luo","given":"Linyun"},{"family":"Zhang","given":"Zhaoyong"},{"family":"Sun","given":"Li"},{"family":"Chen","given":"Xiao"},{"family":"Yang","given":"Yunkai"}],"issued":{"date-parts":[["2020"]]}}}],"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(58)</w:t>
            </w:r>
            <w:r w:rsidRPr="002415AB">
              <w:rPr>
                <w:rFonts w:ascii="Times New Roman" w:eastAsia="Times New Roman" w:hAnsi="Times New Roman" w:cs="Times New Roman"/>
                <w:color w:val="000000"/>
                <w:sz w:val="16"/>
                <w:szCs w:val="16"/>
              </w:rPr>
              <w:fldChar w:fldCharType="end"/>
            </w: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91·5%</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86·6-95·1%</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98·1-100·0%</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2 IPV + 1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98·0-100·0%</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98·4%</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95·3-99·67%</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100·0%</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98·0-100·0%</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25</w:t>
            </w: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1IPV + 4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94·0%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90·0-98·0%</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Pakistan</w:t>
            </w: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2017</w:t>
            </w: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{"citationID":"Tfrt1oCB","properties":{"formattedCitation":"(19)","plainCitation":"(19)","noteIndex":0},"citationItems":[{"id":234,"uris":["http://zotero.org/users/local/lOXBNq0n/items/ZAY8NKI6"],"itemData":{"id":234,"type":"article-journal","container-title":"The Journal of Infectious Diseases","issue":"3","note":"publisher: Oxford University Press US","page":"443–450","source":"Google Scholar","title":"Immunogenicity of different routine poliovirus vaccination schedules: a randomized, controlled trial in Karachi, Pakistan","title-short":"Immunogenicity of different routine poliovirus vaccination schedules","volume":"217","author":[{"family":"Saleem","given":"Ali F."},{"family":"Mach","given":"Ondrej"},{"family":"Yousafzai","given":"Mohammad T."},{"family":"Khan","given":"Asia"},{"family":"Weldon","given":"William C."},{"family":"Steven Oberste","given":"M."},{"family":"Zaidi","given":"Syed S."},{"family":"Alam","given":"Muhammad M."},{"family":"Quadri","given":"Farheen"},{"family":"Sutter","given":"Roland W."}],"issued":{"date-parts":[["2018"]]}}}],"schema":"https://github.com/citation-style-language/schema/raw/master/csl-citation.json"}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(19)</w:t>
            </w:r>
            <w:r w:rsidRPr="002415AB">
              <w:rPr>
                <w:rFonts w:ascii="Times New Roman" w:eastAsia="Times New Roman" w:hAnsi="Times New Roman" w:cs="Times New Roman"/>
                <w:color w:val="000000"/>
                <w:sz w:val="16"/>
                <w:szCs w:val="16"/>
              </w:rPr>
              <w:fldChar w:fldCharType="end"/>
            </w: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53·0%</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44·0-61·0%</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98·0%</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95·0-100·0%</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26</w:t>
            </w: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2 IPV + 4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98·9%</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96·7-99·8%</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Nigeria</w:t>
            </w: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2020</w:t>
            </w: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seroconversion</w:t>
            </w: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fldChar w:fldCharType="begin"/>
            </w:r>
            <w:r w:rsidRPr="002415AB">
              <w:rPr>
                <w:rFonts w:ascii="Times New Roman" w:eastAsia="Times New Roman" w:hAnsi="Times New Roman" w:cs="Times New Roman"/>
                <w:color w:val="000000"/>
                <w:sz w:val="16"/>
                <w:szCs w:val="16"/>
              </w:rPr>
              <w:instrText xml:space="preserve"> ADDIN ZOTERO_ITEM CSL_CITATION {"citationID":"fHPLbwT5","properties":{"formattedCitation":"(72)","plainCitation":"(72)","noteIndex":0},"citationItems":[{"id":254,"uris":["http://zotero.org/users/local/lOXBNq0n/items/D4CDGYUE"],"itemData":{"id":254,"type":"article-journal","container-title":"The Journal of infectious diseases","issue":"2","note":"publisher: Oxford University Press US","page":"299–307","source":"Google Scholar","title":"Randomized Controlled Clinical Trial of Bivalent Oral Poliovirus Vaccine and Inactivated Poliovirus Vaccine in Nigerian Children","volume":"226","author":[{"family":"Tagbo","given":"Beckie N."},{"family":"Verma","given":"Harish"},{"family":"Mahmud","given":"Zubairu M."},{"family":"Ernest","given":"Kolade"},{"family":"Nnani","given":"Roosevelt O."},{"family":"Chukwubike","given":"Chinedu"},{"family":"Craig","given":"Kehinde T."},{"family":"Hamisu","given":"Abdullahi"},{"family":"Weldon","given":"William C."},{"family":"Oberste","given":"Steven M."}],"issued":{"date-parts":[["2022"]]}}}],"schema":"https://github.com/citation-style-language/schema/raw/master/csl-citation.json"} </w:instrText>
            </w:r>
            <w:r w:rsidRPr="002415AB">
              <w:rPr>
                <w:rFonts w:ascii="Times New Roman" w:eastAsia="Times New Roman" w:hAnsi="Times New Roman" w:cs="Times New Roman"/>
                <w:color w:val="000000"/>
                <w:sz w:val="16"/>
                <w:szCs w:val="16"/>
              </w:rPr>
              <w:fldChar w:fldCharType="separate"/>
            </w:r>
            <w:r w:rsidRPr="002415AB">
              <w:rPr>
                <w:rFonts w:ascii="Times New Roman" w:eastAsia="Times New Roman" w:hAnsi="Times New Roman" w:cs="Times New Roman"/>
                <w:noProof/>
                <w:color w:val="000000"/>
                <w:sz w:val="16"/>
                <w:szCs w:val="16"/>
              </w:rPr>
              <w:t>(72)</w:t>
            </w:r>
            <w:r w:rsidRPr="002415AB">
              <w:rPr>
                <w:rFonts w:ascii="Times New Roman" w:eastAsia="Times New Roman" w:hAnsi="Times New Roman" w:cs="Times New Roman"/>
                <w:color w:val="000000"/>
                <w:sz w:val="16"/>
                <w:szCs w:val="16"/>
              </w:rPr>
              <w:fldChar w:fldCharType="end"/>
            </w: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95·9%</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92·8-97·9%</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98·1%</w:t>
            </w:r>
          </w:p>
        </w:tc>
        <w:tc>
          <w:tcPr>
            <w:tcW w:w="551"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88·2-94·8%</w:t>
            </w:r>
          </w:p>
        </w:tc>
        <w:tc>
          <w:tcPr>
            <w:tcW w:w="615"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 xml:space="preserve">3 IPV + 1 </w:t>
            </w:r>
            <w:proofErr w:type="spellStart"/>
            <w:r w:rsidRPr="002415AB">
              <w:rPr>
                <w:rFonts w:ascii="Times New Roman" w:eastAsia="Times New Roman" w:hAnsi="Times New Roman" w:cs="Times New Roman"/>
                <w:color w:val="000000"/>
                <w:sz w:val="16"/>
                <w:szCs w:val="16"/>
              </w:rPr>
              <w:t>bOPV</w:t>
            </w:r>
            <w:proofErr w:type="spellEnd"/>
          </w:p>
        </w:tc>
        <w:tc>
          <w:tcPr>
            <w:tcW w:w="516"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1</w:t>
            </w:r>
          </w:p>
        </w:tc>
        <w:tc>
          <w:tcPr>
            <w:tcW w:w="56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89·6%</w:t>
            </w:r>
          </w:p>
        </w:tc>
        <w:tc>
          <w:tcPr>
            <w:tcW w:w="551"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85·4-93·0%</w:t>
            </w:r>
          </w:p>
        </w:tc>
        <w:tc>
          <w:tcPr>
            <w:tcW w:w="615"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trHeight w:val="320"/>
        </w:trPr>
        <w:tc>
          <w:tcPr>
            <w:cnfStyle w:val="001000000000" w:firstRow="0" w:lastRow="0" w:firstColumn="1" w:lastColumn="0" w:oddVBand="0" w:evenVBand="0" w:oddHBand="0" w:evenHBand="0" w:firstRowFirstColumn="0" w:firstRowLastColumn="0" w:lastRowFirstColumn="0" w:lastRowLastColumn="0"/>
            <w:tcW w:w="246" w:type="pct"/>
            <w:tcBorders>
              <w:bottom w:val="single" w:sz="4" w:space="0" w:color="000000" w:themeColor="text1"/>
            </w:tcBorders>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tcBorders>
              <w:bottom w:val="single" w:sz="4" w:space="0" w:color="000000" w:themeColor="text1"/>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bottom w:val="single" w:sz="4" w:space="0" w:color="000000" w:themeColor="text1"/>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2</w:t>
            </w:r>
          </w:p>
        </w:tc>
        <w:tc>
          <w:tcPr>
            <w:tcW w:w="561" w:type="pct"/>
            <w:tcBorders>
              <w:bottom w:val="single" w:sz="4" w:space="0" w:color="000000" w:themeColor="text1"/>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93·7%</w:t>
            </w:r>
          </w:p>
        </w:tc>
        <w:tc>
          <w:tcPr>
            <w:tcW w:w="551" w:type="pct"/>
            <w:tcBorders>
              <w:bottom w:val="single" w:sz="4" w:space="0" w:color="000000" w:themeColor="text1"/>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90·1-96·3%</w:t>
            </w:r>
          </w:p>
        </w:tc>
        <w:tc>
          <w:tcPr>
            <w:tcW w:w="615" w:type="pct"/>
            <w:tcBorders>
              <w:bottom w:val="single" w:sz="4" w:space="0" w:color="000000" w:themeColor="text1"/>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bottom w:val="single" w:sz="4" w:space="0" w:color="000000" w:themeColor="text1"/>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bottom w:val="single" w:sz="4" w:space="0" w:color="000000" w:themeColor="text1"/>
            </w:tcBorders>
            <w:noWrap/>
            <w:vAlign w:val="center"/>
            <w:hideMark/>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bottom w:val="single" w:sz="4" w:space="0" w:color="000000" w:themeColor="text1"/>
            </w:tcBorders>
            <w:vAlign w:val="center"/>
          </w:tcPr>
          <w:p w:rsidR="002415AB" w:rsidRPr="002415AB" w:rsidRDefault="002415AB" w:rsidP="002415A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r>
      <w:tr w:rsidR="002415AB" w:rsidRPr="002415AB" w:rsidTr="00241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6" w:type="pct"/>
            <w:tcBorders>
              <w:top w:val="single" w:sz="4" w:space="0" w:color="000000" w:themeColor="text1"/>
              <w:bottom w:val="nil"/>
            </w:tcBorders>
            <w:noWrap/>
            <w:vAlign w:val="center"/>
            <w:hideMark/>
          </w:tcPr>
          <w:p w:rsidR="002415AB" w:rsidRPr="002415AB" w:rsidRDefault="002415AB" w:rsidP="002415AB">
            <w:pPr>
              <w:spacing w:line="240" w:lineRule="auto"/>
              <w:jc w:val="center"/>
              <w:rPr>
                <w:rFonts w:ascii="Times New Roman" w:eastAsia="Times New Roman" w:hAnsi="Times New Roman" w:cs="Times New Roman"/>
                <w:color w:val="000000"/>
                <w:sz w:val="16"/>
                <w:szCs w:val="16"/>
              </w:rPr>
            </w:pPr>
          </w:p>
        </w:tc>
        <w:tc>
          <w:tcPr>
            <w:tcW w:w="743" w:type="pct"/>
            <w:tcBorders>
              <w:top w:val="single" w:sz="4" w:space="0" w:color="000000" w:themeColor="text1"/>
              <w:bottom w:val="nil"/>
            </w:tcBorders>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16" w:type="pct"/>
            <w:tcBorders>
              <w:top w:val="single" w:sz="4" w:space="0" w:color="000000" w:themeColor="text1"/>
              <w:bottom w:val="nil"/>
            </w:tcBorders>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Type 3</w:t>
            </w:r>
          </w:p>
        </w:tc>
        <w:tc>
          <w:tcPr>
            <w:tcW w:w="561" w:type="pct"/>
            <w:tcBorders>
              <w:top w:val="single" w:sz="4" w:space="0" w:color="000000" w:themeColor="text1"/>
              <w:bottom w:val="nil"/>
            </w:tcBorders>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98·5%</w:t>
            </w:r>
          </w:p>
        </w:tc>
        <w:tc>
          <w:tcPr>
            <w:tcW w:w="551" w:type="pct"/>
            <w:tcBorders>
              <w:top w:val="single" w:sz="4" w:space="0" w:color="000000" w:themeColor="text1"/>
              <w:bottom w:val="nil"/>
            </w:tcBorders>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2415AB">
              <w:rPr>
                <w:rFonts w:ascii="Times New Roman" w:eastAsia="Times New Roman" w:hAnsi="Times New Roman" w:cs="Times New Roman"/>
                <w:color w:val="000000"/>
                <w:sz w:val="16"/>
                <w:szCs w:val="16"/>
              </w:rPr>
              <w:t>96·3-99·6%</w:t>
            </w:r>
          </w:p>
        </w:tc>
        <w:tc>
          <w:tcPr>
            <w:tcW w:w="615" w:type="pct"/>
            <w:tcBorders>
              <w:top w:val="single" w:sz="4" w:space="0" w:color="000000" w:themeColor="text1"/>
              <w:bottom w:val="nil"/>
            </w:tcBorders>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498" w:type="pct"/>
            <w:tcBorders>
              <w:top w:val="single" w:sz="4" w:space="0" w:color="000000" w:themeColor="text1"/>
              <w:bottom w:val="nil"/>
            </w:tcBorders>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702" w:type="pct"/>
            <w:tcBorders>
              <w:top w:val="single" w:sz="4" w:space="0" w:color="000000" w:themeColor="text1"/>
              <w:bottom w:val="nil"/>
            </w:tcBorders>
            <w:noWrap/>
            <w:vAlign w:val="center"/>
            <w:hideMark/>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68" w:type="pct"/>
            <w:tcBorders>
              <w:top w:val="single" w:sz="4" w:space="0" w:color="000000" w:themeColor="text1"/>
              <w:bottom w:val="nil"/>
            </w:tcBorders>
            <w:vAlign w:val="center"/>
          </w:tcPr>
          <w:p w:rsidR="002415AB" w:rsidRPr="002415AB" w:rsidRDefault="002415AB" w:rsidP="002415A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bl>
    <w:p w:rsidR="00061ECF" w:rsidRPr="004C5C40" w:rsidRDefault="00061ECF" w:rsidP="005A41E6">
      <w:pPr>
        <w:jc w:val="both"/>
        <w:rPr>
          <w:rFonts w:ascii="Times New Roman" w:hAnsi="Times New Roman" w:cs="Times New Roman"/>
          <w:color w:val="000000" w:themeColor="text1"/>
          <w:sz w:val="24"/>
          <w:szCs w:val="24"/>
          <w:lang w:val="en-US"/>
        </w:rPr>
      </w:pPr>
    </w:p>
    <w:p w:rsidR="00061ECF" w:rsidRDefault="00061ECF" w:rsidP="005A41E6">
      <w:pPr>
        <w:jc w:val="both"/>
        <w:rPr>
          <w:rFonts w:ascii="Times New Roman" w:hAnsi="Times New Roman" w:cs="Times New Roman"/>
          <w:color w:val="000000" w:themeColor="text1"/>
          <w:sz w:val="24"/>
          <w:szCs w:val="24"/>
          <w:lang w:val="en-US"/>
        </w:rPr>
      </w:pPr>
    </w:p>
    <w:p w:rsidR="002415AB" w:rsidRPr="004C5C40" w:rsidRDefault="002415AB" w:rsidP="005A41E6">
      <w:pPr>
        <w:jc w:val="both"/>
        <w:rPr>
          <w:rFonts w:ascii="Times New Roman" w:hAnsi="Times New Roman" w:cs="Times New Roman"/>
          <w:color w:val="000000" w:themeColor="text1"/>
          <w:sz w:val="24"/>
          <w:szCs w:val="24"/>
          <w:lang w:val="en-US"/>
        </w:rPr>
      </w:pPr>
      <w:bookmarkStart w:id="0" w:name="_GoBack"/>
      <w:bookmarkEnd w:id="0"/>
    </w:p>
    <w:p w:rsidR="005A41E6" w:rsidRPr="004C5C40" w:rsidRDefault="005A41E6" w:rsidP="005A41E6">
      <w:pPr>
        <w:jc w:val="both"/>
        <w:rPr>
          <w:rFonts w:ascii="Times New Roman" w:hAnsi="Times New Roman" w:cs="Times New Roman"/>
          <w:b/>
          <w:sz w:val="24"/>
          <w:szCs w:val="24"/>
          <w:lang w:val="en-US"/>
        </w:rPr>
      </w:pPr>
      <w:r w:rsidRPr="004C5C40">
        <w:rPr>
          <w:rFonts w:ascii="Times New Roman" w:hAnsi="Times New Roman" w:cs="Times New Roman"/>
          <w:b/>
          <w:color w:val="000000" w:themeColor="text1"/>
          <w:sz w:val="24"/>
          <w:szCs w:val="24"/>
          <w:lang w:val="en-US"/>
        </w:rPr>
        <w:lastRenderedPageBreak/>
        <w:t xml:space="preserve">Supplementary </w:t>
      </w:r>
      <w:r w:rsidR="00061ECF" w:rsidRPr="004C5C40">
        <w:rPr>
          <w:rFonts w:ascii="Times New Roman" w:hAnsi="Times New Roman" w:cs="Times New Roman"/>
          <w:b/>
          <w:color w:val="000000" w:themeColor="text1"/>
          <w:sz w:val="24"/>
          <w:szCs w:val="24"/>
          <w:lang w:val="en-US"/>
        </w:rPr>
        <w:t>T</w:t>
      </w:r>
      <w:r w:rsidRPr="004C5C40">
        <w:rPr>
          <w:rFonts w:ascii="Times New Roman" w:hAnsi="Times New Roman" w:cs="Times New Roman"/>
          <w:b/>
          <w:color w:val="000000" w:themeColor="text1"/>
          <w:sz w:val="24"/>
          <w:szCs w:val="24"/>
          <w:lang w:val="en-US"/>
        </w:rPr>
        <w:t xml:space="preserve">ext: </w:t>
      </w:r>
      <w:r w:rsidRPr="004C5C40">
        <w:rPr>
          <w:rFonts w:ascii="Times New Roman" w:hAnsi="Times New Roman" w:cs="Times New Roman"/>
          <w:b/>
          <w:sz w:val="24"/>
          <w:szCs w:val="24"/>
          <w:lang w:val="en-US"/>
        </w:rPr>
        <w:t xml:space="preserve">Estimation of poliovirus </w:t>
      </w:r>
      <w:r w:rsidR="00575D50">
        <w:rPr>
          <w:rFonts w:ascii="Times New Roman" w:hAnsi="Times New Roman" w:cs="Times New Roman"/>
          <w:b/>
          <w:sz w:val="24"/>
          <w:szCs w:val="24"/>
          <w:lang w:val="en-US"/>
        </w:rPr>
        <w:t>efficacy/</w:t>
      </w:r>
      <w:r w:rsidRPr="004C5C40">
        <w:rPr>
          <w:rFonts w:ascii="Times New Roman" w:hAnsi="Times New Roman" w:cs="Times New Roman"/>
          <w:b/>
          <w:sz w:val="24"/>
          <w:szCs w:val="24"/>
          <w:lang w:val="en-US"/>
        </w:rPr>
        <w:t>effectiveness</w:t>
      </w:r>
    </w:p>
    <w:p w:rsidR="00061ECF" w:rsidRPr="004C5C40" w:rsidRDefault="00061ECF" w:rsidP="005A41E6">
      <w:pPr>
        <w:jc w:val="both"/>
        <w:rPr>
          <w:rFonts w:ascii="Times New Roman" w:hAnsi="Times New Roman" w:cs="Times New Roman"/>
          <w:sz w:val="24"/>
          <w:szCs w:val="24"/>
          <w:lang w:val="en-US"/>
        </w:rPr>
      </w:pPr>
    </w:p>
    <w:p w:rsidR="005A41E6" w:rsidRPr="002415AB" w:rsidRDefault="005A41E6" w:rsidP="005A41E6">
      <w:pPr>
        <w:jc w:val="both"/>
        <w:rPr>
          <w:rFonts w:ascii="Times New Roman" w:hAnsi="Times New Roman" w:cs="Times New Roman"/>
          <w:sz w:val="20"/>
          <w:szCs w:val="24"/>
          <w:lang w:val="en-US"/>
        </w:rPr>
      </w:pPr>
      <w:r w:rsidRPr="002415AB">
        <w:rPr>
          <w:rFonts w:ascii="Times New Roman" w:hAnsi="Times New Roman" w:cs="Times New Roman"/>
          <w:sz w:val="20"/>
          <w:szCs w:val="24"/>
          <w:lang w:val="en-US"/>
        </w:rPr>
        <w:t xml:space="preserve">Using vaccine </w:t>
      </w:r>
      <w:r w:rsidR="00575D50" w:rsidRPr="002415AB">
        <w:rPr>
          <w:rFonts w:ascii="Times New Roman" w:hAnsi="Times New Roman" w:cs="Times New Roman"/>
          <w:sz w:val="20"/>
          <w:szCs w:val="24"/>
          <w:lang w:val="en-US"/>
        </w:rPr>
        <w:t>efficacy/</w:t>
      </w:r>
      <w:r w:rsidRPr="002415AB">
        <w:rPr>
          <w:rFonts w:ascii="Times New Roman" w:hAnsi="Times New Roman" w:cs="Times New Roman"/>
          <w:sz w:val="20"/>
          <w:szCs w:val="24"/>
          <w:lang w:val="en-US"/>
        </w:rPr>
        <w:t>effectiveness</w:t>
      </w:r>
      <w:r w:rsidR="00575D50" w:rsidRPr="002415AB">
        <w:rPr>
          <w:rFonts w:ascii="Times New Roman" w:hAnsi="Times New Roman" w:cs="Times New Roman"/>
          <w:sz w:val="20"/>
          <w:szCs w:val="24"/>
          <w:lang w:val="en-US"/>
        </w:rPr>
        <w:t xml:space="preserve"> (VE)</w:t>
      </w:r>
      <w:r w:rsidRPr="002415AB">
        <w:rPr>
          <w:rFonts w:ascii="Times New Roman" w:hAnsi="Times New Roman" w:cs="Times New Roman"/>
          <w:sz w:val="20"/>
          <w:szCs w:val="24"/>
          <w:lang w:val="en-US"/>
        </w:rPr>
        <w:t xml:space="preserve"> values from our literature review, we estimated a beta distribution for poliovirus </w:t>
      </w:r>
      <w:r w:rsidR="00575D50" w:rsidRPr="002415AB">
        <w:rPr>
          <w:rFonts w:ascii="Times New Roman" w:hAnsi="Times New Roman" w:cs="Times New Roman"/>
          <w:sz w:val="20"/>
          <w:szCs w:val="24"/>
          <w:lang w:val="en-US"/>
        </w:rPr>
        <w:t>VE</w:t>
      </w:r>
      <w:r w:rsidRPr="002415AB">
        <w:rPr>
          <w:rFonts w:ascii="Times New Roman" w:hAnsi="Times New Roman" w:cs="Times New Roman"/>
          <w:sz w:val="20"/>
          <w:szCs w:val="24"/>
          <w:lang w:val="en-US"/>
        </w:rPr>
        <w:t xml:space="preserve"> (both IPV and </w:t>
      </w:r>
      <w:proofErr w:type="spellStart"/>
      <w:r w:rsidRPr="002415AB">
        <w:rPr>
          <w:rFonts w:ascii="Times New Roman" w:hAnsi="Times New Roman" w:cs="Times New Roman"/>
          <w:sz w:val="20"/>
          <w:szCs w:val="24"/>
          <w:lang w:val="en-US"/>
        </w:rPr>
        <w:t>bOPV</w:t>
      </w:r>
      <w:proofErr w:type="spellEnd"/>
      <w:r w:rsidRPr="002415AB">
        <w:rPr>
          <w:rFonts w:ascii="Times New Roman" w:hAnsi="Times New Roman" w:cs="Times New Roman"/>
          <w:sz w:val="20"/>
          <w:szCs w:val="24"/>
          <w:lang w:val="en-US"/>
        </w:rPr>
        <w:t>), where the distribution is:</w:t>
      </w:r>
    </w:p>
    <w:p w:rsidR="005A41E6" w:rsidRPr="002415AB" w:rsidRDefault="005A41E6" w:rsidP="005A41E6">
      <w:pPr>
        <w:jc w:val="both"/>
        <w:rPr>
          <w:rFonts w:ascii="Times New Roman" w:hAnsi="Times New Roman" w:cs="Times New Roman"/>
          <w:sz w:val="20"/>
          <w:szCs w:val="24"/>
          <w:lang w:val="en-US"/>
        </w:rPr>
      </w:pPr>
      <m:oMathPara>
        <m:oMath>
          <m:r>
            <w:rPr>
              <w:rFonts w:ascii="Cambria Math" w:hAnsi="Cambria Math" w:cs="Times New Roman"/>
              <w:sz w:val="20"/>
              <w:szCs w:val="24"/>
            </w:rPr>
            <m:t>f</m:t>
          </m:r>
          <m:d>
            <m:dPr>
              <m:ctrlPr>
                <w:rPr>
                  <w:rFonts w:ascii="Cambria Math" w:hAnsi="Cambria Math" w:cs="Times New Roman"/>
                  <w:sz w:val="20"/>
                  <w:szCs w:val="24"/>
                </w:rPr>
              </m:ctrlPr>
            </m:dPr>
            <m:e>
              <m:r>
                <w:rPr>
                  <w:rFonts w:ascii="Cambria Math" w:hAnsi="Cambria Math" w:cs="Times New Roman"/>
                  <w:sz w:val="20"/>
                  <w:szCs w:val="24"/>
                </w:rPr>
                <m:t>x</m:t>
              </m:r>
            </m:e>
            <m:e>
              <m:r>
                <w:rPr>
                  <w:rFonts w:ascii="Cambria Math" w:hAnsi="Cambria Math" w:cs="Times New Roman"/>
                  <w:sz w:val="20"/>
                  <w:szCs w:val="24"/>
                </w:rPr>
                <m:t>α,β</m:t>
              </m:r>
            </m:e>
          </m:d>
          <m:r>
            <w:rPr>
              <w:rFonts w:ascii="Cambria Math" w:hAnsi="Cambria Math" w:cs="Times New Roman"/>
              <w:sz w:val="20"/>
              <w:szCs w:val="24"/>
            </w:rPr>
            <m:t> = </m:t>
          </m:r>
          <m:f>
            <m:fPr>
              <m:ctrlPr>
                <w:rPr>
                  <w:rFonts w:ascii="Cambria Math" w:hAnsi="Cambria Math" w:cs="Times New Roman"/>
                  <w:sz w:val="20"/>
                  <w:szCs w:val="24"/>
                </w:rPr>
              </m:ctrlPr>
            </m:fPr>
            <m:num>
              <m:sSup>
                <m:sSupPr>
                  <m:ctrlPr>
                    <w:rPr>
                      <w:rFonts w:ascii="Cambria Math" w:hAnsi="Cambria Math" w:cs="Times New Roman"/>
                      <w:sz w:val="20"/>
                      <w:szCs w:val="24"/>
                    </w:rPr>
                  </m:ctrlPr>
                </m:sSupPr>
                <m:e>
                  <m:r>
                    <w:rPr>
                      <w:rFonts w:ascii="Cambria Math" w:hAnsi="Cambria Math" w:cs="Times New Roman"/>
                      <w:sz w:val="20"/>
                      <w:szCs w:val="24"/>
                    </w:rPr>
                    <m:t>x</m:t>
                  </m:r>
                </m:e>
                <m:sup>
                  <m:r>
                    <w:rPr>
                      <w:rFonts w:ascii="Cambria Math" w:hAnsi="Cambria Math" w:cs="Times New Roman"/>
                      <w:sz w:val="20"/>
                      <w:szCs w:val="24"/>
                    </w:rPr>
                    <m:t>α-1</m:t>
                  </m:r>
                </m:sup>
              </m:sSup>
              <m:sSup>
                <m:sSupPr>
                  <m:ctrlPr>
                    <w:rPr>
                      <w:rFonts w:ascii="Cambria Math" w:hAnsi="Cambria Math" w:cs="Times New Roman"/>
                      <w:sz w:val="20"/>
                      <w:szCs w:val="24"/>
                    </w:rPr>
                  </m:ctrlPr>
                </m:sSupPr>
                <m:e>
                  <m:d>
                    <m:dPr>
                      <m:ctrlPr>
                        <w:rPr>
                          <w:rFonts w:ascii="Cambria Math" w:hAnsi="Cambria Math" w:cs="Times New Roman"/>
                          <w:sz w:val="20"/>
                          <w:szCs w:val="24"/>
                        </w:rPr>
                      </m:ctrlPr>
                    </m:dPr>
                    <m:e>
                      <m:r>
                        <w:rPr>
                          <w:rFonts w:ascii="Cambria Math" w:hAnsi="Cambria Math" w:cs="Times New Roman"/>
                          <w:sz w:val="20"/>
                          <w:szCs w:val="24"/>
                        </w:rPr>
                        <m:t>1-x</m:t>
                      </m:r>
                    </m:e>
                  </m:d>
                </m:e>
                <m:sup>
                  <m:r>
                    <w:rPr>
                      <w:rFonts w:ascii="Cambria Math" w:hAnsi="Cambria Math" w:cs="Times New Roman"/>
                      <w:sz w:val="20"/>
                      <w:szCs w:val="24"/>
                    </w:rPr>
                    <m:t>β-1</m:t>
                  </m:r>
                </m:sup>
              </m:sSup>
            </m:num>
            <m:den>
              <m:f>
                <m:fPr>
                  <m:ctrlPr>
                    <w:rPr>
                      <w:rFonts w:ascii="Cambria Math" w:hAnsi="Cambria Math" w:cs="Times New Roman"/>
                      <w:sz w:val="20"/>
                      <w:szCs w:val="24"/>
                    </w:rPr>
                  </m:ctrlPr>
                </m:fPr>
                <m:num>
                  <m:r>
                    <m:rPr>
                      <m:sty m:val="p"/>
                    </m:rPr>
                    <w:rPr>
                      <w:rFonts w:ascii="Cambria Math" w:hAnsi="Cambria Math" w:cs="Times New Roman"/>
                      <w:sz w:val="20"/>
                      <w:szCs w:val="24"/>
                    </w:rPr>
                    <m:t>Γ</m:t>
                  </m:r>
                  <m:d>
                    <m:dPr>
                      <m:ctrlPr>
                        <w:rPr>
                          <w:rFonts w:ascii="Cambria Math" w:hAnsi="Cambria Math" w:cs="Times New Roman"/>
                          <w:sz w:val="20"/>
                          <w:szCs w:val="24"/>
                        </w:rPr>
                      </m:ctrlPr>
                    </m:dPr>
                    <m:e>
                      <m:r>
                        <w:rPr>
                          <w:rFonts w:ascii="Cambria Math" w:hAnsi="Cambria Math" w:cs="Times New Roman"/>
                          <w:sz w:val="20"/>
                          <w:szCs w:val="24"/>
                        </w:rPr>
                        <m:t>α</m:t>
                      </m:r>
                    </m:e>
                  </m:d>
                  <m:r>
                    <m:rPr>
                      <m:sty m:val="p"/>
                    </m:rPr>
                    <w:rPr>
                      <w:rFonts w:ascii="Cambria Math" w:hAnsi="Cambria Math" w:cs="Times New Roman"/>
                      <w:sz w:val="20"/>
                      <w:szCs w:val="24"/>
                    </w:rPr>
                    <m:t>Γ</m:t>
                  </m:r>
                  <m:d>
                    <m:dPr>
                      <m:ctrlPr>
                        <w:rPr>
                          <w:rFonts w:ascii="Cambria Math" w:hAnsi="Cambria Math" w:cs="Times New Roman"/>
                          <w:sz w:val="20"/>
                          <w:szCs w:val="24"/>
                        </w:rPr>
                      </m:ctrlPr>
                    </m:dPr>
                    <m:e>
                      <m:r>
                        <w:rPr>
                          <w:rFonts w:ascii="Cambria Math" w:hAnsi="Cambria Math" w:cs="Times New Roman"/>
                          <w:sz w:val="20"/>
                          <w:szCs w:val="24"/>
                        </w:rPr>
                        <m:t>β</m:t>
                      </m:r>
                    </m:e>
                  </m:d>
                </m:num>
                <m:den>
                  <m:r>
                    <m:rPr>
                      <m:sty m:val="p"/>
                    </m:rPr>
                    <w:rPr>
                      <w:rFonts w:ascii="Cambria Math" w:hAnsi="Cambria Math" w:cs="Times New Roman"/>
                      <w:sz w:val="20"/>
                      <w:szCs w:val="24"/>
                    </w:rPr>
                    <m:t>Γ</m:t>
                  </m:r>
                  <m:d>
                    <m:dPr>
                      <m:ctrlPr>
                        <w:rPr>
                          <w:rFonts w:ascii="Cambria Math" w:hAnsi="Cambria Math" w:cs="Times New Roman"/>
                          <w:sz w:val="20"/>
                          <w:szCs w:val="24"/>
                        </w:rPr>
                      </m:ctrlPr>
                    </m:dPr>
                    <m:e>
                      <m:r>
                        <w:rPr>
                          <w:rFonts w:ascii="Cambria Math" w:hAnsi="Cambria Math" w:cs="Times New Roman"/>
                          <w:sz w:val="20"/>
                          <w:szCs w:val="24"/>
                        </w:rPr>
                        <m:t>α+β</m:t>
                      </m:r>
                    </m:e>
                  </m:d>
                </m:den>
              </m:f>
            </m:den>
          </m:f>
        </m:oMath>
      </m:oMathPara>
    </w:p>
    <w:p w:rsidR="005A41E6" w:rsidRPr="002415AB" w:rsidRDefault="005A41E6" w:rsidP="005A41E6">
      <w:pPr>
        <w:jc w:val="both"/>
        <w:rPr>
          <w:rFonts w:ascii="Times New Roman" w:hAnsi="Times New Roman" w:cs="Times New Roman"/>
          <w:sz w:val="20"/>
          <w:szCs w:val="24"/>
          <w:lang w:val="en-US"/>
        </w:rPr>
      </w:pPr>
    </w:p>
    <w:p w:rsidR="005A41E6" w:rsidRPr="002415AB" w:rsidRDefault="00061ECF" w:rsidP="005A41E6">
      <w:pPr>
        <w:jc w:val="both"/>
        <w:rPr>
          <w:rFonts w:ascii="Times New Roman" w:hAnsi="Times New Roman" w:cs="Times New Roman"/>
          <w:sz w:val="20"/>
          <w:szCs w:val="24"/>
          <w:lang w:val="en-US"/>
        </w:rPr>
      </w:pPr>
      <w:r w:rsidRPr="002415AB">
        <w:rPr>
          <w:rFonts w:ascii="Times New Roman" w:hAnsi="Times New Roman" w:cs="Times New Roman"/>
          <w:sz w:val="20"/>
          <w:szCs w:val="24"/>
          <w:lang w:val="en-US"/>
        </w:rPr>
        <w:t>w</w:t>
      </w:r>
      <w:r w:rsidR="005A41E6" w:rsidRPr="002415AB">
        <w:rPr>
          <w:rFonts w:ascii="Times New Roman" w:hAnsi="Times New Roman" w:cs="Times New Roman"/>
          <w:sz w:val="20"/>
          <w:szCs w:val="24"/>
          <w:lang w:val="en-US"/>
        </w:rPr>
        <w:t xml:space="preserve">here </w:t>
      </w:r>
      <m:oMath>
        <m:r>
          <m:rPr>
            <m:sty m:val="p"/>
          </m:rPr>
          <w:rPr>
            <w:rFonts w:ascii="Cambria Math" w:hAnsi="Cambria Math" w:cs="Times New Roman"/>
            <w:sz w:val="20"/>
            <w:szCs w:val="24"/>
          </w:rPr>
          <m:t>Γ</m:t>
        </m:r>
      </m:oMath>
      <w:r w:rsidR="005A41E6" w:rsidRPr="002415AB">
        <w:rPr>
          <w:rFonts w:ascii="Times New Roman" w:hAnsi="Times New Roman" w:cs="Times New Roman"/>
          <w:sz w:val="20"/>
          <w:szCs w:val="24"/>
          <w:lang w:val="en-US"/>
        </w:rPr>
        <w:t xml:space="preserve"> is the Gamma function, and </w:t>
      </w:r>
      <m:oMath>
        <m:r>
          <w:rPr>
            <w:rFonts w:ascii="Cambria Math" w:hAnsi="Cambria Math" w:cs="Times New Roman"/>
            <w:sz w:val="20"/>
            <w:szCs w:val="24"/>
          </w:rPr>
          <m:t>α</m:t>
        </m:r>
      </m:oMath>
      <w:r w:rsidR="005A41E6" w:rsidRPr="002415AB">
        <w:rPr>
          <w:rFonts w:ascii="Times New Roman" w:hAnsi="Times New Roman" w:cs="Times New Roman"/>
          <w:sz w:val="20"/>
          <w:szCs w:val="24"/>
          <w:lang w:val="en-US"/>
        </w:rPr>
        <w:t xml:space="preserve"> and </w:t>
      </w:r>
      <m:oMath>
        <m:r>
          <w:rPr>
            <w:rFonts w:ascii="Cambria Math" w:hAnsi="Cambria Math" w:cs="Times New Roman"/>
            <w:sz w:val="20"/>
            <w:szCs w:val="24"/>
          </w:rPr>
          <m:t>β</m:t>
        </m:r>
      </m:oMath>
      <w:r w:rsidR="005A41E6" w:rsidRPr="002415AB">
        <w:rPr>
          <w:rFonts w:ascii="Times New Roman" w:hAnsi="Times New Roman" w:cs="Times New Roman"/>
          <w:sz w:val="20"/>
          <w:szCs w:val="24"/>
          <w:lang w:val="en-US"/>
        </w:rPr>
        <w:t xml:space="preserve"> are as </w:t>
      </w:r>
      <w:proofErr w:type="gramStart"/>
      <w:r w:rsidR="005A41E6" w:rsidRPr="002415AB">
        <w:rPr>
          <w:rFonts w:ascii="Times New Roman" w:hAnsi="Times New Roman" w:cs="Times New Roman"/>
          <w:sz w:val="20"/>
          <w:szCs w:val="24"/>
          <w:lang w:val="en-US"/>
        </w:rPr>
        <w:t>follow:</w:t>
      </w:r>
      <w:proofErr w:type="gramEnd"/>
    </w:p>
    <w:p w:rsidR="005A41E6" w:rsidRPr="002415AB" w:rsidRDefault="005A41E6" w:rsidP="005A41E6">
      <w:pPr>
        <w:jc w:val="center"/>
        <w:rPr>
          <w:rFonts w:ascii="Times New Roman" w:hAnsi="Times New Roman" w:cs="Times New Roman"/>
          <w:sz w:val="20"/>
          <w:szCs w:val="24"/>
          <w:lang w:val="en-US"/>
        </w:rPr>
      </w:pPr>
      <m:oMath>
        <m:r>
          <w:rPr>
            <w:rFonts w:ascii="Cambria Math" w:hAnsi="Cambria Math" w:cs="Times New Roman"/>
            <w:sz w:val="20"/>
            <w:szCs w:val="24"/>
          </w:rPr>
          <m:t>α = </m:t>
        </m:r>
        <m:d>
          <m:dPr>
            <m:ctrlPr>
              <w:rPr>
                <w:rFonts w:ascii="Cambria Math" w:hAnsi="Cambria Math" w:cs="Times New Roman"/>
                <w:sz w:val="20"/>
                <w:szCs w:val="24"/>
              </w:rPr>
            </m:ctrlPr>
          </m:dPr>
          <m:e>
            <m:f>
              <m:fPr>
                <m:ctrlPr>
                  <w:rPr>
                    <w:rFonts w:ascii="Cambria Math" w:hAnsi="Cambria Math" w:cs="Times New Roman"/>
                    <w:sz w:val="20"/>
                    <w:szCs w:val="24"/>
                  </w:rPr>
                </m:ctrlPr>
              </m:fPr>
              <m:num>
                <m:r>
                  <w:rPr>
                    <w:rFonts w:ascii="Cambria Math" w:hAnsi="Cambria Math" w:cs="Times New Roman"/>
                    <w:sz w:val="20"/>
                    <w:szCs w:val="24"/>
                  </w:rPr>
                  <m:t>1-μ</m:t>
                </m:r>
              </m:num>
              <m:den>
                <m:sSup>
                  <m:sSupPr>
                    <m:ctrlPr>
                      <w:rPr>
                        <w:rFonts w:ascii="Cambria Math" w:hAnsi="Cambria Math" w:cs="Times New Roman"/>
                        <w:sz w:val="20"/>
                        <w:szCs w:val="24"/>
                      </w:rPr>
                    </m:ctrlPr>
                  </m:sSupPr>
                  <m:e>
                    <m:r>
                      <w:rPr>
                        <w:rFonts w:ascii="Cambria Math" w:hAnsi="Cambria Math" w:cs="Times New Roman"/>
                        <w:sz w:val="20"/>
                        <w:szCs w:val="24"/>
                      </w:rPr>
                      <m:t>σ</m:t>
                    </m:r>
                  </m:e>
                  <m:sup>
                    <m:r>
                      <w:rPr>
                        <w:rFonts w:ascii="Cambria Math" w:hAnsi="Cambria Math" w:cs="Times New Roman"/>
                        <w:sz w:val="20"/>
                        <w:szCs w:val="24"/>
                      </w:rPr>
                      <m:t>2</m:t>
                    </m:r>
                  </m:sup>
                </m:sSup>
              </m:den>
            </m:f>
            <m:r>
              <w:rPr>
                <w:rFonts w:ascii="Cambria Math" w:hAnsi="Cambria Math" w:cs="Times New Roman"/>
                <w:sz w:val="20"/>
                <w:szCs w:val="24"/>
              </w:rPr>
              <m:t>-</m:t>
            </m:r>
            <m:f>
              <m:fPr>
                <m:ctrlPr>
                  <w:rPr>
                    <w:rFonts w:ascii="Cambria Math" w:hAnsi="Cambria Math" w:cs="Times New Roman"/>
                    <w:sz w:val="20"/>
                    <w:szCs w:val="24"/>
                  </w:rPr>
                </m:ctrlPr>
              </m:fPr>
              <m:num>
                <m:r>
                  <w:rPr>
                    <w:rFonts w:ascii="Cambria Math" w:hAnsi="Cambria Math" w:cs="Times New Roman"/>
                    <w:sz w:val="20"/>
                    <w:szCs w:val="24"/>
                  </w:rPr>
                  <m:t>1</m:t>
                </m:r>
              </m:num>
              <m:den>
                <m:r>
                  <w:rPr>
                    <w:rFonts w:ascii="Cambria Math" w:hAnsi="Cambria Math" w:cs="Times New Roman"/>
                    <w:sz w:val="20"/>
                    <w:szCs w:val="24"/>
                  </w:rPr>
                  <m:t>μ</m:t>
                </m:r>
              </m:den>
            </m:f>
          </m:e>
        </m:d>
        <m:sSup>
          <m:sSupPr>
            <m:ctrlPr>
              <w:rPr>
                <w:rFonts w:ascii="Cambria Math" w:hAnsi="Cambria Math" w:cs="Times New Roman"/>
                <w:sz w:val="20"/>
                <w:szCs w:val="24"/>
              </w:rPr>
            </m:ctrlPr>
          </m:sSupPr>
          <m:e>
            <m:r>
              <w:rPr>
                <w:rFonts w:ascii="Cambria Math" w:hAnsi="Cambria Math" w:cs="Times New Roman"/>
                <w:sz w:val="20"/>
                <w:szCs w:val="24"/>
              </w:rPr>
              <m:t>μ</m:t>
            </m:r>
          </m:e>
          <m:sup>
            <m:r>
              <w:rPr>
                <w:rFonts w:ascii="Cambria Math" w:hAnsi="Cambria Math" w:cs="Times New Roman"/>
                <w:sz w:val="20"/>
                <w:szCs w:val="24"/>
              </w:rPr>
              <m:t>2</m:t>
            </m:r>
          </m:sup>
        </m:sSup>
      </m:oMath>
      <w:r w:rsidRPr="002415AB">
        <w:rPr>
          <w:rFonts w:ascii="Times New Roman" w:hAnsi="Times New Roman" w:cs="Times New Roman"/>
          <w:sz w:val="20"/>
          <w:szCs w:val="24"/>
          <w:lang w:val="en-US"/>
        </w:rPr>
        <w:t>, and</w:t>
      </w:r>
    </w:p>
    <w:p w:rsidR="005A41E6" w:rsidRPr="002415AB" w:rsidRDefault="005A41E6" w:rsidP="005A41E6">
      <w:pPr>
        <w:jc w:val="center"/>
        <w:rPr>
          <w:rFonts w:ascii="Times New Roman" w:hAnsi="Times New Roman" w:cs="Times New Roman"/>
          <w:sz w:val="20"/>
          <w:szCs w:val="24"/>
          <w:lang w:val="en-US"/>
        </w:rPr>
      </w:pPr>
      <m:oMathPara>
        <m:oMath>
          <m:r>
            <w:rPr>
              <w:rFonts w:ascii="Cambria Math" w:hAnsi="Cambria Math" w:cs="Times New Roman"/>
              <w:sz w:val="20"/>
              <w:szCs w:val="24"/>
            </w:rPr>
            <m:t>β = α</m:t>
          </m:r>
          <m:d>
            <m:dPr>
              <m:ctrlPr>
                <w:rPr>
                  <w:rFonts w:ascii="Cambria Math" w:hAnsi="Cambria Math" w:cs="Times New Roman"/>
                  <w:sz w:val="20"/>
                  <w:szCs w:val="24"/>
                </w:rPr>
              </m:ctrlPr>
            </m:dPr>
            <m:e>
              <m:f>
                <m:fPr>
                  <m:ctrlPr>
                    <w:rPr>
                      <w:rFonts w:ascii="Cambria Math" w:hAnsi="Cambria Math" w:cs="Times New Roman"/>
                      <w:sz w:val="20"/>
                      <w:szCs w:val="24"/>
                    </w:rPr>
                  </m:ctrlPr>
                </m:fPr>
                <m:num>
                  <m:r>
                    <w:rPr>
                      <w:rFonts w:ascii="Cambria Math" w:hAnsi="Cambria Math" w:cs="Times New Roman"/>
                      <w:sz w:val="20"/>
                      <w:szCs w:val="24"/>
                    </w:rPr>
                    <m:t>1</m:t>
                  </m:r>
                </m:num>
                <m:den>
                  <m:r>
                    <w:rPr>
                      <w:rFonts w:ascii="Cambria Math" w:hAnsi="Cambria Math" w:cs="Times New Roman"/>
                      <w:sz w:val="20"/>
                      <w:szCs w:val="24"/>
                    </w:rPr>
                    <m:t>μ</m:t>
                  </m:r>
                </m:den>
              </m:f>
              <m:r>
                <w:rPr>
                  <w:rFonts w:ascii="Cambria Math" w:hAnsi="Cambria Math" w:cs="Times New Roman"/>
                  <w:sz w:val="20"/>
                  <w:szCs w:val="24"/>
                </w:rPr>
                <m:t>-1</m:t>
              </m:r>
            </m:e>
          </m:d>
        </m:oMath>
      </m:oMathPara>
    </w:p>
    <w:p w:rsidR="0036588E" w:rsidRPr="002415AB" w:rsidRDefault="0036588E">
      <w:pPr>
        <w:rPr>
          <w:rFonts w:ascii="Times New Roman" w:hAnsi="Times New Roman" w:cs="Times New Roman"/>
          <w:sz w:val="20"/>
          <w:szCs w:val="24"/>
        </w:rPr>
      </w:pPr>
    </w:p>
    <w:sectPr w:rsidR="0036588E" w:rsidRPr="002415AB" w:rsidSect="005A41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ingFang TC">
    <w:altName w:val="Microsoft JhengHei"/>
    <w:charset w:val="88"/>
    <w:family w:val="swiss"/>
    <w:pitch w:val="variable"/>
    <w:sig w:usb0="A00002FF" w:usb1="7ACFFDFB" w:usb2="00000017"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319ED"/>
    <w:multiLevelType w:val="hybridMultilevel"/>
    <w:tmpl w:val="34B8EEC4"/>
    <w:lvl w:ilvl="0" w:tplc="CC60FBB6">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2373F"/>
    <w:multiLevelType w:val="hybridMultilevel"/>
    <w:tmpl w:val="22E8A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D1C32"/>
    <w:multiLevelType w:val="hybridMultilevel"/>
    <w:tmpl w:val="6E66E1A6"/>
    <w:lvl w:ilvl="0" w:tplc="11B24564">
      <w:start w:val="3"/>
      <w:numFmt w:val="bullet"/>
      <w:lvlText w:val=""/>
      <w:lvlJc w:val="left"/>
      <w:pPr>
        <w:ind w:left="720" w:hanging="360"/>
      </w:pPr>
      <w:rPr>
        <w:rFonts w:ascii="Symbol" w:eastAsia="SimSun" w:hAnsi="Symbol" w:cs="Aria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624123B0"/>
    <w:multiLevelType w:val="hybridMultilevel"/>
    <w:tmpl w:val="3538294A"/>
    <w:lvl w:ilvl="0" w:tplc="65C8234A">
      <w:start w:val="1"/>
      <w:numFmt w:val="decimal"/>
      <w:lvlText w:val="%1."/>
      <w:lvlJc w:val="left"/>
      <w:pPr>
        <w:ind w:left="360" w:hanging="360"/>
      </w:pPr>
      <w:rPr>
        <w:rFonts w:ascii="Arial" w:eastAsiaTheme="minorEastAsia"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5109BB7"/>
    <w:multiLevelType w:val="hybridMultilevel"/>
    <w:tmpl w:val="FFFFFFFF"/>
    <w:lvl w:ilvl="0" w:tplc="CDB2C490">
      <w:start w:val="1"/>
      <w:numFmt w:val="decimal"/>
      <w:lvlText w:val="%1."/>
      <w:lvlJc w:val="left"/>
      <w:pPr>
        <w:ind w:left="720" w:hanging="360"/>
      </w:pPr>
    </w:lvl>
    <w:lvl w:ilvl="1" w:tplc="4DFC44DC">
      <w:start w:val="1"/>
      <w:numFmt w:val="lowerLetter"/>
      <w:lvlText w:val="%2."/>
      <w:lvlJc w:val="left"/>
      <w:pPr>
        <w:ind w:left="1440" w:hanging="360"/>
      </w:pPr>
    </w:lvl>
    <w:lvl w:ilvl="2" w:tplc="253CEDF0">
      <w:start w:val="1"/>
      <w:numFmt w:val="lowerRoman"/>
      <w:lvlText w:val="%3."/>
      <w:lvlJc w:val="right"/>
      <w:pPr>
        <w:ind w:left="2160" w:hanging="180"/>
      </w:pPr>
    </w:lvl>
    <w:lvl w:ilvl="3" w:tplc="AE64C3C6">
      <w:start w:val="1"/>
      <w:numFmt w:val="decimal"/>
      <w:lvlText w:val="%4."/>
      <w:lvlJc w:val="left"/>
      <w:pPr>
        <w:ind w:left="2880" w:hanging="360"/>
      </w:pPr>
    </w:lvl>
    <w:lvl w:ilvl="4" w:tplc="2F96F248">
      <w:start w:val="1"/>
      <w:numFmt w:val="lowerLetter"/>
      <w:lvlText w:val="%5."/>
      <w:lvlJc w:val="left"/>
      <w:pPr>
        <w:ind w:left="3600" w:hanging="360"/>
      </w:pPr>
    </w:lvl>
    <w:lvl w:ilvl="5" w:tplc="46FA52DA">
      <w:start w:val="1"/>
      <w:numFmt w:val="lowerRoman"/>
      <w:lvlText w:val="%6."/>
      <w:lvlJc w:val="right"/>
      <w:pPr>
        <w:ind w:left="4320" w:hanging="180"/>
      </w:pPr>
    </w:lvl>
    <w:lvl w:ilvl="6" w:tplc="DAA47A0C">
      <w:start w:val="1"/>
      <w:numFmt w:val="decimal"/>
      <w:lvlText w:val="%7."/>
      <w:lvlJc w:val="left"/>
      <w:pPr>
        <w:ind w:left="5040" w:hanging="360"/>
      </w:pPr>
    </w:lvl>
    <w:lvl w:ilvl="7" w:tplc="BD0E6E04">
      <w:start w:val="1"/>
      <w:numFmt w:val="lowerLetter"/>
      <w:lvlText w:val="%8."/>
      <w:lvlJc w:val="left"/>
      <w:pPr>
        <w:ind w:left="5760" w:hanging="360"/>
      </w:pPr>
    </w:lvl>
    <w:lvl w:ilvl="8" w:tplc="18F01736">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E6"/>
    <w:rsid w:val="00061ECF"/>
    <w:rsid w:val="0006691B"/>
    <w:rsid w:val="0018111E"/>
    <w:rsid w:val="002415AB"/>
    <w:rsid w:val="0036588E"/>
    <w:rsid w:val="004C5C40"/>
    <w:rsid w:val="00575D50"/>
    <w:rsid w:val="005A41E6"/>
    <w:rsid w:val="00C264C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DD55"/>
  <w15:chartTrackingRefBased/>
  <w15:docId w15:val="{0B309275-B18D-484B-BC4E-515B47C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MingLiU" w:eastAsia="PMingLiU" w:hAnsiTheme="minorHAnsi" w:cs="Times New Roman"/>
        <w:kern w:val="2"/>
        <w:sz w:val="24"/>
        <w:szCs w:val="24"/>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1E6"/>
    <w:pPr>
      <w:spacing w:after="0" w:line="276" w:lineRule="auto"/>
    </w:pPr>
    <w:rPr>
      <w:rFonts w:ascii="Arial" w:eastAsia="SimSun" w:hAnsi="Arial" w:cs="Arial"/>
      <w:kern w:val="0"/>
      <w:sz w:val="22"/>
      <w:szCs w:val="22"/>
      <w:lang w:val="en-GB"/>
    </w:rPr>
  </w:style>
  <w:style w:type="paragraph" w:styleId="Heading1">
    <w:name w:val="heading 1"/>
    <w:basedOn w:val="Normal"/>
    <w:next w:val="Normal"/>
    <w:link w:val="Heading1Char"/>
    <w:uiPriority w:val="9"/>
    <w:qFormat/>
    <w:rsid w:val="005A41E6"/>
    <w:pPr>
      <w:keepNext/>
      <w:keepLines/>
      <w:spacing w:before="40"/>
      <w:outlineLvl w:val="0"/>
    </w:pPr>
    <w:rPr>
      <w:b/>
      <w:sz w:val="24"/>
      <w:szCs w:val="40"/>
    </w:rPr>
  </w:style>
  <w:style w:type="paragraph" w:styleId="Heading2">
    <w:name w:val="heading 2"/>
    <w:basedOn w:val="Normal"/>
    <w:next w:val="Normal"/>
    <w:link w:val="Heading2Char"/>
    <w:uiPriority w:val="9"/>
    <w:semiHidden/>
    <w:unhideWhenUsed/>
    <w:qFormat/>
    <w:rsid w:val="005A41E6"/>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5A41E6"/>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5A41E6"/>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5A41E6"/>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5A41E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1E6"/>
    <w:rPr>
      <w:rFonts w:ascii="Arial" w:eastAsia="SimSun" w:hAnsi="Arial" w:cs="Arial"/>
      <w:b/>
      <w:kern w:val="0"/>
      <w:szCs w:val="40"/>
      <w:lang w:val="en-GB"/>
    </w:rPr>
  </w:style>
  <w:style w:type="character" w:customStyle="1" w:styleId="Heading2Char">
    <w:name w:val="Heading 2 Char"/>
    <w:basedOn w:val="DefaultParagraphFont"/>
    <w:link w:val="Heading2"/>
    <w:uiPriority w:val="9"/>
    <w:semiHidden/>
    <w:rsid w:val="005A41E6"/>
    <w:rPr>
      <w:rFonts w:ascii="Arial" w:eastAsia="SimSun" w:hAnsi="Arial" w:cs="Arial"/>
      <w:kern w:val="0"/>
      <w:sz w:val="32"/>
      <w:szCs w:val="32"/>
      <w:lang w:val="en-GB"/>
    </w:rPr>
  </w:style>
  <w:style w:type="character" w:customStyle="1" w:styleId="Heading3Char">
    <w:name w:val="Heading 3 Char"/>
    <w:basedOn w:val="DefaultParagraphFont"/>
    <w:link w:val="Heading3"/>
    <w:uiPriority w:val="9"/>
    <w:semiHidden/>
    <w:rsid w:val="005A41E6"/>
    <w:rPr>
      <w:rFonts w:ascii="Arial" w:eastAsia="SimSun" w:hAnsi="Arial" w:cs="Arial"/>
      <w:color w:val="434343"/>
      <w:kern w:val="0"/>
      <w:sz w:val="28"/>
      <w:szCs w:val="28"/>
      <w:lang w:val="en-GB"/>
    </w:rPr>
  </w:style>
  <w:style w:type="character" w:customStyle="1" w:styleId="Heading4Char">
    <w:name w:val="Heading 4 Char"/>
    <w:basedOn w:val="DefaultParagraphFont"/>
    <w:link w:val="Heading4"/>
    <w:uiPriority w:val="9"/>
    <w:semiHidden/>
    <w:rsid w:val="005A41E6"/>
    <w:rPr>
      <w:rFonts w:ascii="Arial" w:eastAsia="SimSun" w:hAnsi="Arial" w:cs="Arial"/>
      <w:color w:val="666666"/>
      <w:kern w:val="0"/>
      <w:lang w:val="en-GB"/>
    </w:rPr>
  </w:style>
  <w:style w:type="character" w:customStyle="1" w:styleId="Heading5Char">
    <w:name w:val="Heading 5 Char"/>
    <w:basedOn w:val="DefaultParagraphFont"/>
    <w:link w:val="Heading5"/>
    <w:uiPriority w:val="9"/>
    <w:semiHidden/>
    <w:rsid w:val="005A41E6"/>
    <w:rPr>
      <w:rFonts w:ascii="Arial" w:eastAsia="SimSun" w:hAnsi="Arial" w:cs="Arial"/>
      <w:color w:val="666666"/>
      <w:kern w:val="0"/>
      <w:sz w:val="22"/>
      <w:szCs w:val="22"/>
      <w:lang w:val="en-GB"/>
    </w:rPr>
  </w:style>
  <w:style w:type="character" w:customStyle="1" w:styleId="Heading6Char">
    <w:name w:val="Heading 6 Char"/>
    <w:basedOn w:val="DefaultParagraphFont"/>
    <w:link w:val="Heading6"/>
    <w:uiPriority w:val="9"/>
    <w:semiHidden/>
    <w:rsid w:val="005A41E6"/>
    <w:rPr>
      <w:rFonts w:ascii="Arial" w:eastAsia="SimSun" w:hAnsi="Arial" w:cs="Arial"/>
      <w:i/>
      <w:color w:val="666666"/>
      <w:kern w:val="0"/>
      <w:sz w:val="22"/>
      <w:szCs w:val="22"/>
      <w:lang w:val="en-GB"/>
    </w:rPr>
  </w:style>
  <w:style w:type="paragraph" w:styleId="Title">
    <w:name w:val="Title"/>
    <w:basedOn w:val="Normal"/>
    <w:next w:val="Normal"/>
    <w:link w:val="TitleChar"/>
    <w:uiPriority w:val="10"/>
    <w:qFormat/>
    <w:rsid w:val="005A41E6"/>
    <w:pPr>
      <w:keepNext/>
      <w:keepLines/>
      <w:spacing w:after="60"/>
    </w:pPr>
    <w:rPr>
      <w:sz w:val="52"/>
      <w:szCs w:val="52"/>
    </w:rPr>
  </w:style>
  <w:style w:type="character" w:customStyle="1" w:styleId="TitleChar">
    <w:name w:val="Title Char"/>
    <w:basedOn w:val="DefaultParagraphFont"/>
    <w:link w:val="Title"/>
    <w:uiPriority w:val="10"/>
    <w:rsid w:val="005A41E6"/>
    <w:rPr>
      <w:rFonts w:ascii="Arial" w:eastAsia="SimSun" w:hAnsi="Arial" w:cs="Arial"/>
      <w:kern w:val="0"/>
      <w:sz w:val="52"/>
      <w:szCs w:val="52"/>
      <w:lang w:val="en-GB"/>
    </w:rPr>
  </w:style>
  <w:style w:type="paragraph" w:styleId="Subtitle">
    <w:name w:val="Subtitle"/>
    <w:basedOn w:val="Normal"/>
    <w:next w:val="Normal"/>
    <w:link w:val="SubtitleChar"/>
    <w:uiPriority w:val="11"/>
    <w:qFormat/>
    <w:rsid w:val="005A41E6"/>
    <w:pPr>
      <w:keepNext/>
      <w:keepLines/>
      <w:spacing w:after="320"/>
    </w:pPr>
    <w:rPr>
      <w:color w:val="666666"/>
      <w:sz w:val="30"/>
      <w:szCs w:val="30"/>
    </w:rPr>
  </w:style>
  <w:style w:type="character" w:customStyle="1" w:styleId="SubtitleChar">
    <w:name w:val="Subtitle Char"/>
    <w:basedOn w:val="DefaultParagraphFont"/>
    <w:link w:val="Subtitle"/>
    <w:uiPriority w:val="11"/>
    <w:rsid w:val="005A41E6"/>
    <w:rPr>
      <w:rFonts w:ascii="Arial" w:eastAsia="SimSun" w:hAnsi="Arial" w:cs="Arial"/>
      <w:color w:val="666666"/>
      <w:kern w:val="0"/>
      <w:sz w:val="30"/>
      <w:szCs w:val="30"/>
      <w:lang w:val="en-GB"/>
    </w:rPr>
  </w:style>
  <w:style w:type="paragraph" w:styleId="Header">
    <w:name w:val="header"/>
    <w:basedOn w:val="Normal"/>
    <w:link w:val="HeaderChar"/>
    <w:uiPriority w:val="99"/>
    <w:unhideWhenUsed/>
    <w:rsid w:val="005A41E6"/>
    <w:pPr>
      <w:tabs>
        <w:tab w:val="center" w:pos="4513"/>
        <w:tab w:val="right" w:pos="9026"/>
      </w:tabs>
      <w:spacing w:line="240" w:lineRule="auto"/>
    </w:pPr>
  </w:style>
  <w:style w:type="character" w:customStyle="1" w:styleId="HeaderChar">
    <w:name w:val="Header Char"/>
    <w:basedOn w:val="DefaultParagraphFont"/>
    <w:link w:val="Header"/>
    <w:uiPriority w:val="99"/>
    <w:rsid w:val="005A41E6"/>
    <w:rPr>
      <w:rFonts w:ascii="Arial" w:eastAsia="SimSun" w:hAnsi="Arial" w:cs="Arial"/>
      <w:kern w:val="0"/>
      <w:sz w:val="22"/>
      <w:szCs w:val="22"/>
      <w:lang w:val="en-GB"/>
    </w:rPr>
  </w:style>
  <w:style w:type="paragraph" w:styleId="Footer">
    <w:name w:val="footer"/>
    <w:basedOn w:val="Normal"/>
    <w:link w:val="FooterChar"/>
    <w:uiPriority w:val="99"/>
    <w:unhideWhenUsed/>
    <w:rsid w:val="005A41E6"/>
    <w:pPr>
      <w:tabs>
        <w:tab w:val="center" w:pos="4513"/>
        <w:tab w:val="right" w:pos="9026"/>
      </w:tabs>
      <w:spacing w:line="240" w:lineRule="auto"/>
    </w:pPr>
  </w:style>
  <w:style w:type="character" w:customStyle="1" w:styleId="FooterChar">
    <w:name w:val="Footer Char"/>
    <w:basedOn w:val="DefaultParagraphFont"/>
    <w:link w:val="Footer"/>
    <w:uiPriority w:val="99"/>
    <w:rsid w:val="005A41E6"/>
    <w:rPr>
      <w:rFonts w:ascii="Arial" w:eastAsia="SimSun" w:hAnsi="Arial" w:cs="Arial"/>
      <w:kern w:val="0"/>
      <w:sz w:val="22"/>
      <w:szCs w:val="22"/>
      <w:lang w:val="en-GB"/>
    </w:rPr>
  </w:style>
  <w:style w:type="paragraph" w:styleId="ListParagraph">
    <w:name w:val="List Paragraph"/>
    <w:basedOn w:val="Normal"/>
    <w:uiPriority w:val="34"/>
    <w:qFormat/>
    <w:rsid w:val="005A41E6"/>
    <w:pPr>
      <w:ind w:left="720"/>
      <w:contextualSpacing/>
    </w:pPr>
  </w:style>
  <w:style w:type="character" w:styleId="Hyperlink">
    <w:name w:val="Hyperlink"/>
    <w:basedOn w:val="DefaultParagraphFont"/>
    <w:uiPriority w:val="99"/>
    <w:unhideWhenUsed/>
    <w:rsid w:val="005A41E6"/>
    <w:rPr>
      <w:color w:val="0563C1" w:themeColor="hyperlink"/>
      <w:u w:val="single"/>
    </w:rPr>
  </w:style>
  <w:style w:type="character" w:styleId="UnresolvedMention">
    <w:name w:val="Unresolved Mention"/>
    <w:basedOn w:val="DefaultParagraphFont"/>
    <w:uiPriority w:val="99"/>
    <w:semiHidden/>
    <w:unhideWhenUsed/>
    <w:rsid w:val="005A41E6"/>
    <w:rPr>
      <w:color w:val="605E5C"/>
      <w:shd w:val="clear" w:color="auto" w:fill="E1DFDD"/>
    </w:rPr>
  </w:style>
  <w:style w:type="table" w:styleId="TableGrid">
    <w:name w:val="Table Grid"/>
    <w:basedOn w:val="TableNormal"/>
    <w:uiPriority w:val="39"/>
    <w:rsid w:val="005A41E6"/>
    <w:pPr>
      <w:spacing w:after="0" w:line="240" w:lineRule="auto"/>
    </w:pPr>
    <w:rPr>
      <w:rFonts w:asciiTheme="minorHAnsi" w:eastAsiaTheme="minorEastAsia" w:cstheme="minorBidi"/>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41E6"/>
    <w:rPr>
      <w:color w:val="954F72" w:themeColor="followedHyperlink"/>
      <w:u w:val="single"/>
    </w:rPr>
  </w:style>
  <w:style w:type="paragraph" w:styleId="Bibliography">
    <w:name w:val="Bibliography"/>
    <w:basedOn w:val="Normal"/>
    <w:next w:val="Normal"/>
    <w:uiPriority w:val="37"/>
    <w:unhideWhenUsed/>
    <w:rsid w:val="005A41E6"/>
    <w:pPr>
      <w:tabs>
        <w:tab w:val="left" w:pos="260"/>
      </w:tabs>
      <w:spacing w:after="240" w:line="240" w:lineRule="auto"/>
      <w:ind w:left="264" w:hanging="264"/>
    </w:pPr>
  </w:style>
  <w:style w:type="paragraph" w:styleId="CommentText">
    <w:name w:val="annotation text"/>
    <w:basedOn w:val="Normal"/>
    <w:link w:val="CommentTextChar"/>
    <w:uiPriority w:val="99"/>
    <w:semiHidden/>
    <w:unhideWhenUsed/>
    <w:rsid w:val="005A41E6"/>
    <w:pPr>
      <w:spacing w:line="240" w:lineRule="auto"/>
    </w:pPr>
    <w:rPr>
      <w:sz w:val="20"/>
      <w:szCs w:val="20"/>
    </w:rPr>
  </w:style>
  <w:style w:type="character" w:customStyle="1" w:styleId="CommentTextChar">
    <w:name w:val="Comment Text Char"/>
    <w:basedOn w:val="DefaultParagraphFont"/>
    <w:link w:val="CommentText"/>
    <w:uiPriority w:val="99"/>
    <w:semiHidden/>
    <w:rsid w:val="005A41E6"/>
    <w:rPr>
      <w:rFonts w:ascii="Arial" w:eastAsia="SimSun" w:hAnsi="Arial" w:cs="Arial"/>
      <w:kern w:val="0"/>
      <w:sz w:val="20"/>
      <w:szCs w:val="20"/>
      <w:lang w:val="en-GB"/>
    </w:rPr>
  </w:style>
  <w:style w:type="character" w:styleId="CommentReference">
    <w:name w:val="annotation reference"/>
    <w:basedOn w:val="DefaultParagraphFont"/>
    <w:uiPriority w:val="99"/>
    <w:semiHidden/>
    <w:unhideWhenUsed/>
    <w:rsid w:val="005A41E6"/>
    <w:rPr>
      <w:sz w:val="16"/>
      <w:szCs w:val="16"/>
    </w:rPr>
  </w:style>
  <w:style w:type="paragraph" w:styleId="CommentSubject">
    <w:name w:val="annotation subject"/>
    <w:basedOn w:val="CommentText"/>
    <w:next w:val="CommentText"/>
    <w:link w:val="CommentSubjectChar"/>
    <w:uiPriority w:val="99"/>
    <w:semiHidden/>
    <w:unhideWhenUsed/>
    <w:rsid w:val="005A41E6"/>
    <w:rPr>
      <w:b/>
      <w:bCs/>
    </w:rPr>
  </w:style>
  <w:style w:type="character" w:customStyle="1" w:styleId="CommentSubjectChar">
    <w:name w:val="Comment Subject Char"/>
    <w:basedOn w:val="CommentTextChar"/>
    <w:link w:val="CommentSubject"/>
    <w:uiPriority w:val="99"/>
    <w:semiHidden/>
    <w:rsid w:val="005A41E6"/>
    <w:rPr>
      <w:rFonts w:ascii="Arial" w:eastAsia="SimSun" w:hAnsi="Arial" w:cs="Arial"/>
      <w:b/>
      <w:bCs/>
      <w:kern w:val="0"/>
      <w:sz w:val="20"/>
      <w:szCs w:val="20"/>
      <w:lang w:val="en-GB"/>
    </w:rPr>
  </w:style>
  <w:style w:type="character" w:styleId="PageNumber">
    <w:name w:val="page number"/>
    <w:basedOn w:val="DefaultParagraphFont"/>
    <w:uiPriority w:val="99"/>
    <w:semiHidden/>
    <w:unhideWhenUsed/>
    <w:rsid w:val="005A41E6"/>
  </w:style>
  <w:style w:type="paragraph" w:styleId="Revision">
    <w:name w:val="Revision"/>
    <w:hidden/>
    <w:uiPriority w:val="99"/>
    <w:semiHidden/>
    <w:rsid w:val="005A41E6"/>
    <w:pPr>
      <w:spacing w:after="0" w:line="240" w:lineRule="auto"/>
    </w:pPr>
    <w:rPr>
      <w:rFonts w:ascii="Arial" w:eastAsia="SimSun" w:hAnsi="Arial" w:cs="Arial"/>
      <w:kern w:val="0"/>
      <w:sz w:val="22"/>
      <w:szCs w:val="22"/>
      <w:lang w:val="en-GB"/>
    </w:rPr>
  </w:style>
  <w:style w:type="paragraph" w:styleId="BalloonText">
    <w:name w:val="Balloon Text"/>
    <w:basedOn w:val="Normal"/>
    <w:link w:val="BalloonTextChar"/>
    <w:uiPriority w:val="99"/>
    <w:semiHidden/>
    <w:unhideWhenUsed/>
    <w:rsid w:val="005A4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1E6"/>
    <w:rPr>
      <w:rFonts w:ascii="Segoe UI" w:eastAsia="SimSun" w:hAnsi="Segoe UI" w:cs="Segoe UI"/>
      <w:kern w:val="0"/>
      <w:sz w:val="18"/>
      <w:szCs w:val="18"/>
      <w:lang w:val="en-GB"/>
    </w:rPr>
  </w:style>
  <w:style w:type="character" w:styleId="Emphasis">
    <w:name w:val="Emphasis"/>
    <w:basedOn w:val="DefaultParagraphFont"/>
    <w:uiPriority w:val="20"/>
    <w:qFormat/>
    <w:rsid w:val="005A41E6"/>
    <w:rPr>
      <w:i/>
      <w:iCs/>
    </w:rPr>
  </w:style>
  <w:style w:type="table" w:styleId="PlainTable2">
    <w:name w:val="Plain Table 2"/>
    <w:basedOn w:val="TableNormal"/>
    <w:uiPriority w:val="42"/>
    <w:rsid w:val="002415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14C2A4-D024-435D-B89D-D3F40FFC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5728</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Kwok</dc:creator>
  <cp:keywords/>
  <dc:description/>
  <cp:lastModifiedBy>Shirley Kwok</cp:lastModifiedBy>
  <cp:revision>7</cp:revision>
  <dcterms:created xsi:type="dcterms:W3CDTF">2022-11-29T04:23:00Z</dcterms:created>
  <dcterms:modified xsi:type="dcterms:W3CDTF">2022-11-30T04:06:00Z</dcterms:modified>
</cp:coreProperties>
</file>