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11D54" w14:textId="77777777" w:rsidR="007A2665" w:rsidRPr="00E6725A" w:rsidRDefault="00256F29">
      <w:pPr>
        <w:shd w:val="clear" w:color="auto" w:fill="FFFFFF"/>
        <w:spacing w:after="160" w:line="240" w:lineRule="auto"/>
        <w:rPr>
          <w:rFonts w:ascii="Times New Roman" w:eastAsia="Times New Roman" w:hAnsi="Times New Roman" w:cs="Times New Roman"/>
          <w:b/>
          <w:color w:val="000001"/>
          <w:sz w:val="24"/>
          <w:szCs w:val="24"/>
        </w:rPr>
      </w:pPr>
      <w:r w:rsidRPr="00E6725A">
        <w:rPr>
          <w:rFonts w:ascii="Times New Roman" w:eastAsia="Times New Roman" w:hAnsi="Times New Roman" w:cs="Times New Roman"/>
          <w:b/>
          <w:color w:val="000001"/>
          <w:sz w:val="24"/>
          <w:szCs w:val="24"/>
        </w:rPr>
        <w:t>Metabolic syndrome diagnostic components</w:t>
      </w:r>
    </w:p>
    <w:tbl>
      <w:tblPr>
        <w:tblStyle w:val="a"/>
        <w:tblW w:w="9540" w:type="dxa"/>
        <w:tblBorders>
          <w:top w:val="nil"/>
          <w:left w:val="nil"/>
          <w:bottom w:val="nil"/>
          <w:right w:val="nil"/>
          <w:insideH w:val="nil"/>
          <w:insideV w:val="nil"/>
        </w:tblBorders>
        <w:tblLayout w:type="fixed"/>
        <w:tblLook w:val="0600" w:firstRow="0" w:lastRow="0" w:firstColumn="0" w:lastColumn="0" w:noHBand="1" w:noVBand="1"/>
      </w:tblPr>
      <w:tblGrid>
        <w:gridCol w:w="4155"/>
        <w:gridCol w:w="5385"/>
      </w:tblGrid>
      <w:tr w:rsidR="007A2665" w:rsidRPr="00E6725A" w14:paraId="6356C84B" w14:textId="77777777" w:rsidTr="00256F29">
        <w:trPr>
          <w:trHeight w:val="1598"/>
        </w:trPr>
        <w:tc>
          <w:tcPr>
            <w:tcW w:w="4155" w:type="dxa"/>
            <w:tcBorders>
              <w:top w:val="nil"/>
              <w:left w:val="nil"/>
              <w:bottom w:val="nil"/>
              <w:right w:val="nil"/>
            </w:tcBorders>
            <w:tcMar>
              <w:top w:w="220" w:type="dxa"/>
              <w:left w:w="220" w:type="dxa"/>
              <w:bottom w:w="220" w:type="dxa"/>
              <w:right w:w="220" w:type="dxa"/>
            </w:tcMar>
          </w:tcPr>
          <w:p w14:paraId="3B1F075E" w14:textId="77777777" w:rsidR="007A2665" w:rsidRPr="00E6725A" w:rsidRDefault="00256F29">
            <w:pPr>
              <w:shd w:val="clear" w:color="auto" w:fill="FFFFFF"/>
              <w:spacing w:after="160" w:line="240" w:lineRule="auto"/>
              <w:rPr>
                <w:rFonts w:ascii="Times New Roman" w:eastAsia="Times New Roman" w:hAnsi="Times New Roman" w:cs="Times New Roman"/>
                <w:color w:val="000001"/>
                <w:sz w:val="24"/>
                <w:szCs w:val="24"/>
              </w:rPr>
            </w:pPr>
            <w:r w:rsidRPr="00E6725A">
              <w:rPr>
                <w:rFonts w:ascii="Times New Roman" w:eastAsia="Times New Roman" w:hAnsi="Times New Roman" w:cs="Times New Roman"/>
                <w:color w:val="000001"/>
                <w:sz w:val="24"/>
                <w:szCs w:val="24"/>
              </w:rPr>
              <w:t xml:space="preserve">Elevated waist circumference* or elevated waist-to-hip ratio** </w:t>
            </w:r>
          </w:p>
        </w:tc>
        <w:tc>
          <w:tcPr>
            <w:tcW w:w="5385" w:type="dxa"/>
            <w:tcBorders>
              <w:top w:val="nil"/>
              <w:left w:val="nil"/>
              <w:bottom w:val="nil"/>
              <w:right w:val="nil"/>
            </w:tcBorders>
            <w:tcMar>
              <w:top w:w="220" w:type="dxa"/>
              <w:left w:w="220" w:type="dxa"/>
              <w:bottom w:w="220" w:type="dxa"/>
              <w:right w:w="220" w:type="dxa"/>
            </w:tcMar>
          </w:tcPr>
          <w:p w14:paraId="306A718C" w14:textId="77777777" w:rsidR="007A2665" w:rsidRPr="00E6725A" w:rsidRDefault="00256F29">
            <w:pPr>
              <w:shd w:val="clear" w:color="auto" w:fill="FFFFFF"/>
              <w:spacing w:after="160" w:line="240" w:lineRule="auto"/>
              <w:jc w:val="center"/>
              <w:rPr>
                <w:rFonts w:ascii="Times New Roman" w:eastAsia="Times New Roman" w:hAnsi="Times New Roman" w:cs="Times New Roman"/>
                <w:color w:val="000001"/>
                <w:sz w:val="24"/>
                <w:szCs w:val="24"/>
              </w:rPr>
            </w:pPr>
            <w:r w:rsidRPr="00E6725A">
              <w:rPr>
                <w:rFonts w:ascii="Times New Roman" w:eastAsia="Times New Roman" w:hAnsi="Times New Roman" w:cs="Times New Roman"/>
                <w:color w:val="000001"/>
                <w:sz w:val="24"/>
                <w:szCs w:val="24"/>
              </w:rPr>
              <w:t xml:space="preserve">WC: European/ North American M: &gt;102 cm; F: &gt;88 cm Asian/ Central &amp; South America M: &gt;90 cm; F: &gt;80cm Middle East/ Med./ Africa M: &gt;94 cm; F: &gt;80 cm   </w:t>
            </w:r>
          </w:p>
          <w:p w14:paraId="7E92DDE0" w14:textId="77777777" w:rsidR="007A2665" w:rsidRPr="00E6725A" w:rsidRDefault="00256F29">
            <w:pPr>
              <w:shd w:val="clear" w:color="auto" w:fill="FFFFFF"/>
              <w:spacing w:after="160" w:line="240" w:lineRule="auto"/>
              <w:jc w:val="center"/>
              <w:rPr>
                <w:rFonts w:ascii="Times New Roman" w:eastAsia="Times New Roman" w:hAnsi="Times New Roman" w:cs="Times New Roman"/>
                <w:color w:val="000001"/>
                <w:sz w:val="24"/>
                <w:szCs w:val="24"/>
              </w:rPr>
            </w:pPr>
            <w:r w:rsidRPr="00E6725A">
              <w:rPr>
                <w:rFonts w:ascii="Times New Roman" w:eastAsia="Times New Roman" w:hAnsi="Times New Roman" w:cs="Times New Roman"/>
                <w:color w:val="000001"/>
                <w:sz w:val="24"/>
                <w:szCs w:val="24"/>
              </w:rPr>
              <w:t xml:space="preserve">WHR: M: &gt;0.9; F: &gt;0.85                                                                                 </w:t>
            </w:r>
          </w:p>
        </w:tc>
      </w:tr>
      <w:tr w:rsidR="007A2665" w:rsidRPr="00E6725A" w14:paraId="032918E9" w14:textId="77777777" w:rsidTr="00256F29">
        <w:trPr>
          <w:trHeight w:val="815"/>
        </w:trPr>
        <w:tc>
          <w:tcPr>
            <w:tcW w:w="4155" w:type="dxa"/>
            <w:tcBorders>
              <w:top w:val="nil"/>
              <w:left w:val="nil"/>
              <w:bottom w:val="nil"/>
              <w:right w:val="nil"/>
            </w:tcBorders>
            <w:tcMar>
              <w:top w:w="220" w:type="dxa"/>
              <w:left w:w="220" w:type="dxa"/>
              <w:bottom w:w="220" w:type="dxa"/>
              <w:right w:w="220" w:type="dxa"/>
            </w:tcMar>
          </w:tcPr>
          <w:p w14:paraId="134ED112" w14:textId="77777777" w:rsidR="007A2665" w:rsidRPr="00E6725A" w:rsidRDefault="00256F29">
            <w:pPr>
              <w:shd w:val="clear" w:color="auto" w:fill="FFFFFF"/>
              <w:spacing w:after="160" w:line="240" w:lineRule="auto"/>
              <w:rPr>
                <w:rFonts w:ascii="Times New Roman" w:eastAsia="Times New Roman" w:hAnsi="Times New Roman" w:cs="Times New Roman"/>
                <w:i/>
                <w:color w:val="000001"/>
                <w:sz w:val="24"/>
                <w:szCs w:val="24"/>
              </w:rPr>
            </w:pPr>
            <w:r w:rsidRPr="00E6725A">
              <w:rPr>
                <w:rFonts w:ascii="Times New Roman" w:eastAsia="Times New Roman" w:hAnsi="Times New Roman" w:cs="Times New Roman"/>
                <w:color w:val="000001"/>
                <w:sz w:val="24"/>
                <w:szCs w:val="24"/>
              </w:rPr>
              <w:t xml:space="preserve">Elevated triglycerides                                                                </w:t>
            </w:r>
            <w:r w:rsidRPr="00E6725A">
              <w:rPr>
                <w:rFonts w:ascii="Times New Roman" w:eastAsia="Times New Roman" w:hAnsi="Times New Roman" w:cs="Times New Roman"/>
                <w:i/>
                <w:color w:val="000001"/>
                <w:sz w:val="24"/>
                <w:szCs w:val="24"/>
              </w:rPr>
              <w:t>or treatment for this lipid abnormality</w:t>
            </w:r>
          </w:p>
        </w:tc>
        <w:tc>
          <w:tcPr>
            <w:tcW w:w="5385" w:type="dxa"/>
            <w:tcBorders>
              <w:top w:val="nil"/>
              <w:left w:val="nil"/>
              <w:bottom w:val="nil"/>
              <w:right w:val="nil"/>
            </w:tcBorders>
            <w:tcMar>
              <w:top w:w="220" w:type="dxa"/>
              <w:left w:w="220" w:type="dxa"/>
              <w:bottom w:w="220" w:type="dxa"/>
              <w:right w:w="220" w:type="dxa"/>
            </w:tcMar>
          </w:tcPr>
          <w:p w14:paraId="51B761A0" w14:textId="77777777" w:rsidR="007A2665" w:rsidRPr="00E6725A" w:rsidRDefault="00256F29">
            <w:pPr>
              <w:shd w:val="clear" w:color="auto" w:fill="FFFFFF"/>
              <w:spacing w:after="160" w:line="240" w:lineRule="auto"/>
              <w:jc w:val="center"/>
              <w:rPr>
                <w:rFonts w:ascii="Times New Roman" w:eastAsia="Times New Roman" w:hAnsi="Times New Roman" w:cs="Times New Roman"/>
                <w:color w:val="000001"/>
                <w:sz w:val="24"/>
                <w:szCs w:val="24"/>
              </w:rPr>
            </w:pPr>
            <w:r w:rsidRPr="00E6725A">
              <w:rPr>
                <w:rFonts w:ascii="Times New Roman" w:eastAsia="Gungsuh" w:hAnsi="Times New Roman" w:cs="Times New Roman"/>
                <w:color w:val="000001"/>
                <w:sz w:val="24"/>
                <w:szCs w:val="24"/>
              </w:rPr>
              <w:t>≥150 mg/dL (1.7 mmol/L)</w:t>
            </w:r>
          </w:p>
        </w:tc>
      </w:tr>
      <w:tr w:rsidR="007A2665" w:rsidRPr="00E6725A" w14:paraId="6869D4EB" w14:textId="77777777" w:rsidTr="00256F29">
        <w:trPr>
          <w:trHeight w:val="635"/>
        </w:trPr>
        <w:tc>
          <w:tcPr>
            <w:tcW w:w="4155" w:type="dxa"/>
            <w:tcBorders>
              <w:top w:val="nil"/>
              <w:left w:val="nil"/>
              <w:bottom w:val="nil"/>
              <w:right w:val="nil"/>
            </w:tcBorders>
            <w:tcMar>
              <w:top w:w="220" w:type="dxa"/>
              <w:left w:w="220" w:type="dxa"/>
              <w:bottom w:w="220" w:type="dxa"/>
              <w:right w:w="220" w:type="dxa"/>
            </w:tcMar>
          </w:tcPr>
          <w:p w14:paraId="5AAD57B1" w14:textId="77777777" w:rsidR="007A2665" w:rsidRPr="00E6725A" w:rsidRDefault="00256F29">
            <w:pPr>
              <w:shd w:val="clear" w:color="auto" w:fill="FFFFFF"/>
              <w:spacing w:after="160" w:line="240" w:lineRule="auto"/>
              <w:rPr>
                <w:rFonts w:ascii="Times New Roman" w:eastAsia="Times New Roman" w:hAnsi="Times New Roman" w:cs="Times New Roman"/>
                <w:color w:val="000001"/>
                <w:sz w:val="24"/>
                <w:szCs w:val="24"/>
              </w:rPr>
            </w:pPr>
            <w:r w:rsidRPr="00E6725A">
              <w:rPr>
                <w:rFonts w:ascii="Times New Roman" w:eastAsia="Times New Roman" w:hAnsi="Times New Roman" w:cs="Times New Roman"/>
                <w:color w:val="000001"/>
                <w:sz w:val="24"/>
                <w:szCs w:val="24"/>
              </w:rPr>
              <w:t xml:space="preserve">Reduced HDL-cholesterol                                                         </w:t>
            </w:r>
            <w:r w:rsidRPr="00E6725A">
              <w:rPr>
                <w:rFonts w:ascii="Times New Roman" w:eastAsia="Times New Roman" w:hAnsi="Times New Roman" w:cs="Times New Roman"/>
                <w:i/>
                <w:color w:val="000001"/>
                <w:sz w:val="24"/>
                <w:szCs w:val="24"/>
              </w:rPr>
              <w:t>or treatment for this lipid abnormality</w:t>
            </w:r>
          </w:p>
        </w:tc>
        <w:tc>
          <w:tcPr>
            <w:tcW w:w="5385" w:type="dxa"/>
            <w:tcBorders>
              <w:top w:val="nil"/>
              <w:left w:val="nil"/>
              <w:bottom w:val="nil"/>
              <w:right w:val="nil"/>
            </w:tcBorders>
            <w:tcMar>
              <w:top w:w="220" w:type="dxa"/>
              <w:left w:w="220" w:type="dxa"/>
              <w:bottom w:w="220" w:type="dxa"/>
              <w:right w:w="220" w:type="dxa"/>
            </w:tcMar>
          </w:tcPr>
          <w:p w14:paraId="470A1238" w14:textId="77777777" w:rsidR="007A2665" w:rsidRPr="00E6725A" w:rsidRDefault="00256F29">
            <w:pPr>
              <w:shd w:val="clear" w:color="auto" w:fill="FFFFFF"/>
              <w:spacing w:after="160" w:line="240" w:lineRule="auto"/>
              <w:jc w:val="center"/>
              <w:rPr>
                <w:rFonts w:ascii="Times New Roman" w:eastAsia="Times New Roman" w:hAnsi="Times New Roman" w:cs="Times New Roman"/>
                <w:color w:val="000001"/>
                <w:sz w:val="24"/>
                <w:szCs w:val="24"/>
              </w:rPr>
            </w:pPr>
            <w:r w:rsidRPr="00E6725A">
              <w:rPr>
                <w:rFonts w:ascii="Times New Roman" w:eastAsia="Times New Roman" w:hAnsi="Times New Roman" w:cs="Times New Roman"/>
                <w:color w:val="000001"/>
                <w:sz w:val="24"/>
                <w:szCs w:val="24"/>
              </w:rPr>
              <w:t>M: &lt;40 mg/dL (1.0 mmol/L)                                                 F: &lt;50 mg/dL (1.3 mmol/L)</w:t>
            </w:r>
          </w:p>
        </w:tc>
      </w:tr>
      <w:tr w:rsidR="007A2665" w:rsidRPr="00E6725A" w14:paraId="680D1EFC" w14:textId="77777777" w:rsidTr="00256F29">
        <w:trPr>
          <w:trHeight w:val="572"/>
        </w:trPr>
        <w:tc>
          <w:tcPr>
            <w:tcW w:w="4155" w:type="dxa"/>
            <w:tcBorders>
              <w:top w:val="nil"/>
              <w:left w:val="nil"/>
              <w:bottom w:val="nil"/>
              <w:right w:val="nil"/>
            </w:tcBorders>
            <w:tcMar>
              <w:top w:w="220" w:type="dxa"/>
              <w:left w:w="220" w:type="dxa"/>
              <w:bottom w:w="220" w:type="dxa"/>
              <w:right w:w="220" w:type="dxa"/>
            </w:tcMar>
          </w:tcPr>
          <w:p w14:paraId="3F1A2EC3" w14:textId="77777777" w:rsidR="007A2665" w:rsidRPr="00E6725A" w:rsidRDefault="00256F29">
            <w:pPr>
              <w:shd w:val="clear" w:color="auto" w:fill="FFFFFF"/>
              <w:spacing w:after="160" w:line="240" w:lineRule="auto"/>
              <w:rPr>
                <w:rFonts w:ascii="Times New Roman" w:eastAsia="Times New Roman" w:hAnsi="Times New Roman" w:cs="Times New Roman"/>
                <w:color w:val="000001"/>
                <w:sz w:val="24"/>
                <w:szCs w:val="24"/>
              </w:rPr>
            </w:pPr>
            <w:r w:rsidRPr="00E6725A">
              <w:rPr>
                <w:rFonts w:ascii="Times New Roman" w:eastAsia="Times New Roman" w:hAnsi="Times New Roman" w:cs="Times New Roman"/>
                <w:color w:val="000001"/>
                <w:sz w:val="24"/>
                <w:szCs w:val="24"/>
              </w:rPr>
              <w:t xml:space="preserve">Elevated blood pressure                                                             </w:t>
            </w:r>
            <w:r w:rsidRPr="00E6725A">
              <w:rPr>
                <w:rFonts w:ascii="Times New Roman" w:eastAsia="Times New Roman" w:hAnsi="Times New Roman" w:cs="Times New Roman"/>
                <w:i/>
                <w:color w:val="000001"/>
                <w:sz w:val="24"/>
                <w:szCs w:val="24"/>
              </w:rPr>
              <w:t>or treatment for hypertension</w:t>
            </w:r>
          </w:p>
        </w:tc>
        <w:tc>
          <w:tcPr>
            <w:tcW w:w="5385" w:type="dxa"/>
            <w:tcBorders>
              <w:top w:val="nil"/>
              <w:left w:val="nil"/>
              <w:bottom w:val="nil"/>
              <w:right w:val="nil"/>
            </w:tcBorders>
            <w:tcMar>
              <w:top w:w="220" w:type="dxa"/>
              <w:left w:w="220" w:type="dxa"/>
              <w:bottom w:w="220" w:type="dxa"/>
              <w:right w:w="220" w:type="dxa"/>
            </w:tcMar>
          </w:tcPr>
          <w:p w14:paraId="6A80BE30" w14:textId="77777777" w:rsidR="007A2665" w:rsidRPr="00E6725A" w:rsidRDefault="00256F29">
            <w:pPr>
              <w:shd w:val="clear" w:color="auto" w:fill="FFFFFF"/>
              <w:spacing w:after="160" w:line="240" w:lineRule="auto"/>
              <w:jc w:val="center"/>
              <w:rPr>
                <w:rFonts w:ascii="Times New Roman" w:eastAsia="Times New Roman" w:hAnsi="Times New Roman" w:cs="Times New Roman"/>
                <w:color w:val="000001"/>
                <w:sz w:val="24"/>
                <w:szCs w:val="24"/>
              </w:rPr>
            </w:pPr>
            <w:r w:rsidRPr="00E6725A">
              <w:rPr>
                <w:rFonts w:ascii="Times New Roman" w:eastAsia="Gungsuh" w:hAnsi="Times New Roman" w:cs="Times New Roman"/>
                <w:color w:val="000001"/>
                <w:sz w:val="24"/>
                <w:szCs w:val="24"/>
              </w:rPr>
              <w:t>Systolic ≥130 and/or diastolic ≥85 mm Hg</w:t>
            </w:r>
          </w:p>
        </w:tc>
      </w:tr>
      <w:tr w:rsidR="007A2665" w:rsidRPr="00E6725A" w14:paraId="01005F19" w14:textId="77777777">
        <w:trPr>
          <w:trHeight w:val="830"/>
        </w:trPr>
        <w:tc>
          <w:tcPr>
            <w:tcW w:w="4155" w:type="dxa"/>
            <w:tcBorders>
              <w:top w:val="nil"/>
              <w:left w:val="nil"/>
              <w:bottom w:val="nil"/>
              <w:right w:val="nil"/>
            </w:tcBorders>
            <w:tcMar>
              <w:top w:w="220" w:type="dxa"/>
              <w:left w:w="220" w:type="dxa"/>
              <w:bottom w:w="220" w:type="dxa"/>
              <w:right w:w="220" w:type="dxa"/>
            </w:tcMar>
          </w:tcPr>
          <w:p w14:paraId="5A6AAACC" w14:textId="77777777" w:rsidR="007A2665" w:rsidRPr="00E6725A" w:rsidRDefault="00256F29">
            <w:pPr>
              <w:shd w:val="clear" w:color="auto" w:fill="FFFFFF"/>
              <w:spacing w:after="160" w:line="240" w:lineRule="auto"/>
              <w:rPr>
                <w:rFonts w:ascii="Times New Roman" w:eastAsia="Times New Roman" w:hAnsi="Times New Roman" w:cs="Times New Roman"/>
                <w:i/>
                <w:color w:val="000001"/>
                <w:sz w:val="24"/>
                <w:szCs w:val="24"/>
              </w:rPr>
            </w:pPr>
            <w:r w:rsidRPr="00E6725A">
              <w:rPr>
                <w:rFonts w:ascii="Times New Roman" w:eastAsia="Times New Roman" w:hAnsi="Times New Roman" w:cs="Times New Roman"/>
                <w:color w:val="000001"/>
                <w:sz w:val="24"/>
                <w:szCs w:val="24"/>
              </w:rPr>
              <w:t>Elevated fasting glucose or diagnosed T2DM</w:t>
            </w:r>
            <w:r w:rsidRPr="00E6725A">
              <w:rPr>
                <w:rFonts w:ascii="Times New Roman" w:eastAsia="Times New Roman" w:hAnsi="Times New Roman" w:cs="Times New Roman"/>
                <w:i/>
                <w:color w:val="000001"/>
                <w:sz w:val="24"/>
                <w:szCs w:val="24"/>
              </w:rPr>
              <w:t xml:space="preserve"> or treatment for elevated glucose</w:t>
            </w:r>
          </w:p>
        </w:tc>
        <w:tc>
          <w:tcPr>
            <w:tcW w:w="5385" w:type="dxa"/>
            <w:tcBorders>
              <w:top w:val="nil"/>
              <w:left w:val="nil"/>
              <w:bottom w:val="nil"/>
              <w:right w:val="nil"/>
            </w:tcBorders>
            <w:tcMar>
              <w:top w:w="220" w:type="dxa"/>
              <w:left w:w="220" w:type="dxa"/>
              <w:bottom w:w="220" w:type="dxa"/>
              <w:right w:w="220" w:type="dxa"/>
            </w:tcMar>
          </w:tcPr>
          <w:p w14:paraId="49273A9C" w14:textId="77777777" w:rsidR="007A2665" w:rsidRPr="00E6725A" w:rsidRDefault="00256F29">
            <w:pPr>
              <w:shd w:val="clear" w:color="auto" w:fill="FFFFFF"/>
              <w:spacing w:after="160" w:line="240" w:lineRule="auto"/>
              <w:jc w:val="center"/>
              <w:rPr>
                <w:rFonts w:ascii="Times New Roman" w:eastAsia="Times New Roman" w:hAnsi="Times New Roman" w:cs="Times New Roman"/>
                <w:color w:val="000001"/>
                <w:sz w:val="24"/>
                <w:szCs w:val="24"/>
              </w:rPr>
            </w:pPr>
            <w:r w:rsidRPr="00E6725A">
              <w:rPr>
                <w:rFonts w:ascii="Times New Roman" w:eastAsia="Gungsuh" w:hAnsi="Times New Roman" w:cs="Times New Roman"/>
                <w:color w:val="000001"/>
                <w:sz w:val="24"/>
                <w:szCs w:val="24"/>
              </w:rPr>
              <w:t>≥100 mg/dL (5.5 mmol/L)</w:t>
            </w:r>
          </w:p>
        </w:tc>
      </w:tr>
    </w:tbl>
    <w:p w14:paraId="064CEF31" w14:textId="1479108D" w:rsidR="007A2665" w:rsidRPr="00E6725A" w:rsidRDefault="00256F29">
      <w:pPr>
        <w:shd w:val="clear" w:color="auto" w:fill="FFFFFF"/>
        <w:spacing w:after="160" w:line="240" w:lineRule="auto"/>
        <w:rPr>
          <w:rFonts w:ascii="Times New Roman" w:eastAsia="Times New Roman" w:hAnsi="Times New Roman" w:cs="Times New Roman"/>
          <w:color w:val="000001"/>
          <w:sz w:val="24"/>
          <w:szCs w:val="24"/>
        </w:rPr>
      </w:pPr>
      <w:r w:rsidRPr="00E6725A">
        <w:rPr>
          <w:rFonts w:ascii="Times New Roman" w:eastAsia="Times New Roman" w:hAnsi="Times New Roman" w:cs="Times New Roman"/>
          <w:color w:val="000001"/>
          <w:sz w:val="24"/>
          <w:szCs w:val="24"/>
        </w:rPr>
        <w:t>Adapted from Alberti et al.</w:t>
      </w:r>
      <w:r w:rsidR="00600467">
        <w:rPr>
          <w:rFonts w:ascii="Times New Roman" w:eastAsia="Times New Roman" w:hAnsi="Times New Roman" w:cs="Times New Roman"/>
          <w:color w:val="000001"/>
          <w:sz w:val="24"/>
          <w:szCs w:val="24"/>
        </w:rPr>
        <w:t>,</w:t>
      </w:r>
      <w:r w:rsidR="00600467">
        <w:rPr>
          <w:rFonts w:ascii="Times New Roman" w:eastAsia="Times New Roman" w:hAnsi="Times New Roman" w:cs="Times New Roman"/>
          <w:color w:val="000001"/>
          <w:sz w:val="24"/>
          <w:szCs w:val="24"/>
        </w:rPr>
        <w:fldChar w:fldCharType="begin"/>
      </w:r>
      <w:r w:rsidR="00A146A2">
        <w:rPr>
          <w:rFonts w:ascii="Times New Roman" w:eastAsia="Times New Roman" w:hAnsi="Times New Roman" w:cs="Times New Roman"/>
          <w:color w:val="000001"/>
          <w:sz w:val="24"/>
          <w:szCs w:val="24"/>
        </w:rPr>
        <w:instrText xml:space="preserve"> ADDIN ZOTERO_ITEM CSL_CITATION {"citationID":"Kb7OdmHC","properties":{"formattedCitation":"[1,2]","plainCitation":"[1,2]","noteIndex":0},"citationItems":[{"id":41649,"uris":["http://zotero.org/users/4682884/items/28G6SYD2"],"itemData":{"id":41649,"type":"article-journal","abstract":"A cluster of risk factors for cardiovascular disease and type 2 diabetes mellitus, which occur together more often than by chance alone, have become known as the metabolic syndrome. The risk factors include raised blood pressure, dyslipidemia (raised triglycerides and lowered high-density lipoprotein cholesterol), raised fasting glucose, and central obesity. Various diagnostic criteria have been proposed by different organizations over the past decade. Most recently, these have come from the International Diabetes Federation and the American Heart Association/National Heart, Lung, and Blood Institute. The main difference concerns the measure for central obesity, with this being an obligatory component in the International Diabetes Federation definition, lower than in the American Heart Association/National Heart, Lung, and Blood Institute criteria, and ethnic specific. The present article represents the outcome of a meeting between several major organizations in an attempt to unify criteria. It was agreed that there should not be an obligatory component, but that waist measurement would continue to be a useful preliminary screening tool. Three abnormal findings out of 5 would qualify a person for the metabolic syndrome. A single set of cut points would be used for all components except waist circumference, for which further work is required. In the interim, national or regional cut points for waist circumference can be used.","container-title":"Circulation","DOI":"10.1161/CIRCULATIONAHA.109.192644","issue":"16","note":"publisher: American Heart Association","page":"1640-1645","source":"ahajournals.org (Atypon)","title":"Harmonizing the metabolic syndrome","volume":"120","author":[{"family":"Alberti","given":"KGMM"},{"family":"Eckel","given":"Robert H."},{"family":"Grundy","given":"Scott M."},{"family":"Zimmet","given":"Paul Z."},{"family":"Cleeman","given":"James I."},{"family":"Donato","given":"Karen A."},{"family":"Fruchart","given":"Jean-Charles"},{"family":"James","given":"W. Philip T."},{"family":"Loria","given":"Catherine M."},{"family":"Smith","given":"Sidney C."}],"issued":{"date-parts":[["2009",10,20]]}}},{"id":41643,"uris":["http://zotero.org/users/4682884/items/LTW46FL4"],"itemData":{"id":41643,"type":"article-journal","abstract":"Aims To establish a unified working diagnostic tool for the metabolic syndrome (MetS) that is convenient to use in clinical practice and that can be used world-wide so that data from different countries can be compared. An additional aim was to highlight areas where more research into the MetS is needed. Participants The International Diabetes Federation (IDF) convened a workshop held 12–14 May 2004 in London, UK. The 21 participants included experts in the fields of diabetes, public health, epidemiology, lipidology, genetics, metabolism, nutrition and cardiology. There were participants from each of the five continents as well as from the World Health Organization (WHO) and the National Cholesterol Education Program—Third Adult Treatment Panel (ATP III). The workshop was sponsored by an educational grant from AstraZeneca Pharmaceuticals. Consensus process The consensus statement emerged following detailed discussions at the IDF workshop. After the workshop, a writing group produced a consensus statement which was reviewed and approved by all participants. Conclusions The IDF has produced a new set of criteria for use both epidemiologically and in clinical practice world-wide with the aim of identifying people with the MetS to clarify the nature of the syndrome and to focus therapeutic strategies to reduce the long-term risk of cardiovascular disease. Guidance is included on how to compensate for differences in waist circumference and in regional adipose tissue distribution between different populations. The IDF has also produced recommendations for additional criteria that should be included when studying the MetS for research purposes. Finally, the IDF has identified areas where more studies are currently needed; these include research into the aetiology of the syndrome.","container-title":"Diabetic Medicine","DOI":"10.1111/j.1464-5491.2006.01858.x","ISSN":"1464-5491","issue":"5","language":"en","note":"_eprint: https://onlinelibrary.wiley.com/doi/pdf/10.1111/j.1464-5491.2006.01858.x","page":"469-480","source":"Wiley Online Library","title":"Metabolic syndrome—a new world-wide definition. A Consensus Statement from the International Diabetes Federation","volume":"23","author":[{"family":"Alberti","given":"K. G. M. M."},{"family":"Zimmet","given":"P."},{"family":"Shaw","given":"J."}],"issued":{"date-parts":[["2006"]]}}}],"schema":"https://github.com/citation-style-language/schema/raw/master/csl-citation.json"} </w:instrText>
      </w:r>
      <w:r w:rsidR="00600467">
        <w:rPr>
          <w:rFonts w:ascii="Times New Roman" w:eastAsia="Times New Roman" w:hAnsi="Times New Roman" w:cs="Times New Roman"/>
          <w:color w:val="000001"/>
          <w:sz w:val="24"/>
          <w:szCs w:val="24"/>
        </w:rPr>
        <w:fldChar w:fldCharType="separate"/>
      </w:r>
      <w:r w:rsidR="00A146A2" w:rsidRPr="00A146A2">
        <w:rPr>
          <w:rFonts w:ascii="Times New Roman" w:hAnsi="Times New Roman" w:cs="Times New Roman"/>
          <w:sz w:val="24"/>
        </w:rPr>
        <w:t>[1,2]</w:t>
      </w:r>
      <w:r w:rsidR="00600467">
        <w:rPr>
          <w:rFonts w:ascii="Times New Roman" w:eastAsia="Times New Roman" w:hAnsi="Times New Roman" w:cs="Times New Roman"/>
          <w:color w:val="000001"/>
          <w:sz w:val="24"/>
          <w:szCs w:val="24"/>
        </w:rPr>
        <w:fldChar w:fldCharType="end"/>
      </w:r>
      <w:r>
        <w:rPr>
          <w:rFonts w:ascii="Times New Roman" w:eastAsia="Times New Roman" w:hAnsi="Times New Roman" w:cs="Times New Roman"/>
          <w:color w:val="000001"/>
          <w:sz w:val="24"/>
          <w:szCs w:val="24"/>
        </w:rPr>
        <w:t xml:space="preserve"> </w:t>
      </w:r>
      <w:r w:rsidRPr="00E6725A">
        <w:rPr>
          <w:rFonts w:ascii="Times New Roman" w:eastAsia="Times New Roman" w:hAnsi="Times New Roman" w:cs="Times New Roman"/>
          <w:color w:val="000001"/>
          <w:sz w:val="24"/>
          <w:szCs w:val="24"/>
        </w:rPr>
        <w:t>*WHO</w:t>
      </w:r>
      <w:r w:rsidR="00600467">
        <w:rPr>
          <w:rFonts w:ascii="Times New Roman" w:eastAsia="Times New Roman" w:hAnsi="Times New Roman" w:cs="Times New Roman"/>
          <w:color w:val="000001"/>
          <w:sz w:val="24"/>
          <w:szCs w:val="24"/>
        </w:rPr>
        <w:t>,</w:t>
      </w:r>
      <w:r w:rsidR="00600467">
        <w:rPr>
          <w:rFonts w:ascii="Times New Roman" w:eastAsia="Times New Roman" w:hAnsi="Times New Roman" w:cs="Times New Roman"/>
          <w:color w:val="000001"/>
          <w:sz w:val="24"/>
          <w:szCs w:val="24"/>
        </w:rPr>
        <w:fldChar w:fldCharType="begin"/>
      </w:r>
      <w:r w:rsidR="00600467">
        <w:rPr>
          <w:rFonts w:ascii="Times New Roman" w:eastAsia="Times New Roman" w:hAnsi="Times New Roman" w:cs="Times New Roman"/>
          <w:color w:val="000001"/>
          <w:sz w:val="24"/>
          <w:szCs w:val="24"/>
        </w:rPr>
        <w:instrText xml:space="preserve"> ADDIN ZOTERO_ITEM CSL_CITATION {"citationID":"z9j4rlga","properties":{"formattedCitation":"[3]","plainCitation":"[3]","noteIndex":0},"citationItems":[{"id":41906,"uris":["http://zotero.org/users/4682884/items/LGA7DLJM"],"itemData":{"id":41906,"type":"report","language":"zh","note":"ISBN: 9789241208949\nISSN: 0512-3054\nnumber-of-pages: 252","publisher":"World Health Organization","source":"apps.who.int","title":"Obesity : preventing and managing the global epidemic : report of a WHO consultation","title-short":"Obesity","URL":"https://apps.who.int/iris/handle/10665/42330","author":[{"family":"WHO Consultation on Obesity (1999: Geneva","given":"Switzerland)"},{"family":"Organization","given":"World Health"}],"accessed":{"date-parts":[["2022",10,29]]},"issued":{"date-parts":[["2000"]]}}}],"schema":"https://github.com/citation-style-language/schema/raw/master/csl-citation.json"} </w:instrText>
      </w:r>
      <w:r w:rsidR="00600467">
        <w:rPr>
          <w:rFonts w:ascii="Times New Roman" w:eastAsia="Times New Roman" w:hAnsi="Times New Roman" w:cs="Times New Roman"/>
          <w:color w:val="000001"/>
          <w:sz w:val="24"/>
          <w:szCs w:val="24"/>
        </w:rPr>
        <w:fldChar w:fldCharType="separate"/>
      </w:r>
      <w:r w:rsidR="00600467" w:rsidRPr="00600467">
        <w:rPr>
          <w:rFonts w:ascii="Times New Roman" w:hAnsi="Times New Roman" w:cs="Times New Roman"/>
          <w:sz w:val="24"/>
        </w:rPr>
        <w:t>[3]</w:t>
      </w:r>
      <w:r w:rsidR="00600467">
        <w:rPr>
          <w:rFonts w:ascii="Times New Roman" w:eastAsia="Times New Roman" w:hAnsi="Times New Roman" w:cs="Times New Roman"/>
          <w:color w:val="000001"/>
          <w:sz w:val="24"/>
          <w:szCs w:val="24"/>
        </w:rPr>
        <w:fldChar w:fldCharType="end"/>
      </w:r>
      <w:r>
        <w:rPr>
          <w:rFonts w:ascii="Times New Roman" w:eastAsia="Times New Roman" w:hAnsi="Times New Roman" w:cs="Times New Roman"/>
          <w:color w:val="000001"/>
          <w:sz w:val="24"/>
          <w:szCs w:val="24"/>
        </w:rPr>
        <w:t xml:space="preserve"> and </w:t>
      </w:r>
      <w:r w:rsidRPr="00E6725A">
        <w:rPr>
          <w:rFonts w:ascii="Times New Roman" w:eastAsia="Times New Roman" w:hAnsi="Times New Roman" w:cs="Times New Roman"/>
          <w:color w:val="000001"/>
          <w:sz w:val="24"/>
          <w:szCs w:val="24"/>
        </w:rPr>
        <w:t>**WHO.</w:t>
      </w:r>
      <w:r>
        <w:rPr>
          <w:rFonts w:ascii="Times New Roman" w:eastAsia="Times New Roman" w:hAnsi="Times New Roman" w:cs="Times New Roman"/>
          <w:color w:val="000001"/>
          <w:sz w:val="24"/>
          <w:szCs w:val="24"/>
        </w:rPr>
        <w:fldChar w:fldCharType="begin"/>
      </w:r>
      <w:r>
        <w:rPr>
          <w:rFonts w:ascii="Times New Roman" w:eastAsia="Times New Roman" w:hAnsi="Times New Roman" w:cs="Times New Roman"/>
          <w:color w:val="000001"/>
          <w:sz w:val="24"/>
          <w:szCs w:val="24"/>
        </w:rPr>
        <w:instrText xml:space="preserve"> ADDIN ZOTERO_ITEM CSL_CITATION {"citationID":"LYwYvB3Y","properties":{"formattedCitation":"[4]","plainCitation":"[4]","noteIndex":0},"citationItems":[{"id":41903,"uris":["http://zotero.org/users/4682884/items/HJLM92AZ"],"itemData":{"id":41903,"type":"report","language":"en","note":"number-of-pages: 59","number":"WHO/NCD/NCS/99.2","publisher":"World Health Organization","source":"apps.who.int","title":"Definition, diagnosis and classification of diabetes mellitus and its complications : report of a WHO consultation. Part 1, Diagnosis and classification of diabetes mellitus","title-short":"Definition, diagnosis and classification of diabetes mellitus and its complications","URL":"https://apps.who.int/iris/handle/10665/66040","author":[{"literal":"World Health Organization"}],"accessed":{"date-parts":[["2022",10,29]]},"issued":{"date-parts":[["1999"]]}}}],"schema":"https://github.com/citation-style-language/schema/raw/master/csl-citation.json"} </w:instrText>
      </w:r>
      <w:r>
        <w:rPr>
          <w:rFonts w:ascii="Times New Roman" w:eastAsia="Times New Roman" w:hAnsi="Times New Roman" w:cs="Times New Roman"/>
          <w:color w:val="000001"/>
          <w:sz w:val="24"/>
          <w:szCs w:val="24"/>
        </w:rPr>
        <w:fldChar w:fldCharType="separate"/>
      </w:r>
      <w:r w:rsidRPr="00256F29">
        <w:rPr>
          <w:rFonts w:ascii="Times New Roman" w:hAnsi="Times New Roman" w:cs="Times New Roman"/>
          <w:sz w:val="24"/>
        </w:rPr>
        <w:t>[4]</w:t>
      </w:r>
      <w:r>
        <w:rPr>
          <w:rFonts w:ascii="Times New Roman" w:eastAsia="Times New Roman" w:hAnsi="Times New Roman" w:cs="Times New Roman"/>
          <w:color w:val="000001"/>
          <w:sz w:val="24"/>
          <w:szCs w:val="24"/>
        </w:rPr>
        <w:fldChar w:fldCharType="end"/>
      </w:r>
      <w:r w:rsidRPr="00E6725A">
        <w:rPr>
          <w:rFonts w:ascii="Times New Roman" w:eastAsia="Times New Roman" w:hAnsi="Times New Roman" w:cs="Times New Roman"/>
          <w:color w:val="000001"/>
          <w:sz w:val="24"/>
          <w:szCs w:val="24"/>
        </w:rPr>
        <w:t xml:space="preserve"> T2DM, type 2 diabetes mellitus; Med., Mediterranean.</w:t>
      </w:r>
    </w:p>
    <w:p w14:paraId="5080EB9D" w14:textId="77777777" w:rsidR="007A2665" w:rsidRPr="00E6725A" w:rsidRDefault="007A2665">
      <w:pPr>
        <w:shd w:val="clear" w:color="auto" w:fill="FFFFFF"/>
        <w:spacing w:after="160" w:line="240" w:lineRule="auto"/>
        <w:rPr>
          <w:rFonts w:ascii="Times New Roman" w:eastAsia="Times New Roman" w:hAnsi="Times New Roman" w:cs="Times New Roman"/>
          <w:color w:val="000001"/>
          <w:sz w:val="24"/>
          <w:szCs w:val="24"/>
        </w:rPr>
      </w:pPr>
    </w:p>
    <w:p w14:paraId="3756252C" w14:textId="77777777" w:rsidR="00A146A2" w:rsidRPr="00A146A2" w:rsidRDefault="00256F29" w:rsidP="00A146A2">
      <w:pPr>
        <w:pStyle w:val="Bibliography"/>
        <w:rPr>
          <w:rFonts w:ascii="Times New Roman" w:hAnsi="Times New Roman" w:cs="Times New Roman"/>
        </w:rPr>
      </w:pPr>
      <w:r>
        <w:fldChar w:fldCharType="begin"/>
      </w:r>
      <w:r>
        <w:instrText xml:space="preserve"> ADDIN ZOTERO_BIBL {"uncited":[],"omitted":[],"custom":[]} CSL_BIBLIOGRAPHY </w:instrText>
      </w:r>
      <w:r>
        <w:fldChar w:fldCharType="separate"/>
      </w:r>
      <w:r w:rsidR="00A146A2" w:rsidRPr="00A146A2">
        <w:rPr>
          <w:rFonts w:ascii="Times New Roman" w:hAnsi="Times New Roman" w:cs="Times New Roman"/>
        </w:rPr>
        <w:t xml:space="preserve">1 </w:t>
      </w:r>
      <w:r w:rsidR="00A146A2" w:rsidRPr="00A146A2">
        <w:rPr>
          <w:rFonts w:ascii="Times New Roman" w:hAnsi="Times New Roman" w:cs="Times New Roman"/>
        </w:rPr>
        <w:tab/>
        <w:t xml:space="preserve">Alberti K, Eckel RH, Grundy SM, </w:t>
      </w:r>
      <w:r w:rsidR="00A146A2" w:rsidRPr="00A146A2">
        <w:rPr>
          <w:rFonts w:ascii="Times New Roman" w:hAnsi="Times New Roman" w:cs="Times New Roman"/>
          <w:i/>
          <w:iCs/>
        </w:rPr>
        <w:t>et al.</w:t>
      </w:r>
      <w:r w:rsidR="00A146A2" w:rsidRPr="00A146A2">
        <w:rPr>
          <w:rFonts w:ascii="Times New Roman" w:hAnsi="Times New Roman" w:cs="Times New Roman"/>
        </w:rPr>
        <w:t xml:space="preserve"> Harmonizing the metabolic syndrome. </w:t>
      </w:r>
      <w:r w:rsidR="00A146A2" w:rsidRPr="00A146A2">
        <w:rPr>
          <w:rFonts w:ascii="Times New Roman" w:hAnsi="Times New Roman" w:cs="Times New Roman"/>
          <w:i/>
          <w:iCs/>
        </w:rPr>
        <w:t>Circulation</w:t>
      </w:r>
      <w:r w:rsidR="00A146A2" w:rsidRPr="00A146A2">
        <w:rPr>
          <w:rFonts w:ascii="Times New Roman" w:hAnsi="Times New Roman" w:cs="Times New Roman"/>
        </w:rPr>
        <w:t xml:space="preserve"> 2009;</w:t>
      </w:r>
      <w:r w:rsidR="00A146A2" w:rsidRPr="00A146A2">
        <w:rPr>
          <w:rFonts w:ascii="Times New Roman" w:hAnsi="Times New Roman" w:cs="Times New Roman"/>
          <w:b/>
          <w:bCs/>
        </w:rPr>
        <w:t>120</w:t>
      </w:r>
      <w:r w:rsidR="00A146A2" w:rsidRPr="00A146A2">
        <w:rPr>
          <w:rFonts w:ascii="Times New Roman" w:hAnsi="Times New Roman" w:cs="Times New Roman"/>
        </w:rPr>
        <w:t>:1640–5. doi:10.1161/CIRCULATIONAHA.109.192644</w:t>
      </w:r>
    </w:p>
    <w:p w14:paraId="7EDCD170" w14:textId="77777777" w:rsidR="00A146A2" w:rsidRPr="00A146A2" w:rsidRDefault="00A146A2" w:rsidP="00A146A2">
      <w:pPr>
        <w:pStyle w:val="Bibliography"/>
        <w:rPr>
          <w:rFonts w:ascii="Times New Roman" w:hAnsi="Times New Roman" w:cs="Times New Roman"/>
        </w:rPr>
      </w:pPr>
      <w:r w:rsidRPr="00A146A2">
        <w:rPr>
          <w:rFonts w:ascii="Times New Roman" w:hAnsi="Times New Roman" w:cs="Times New Roman"/>
        </w:rPr>
        <w:t xml:space="preserve">2 </w:t>
      </w:r>
      <w:r w:rsidRPr="00A146A2">
        <w:rPr>
          <w:rFonts w:ascii="Times New Roman" w:hAnsi="Times New Roman" w:cs="Times New Roman"/>
        </w:rPr>
        <w:tab/>
        <w:t xml:space="preserve">Alberti KGMM, </w:t>
      </w:r>
      <w:proofErr w:type="spellStart"/>
      <w:r w:rsidRPr="00A146A2">
        <w:rPr>
          <w:rFonts w:ascii="Times New Roman" w:hAnsi="Times New Roman" w:cs="Times New Roman"/>
        </w:rPr>
        <w:t>Zimmet</w:t>
      </w:r>
      <w:proofErr w:type="spellEnd"/>
      <w:r w:rsidRPr="00A146A2">
        <w:rPr>
          <w:rFonts w:ascii="Times New Roman" w:hAnsi="Times New Roman" w:cs="Times New Roman"/>
        </w:rPr>
        <w:t xml:space="preserve"> P, Shaw J. Metabolic syndrome—a new world-wide definition. A Consensus Statement from the International Diabetes Federation. </w:t>
      </w:r>
      <w:proofErr w:type="spellStart"/>
      <w:r w:rsidRPr="00A146A2">
        <w:rPr>
          <w:rFonts w:ascii="Times New Roman" w:hAnsi="Times New Roman" w:cs="Times New Roman"/>
          <w:i/>
          <w:iCs/>
        </w:rPr>
        <w:t>Diabet</w:t>
      </w:r>
      <w:proofErr w:type="spellEnd"/>
      <w:r w:rsidRPr="00A146A2">
        <w:rPr>
          <w:rFonts w:ascii="Times New Roman" w:hAnsi="Times New Roman" w:cs="Times New Roman"/>
          <w:i/>
          <w:iCs/>
        </w:rPr>
        <w:t xml:space="preserve"> Med</w:t>
      </w:r>
      <w:r w:rsidRPr="00A146A2">
        <w:rPr>
          <w:rFonts w:ascii="Times New Roman" w:hAnsi="Times New Roman" w:cs="Times New Roman"/>
        </w:rPr>
        <w:t xml:space="preserve"> 2006;</w:t>
      </w:r>
      <w:r w:rsidRPr="00A146A2">
        <w:rPr>
          <w:rFonts w:ascii="Times New Roman" w:hAnsi="Times New Roman" w:cs="Times New Roman"/>
          <w:b/>
          <w:bCs/>
        </w:rPr>
        <w:t>23</w:t>
      </w:r>
      <w:r w:rsidRPr="00A146A2">
        <w:rPr>
          <w:rFonts w:ascii="Times New Roman" w:hAnsi="Times New Roman" w:cs="Times New Roman"/>
        </w:rPr>
        <w:t>:469–80. doi:10.1111/j.1464-5491.2006.01858.x</w:t>
      </w:r>
      <w:bookmarkStart w:id="0" w:name="_GoBack"/>
    </w:p>
    <w:bookmarkEnd w:id="0"/>
    <w:p w14:paraId="785BA853" w14:textId="77777777" w:rsidR="00A146A2" w:rsidRPr="00A146A2" w:rsidRDefault="00A146A2" w:rsidP="00A146A2">
      <w:pPr>
        <w:pStyle w:val="Bibliography"/>
        <w:rPr>
          <w:rFonts w:ascii="Times New Roman" w:hAnsi="Times New Roman" w:cs="Times New Roman"/>
        </w:rPr>
      </w:pPr>
      <w:r w:rsidRPr="00A146A2">
        <w:rPr>
          <w:rFonts w:ascii="Times New Roman" w:hAnsi="Times New Roman" w:cs="Times New Roman"/>
        </w:rPr>
        <w:t xml:space="preserve">3 </w:t>
      </w:r>
      <w:r w:rsidRPr="00A146A2">
        <w:rPr>
          <w:rFonts w:ascii="Times New Roman" w:hAnsi="Times New Roman" w:cs="Times New Roman"/>
        </w:rPr>
        <w:tab/>
        <w:t>WHO Consultation on Obesity (1999: Geneva S, Organization WH. Obesity : preventing and managing the global epidemic : report of a WHO consultation. World Health Organization 2000. https://apps.who.int/iris/handle/10665/42330 (accessed 29 Oct 2022).</w:t>
      </w:r>
    </w:p>
    <w:p w14:paraId="6F55750E" w14:textId="77777777" w:rsidR="00A146A2" w:rsidRPr="00A146A2" w:rsidRDefault="00A146A2" w:rsidP="00A146A2">
      <w:pPr>
        <w:pStyle w:val="Bibliography"/>
        <w:rPr>
          <w:rFonts w:ascii="Times New Roman" w:hAnsi="Times New Roman" w:cs="Times New Roman"/>
        </w:rPr>
      </w:pPr>
      <w:r w:rsidRPr="00A146A2">
        <w:rPr>
          <w:rFonts w:ascii="Times New Roman" w:hAnsi="Times New Roman" w:cs="Times New Roman"/>
        </w:rPr>
        <w:t xml:space="preserve">4 </w:t>
      </w:r>
      <w:r w:rsidRPr="00A146A2">
        <w:rPr>
          <w:rFonts w:ascii="Times New Roman" w:hAnsi="Times New Roman" w:cs="Times New Roman"/>
        </w:rPr>
        <w:tab/>
        <w:t>World Health Organization. Definition, diagnosis and classification of diabetes mellitus and its complications : report of a WHO consultation. Part 1, Diagnosis and classification of diabetes mellitus. World Health Organization 1999. https://apps.who.int/iris/handle/10665/66040 (accessed 29 Oct 2022).</w:t>
      </w:r>
    </w:p>
    <w:p w14:paraId="7CDBCFF0" w14:textId="3C78927F" w:rsidR="007A2665" w:rsidRPr="00E6725A" w:rsidRDefault="00256F29">
      <w:pPr>
        <w:rPr>
          <w:rFonts w:ascii="Times New Roman" w:hAnsi="Times New Roman" w:cs="Times New Roman"/>
        </w:rPr>
      </w:pPr>
      <w:r>
        <w:rPr>
          <w:rFonts w:ascii="Times New Roman" w:hAnsi="Times New Roman" w:cs="Times New Roman"/>
        </w:rPr>
        <w:fldChar w:fldCharType="end"/>
      </w:r>
    </w:p>
    <w:sectPr w:rsidR="007A2665" w:rsidRPr="00E6725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ngsuh">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665"/>
    <w:rsid w:val="00256F29"/>
    <w:rsid w:val="00600467"/>
    <w:rsid w:val="007A2665"/>
    <w:rsid w:val="00A146A2"/>
    <w:rsid w:val="00E67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03AEC"/>
  <w15:docId w15:val="{2CBBD543-D52C-49B6-8AEA-A2080DB0A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ibliography">
    <w:name w:val="Bibliography"/>
    <w:basedOn w:val="Normal"/>
    <w:next w:val="Normal"/>
    <w:uiPriority w:val="37"/>
    <w:unhideWhenUsed/>
    <w:rsid w:val="00256F29"/>
    <w:pPr>
      <w:tabs>
        <w:tab w:val="left" w:pos="264"/>
      </w:tabs>
      <w:spacing w:after="240" w:line="240" w:lineRule="auto"/>
      <w:ind w:left="264" w:hanging="2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1339</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The University of Melbourne</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Miin Chan</cp:lastModifiedBy>
  <cp:revision>4</cp:revision>
  <dcterms:created xsi:type="dcterms:W3CDTF">2022-10-29T00:53:00Z</dcterms:created>
  <dcterms:modified xsi:type="dcterms:W3CDTF">2022-12-10T00:06:00Z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id="x89jnhou"/&gt;&lt;style id="http://www.zotero.org/styles/bmj-open" hasBibliography="1" bibliographyStyleHasBeenSet="1"/&gt;&lt;prefs&gt;&lt;pref name="fieldType" value="Field"/&gt;&lt;pref name="automaticJournalAbbrevia</vt:lpwstr>
  </property>
  <property fmtid="{D5CDD505-2E9C-101B-9397-08002B2CF9AE}" pid="3" name="ZOTERO_PREF_2">
    <vt:lpwstr>tions" value="true"/&gt;&lt;/prefs&gt;&lt;/data&gt;</vt:lpwstr>
  </property>
</Properties>
</file>